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i w:val="false"/>
          <w:caps w:val="false"/>
          <w:smallCaps w:val="false"/>
          <w:sz w:val="20"/>
        </w:rPr>
      </w:pPr>
      <w:bookmarkStart w:id="0" w:name="ea0300499-424b3_sunpower.htm"/>
      <w:bookmarkStart w:id="1" w:name="ksea0300499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333-297660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45,571,137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securityholders named in this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45,571,137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19,300,991 shares of common stock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issued by us pursuant to separately- and privately-negotiated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with certain holders of our 12.0% Convertible Senior Notes due 2029 (the “</w:t>
      </w:r>
      <w:r>
        <w:rPr>
          <w:rFonts w:ascii="Times New Roman;Times;Serif" w:hAnsi="Times New Roman;Times;Serif"/>
          <w:b/>
          <w:i w:val="false"/>
          <w:caps w:val="false"/>
          <w:smallCaps w:val="false"/>
          <w:sz w:val="20"/>
        </w:rPr>
        <w:t>12.0% Notes</w:t>
      </w:r>
      <w:r>
        <w:rPr>
          <w:rFonts w:ascii="Times New Roman;Times;Serif" w:hAnsi="Times New Roman;Times;Serif"/>
          <w:b w:val="false"/>
          <w:i w:val="false"/>
          <w:caps w:val="false"/>
          <w:smallCaps w:val="false"/>
          <w:sz w:val="20"/>
        </w:rPr>
        <w:t>”), 10.0% Convertible Senior Secured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7.0% Convertible Senior Notes due 2029 (the “</w:t>
      </w:r>
      <w:r>
        <w:rPr>
          <w:rFonts w:ascii="Times New Roman;Times;Serif" w:hAnsi="Times New Roman;Times;Serif"/>
          <w:b/>
          <w:i w:val="false"/>
          <w:caps w:val="false"/>
          <w:smallCaps w:val="false"/>
          <w:sz w:val="20"/>
        </w:rPr>
        <w:t>7.0% Notes</w:t>
      </w:r>
      <w:r>
        <w:rPr>
          <w:rFonts w:ascii="Times New Roman;Times;Serif" w:hAnsi="Times New Roman;Times;Serif"/>
          <w:b w:val="false"/>
          <w:i w:val="false"/>
          <w:caps w:val="false"/>
          <w:smallCaps w:val="false"/>
          <w:sz w:val="20"/>
        </w:rPr>
        <w:t>” and together with the 12.0% Notes and the 10.0% Notes,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 exchange for approximately $10.7 million of cash interest otherwise payable on July 1, 2026, October 1, 2026 and January 1, 2027, and (ii) 26,270,146 shares of common stock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issued or issuable by us pursuant to the terms of separately- and privately-negotiated OTC Equity Prepaid Forward Transaction Settlement Agreements (the “</w:t>
      </w:r>
      <w:r>
        <w:rPr>
          <w:rFonts w:ascii="Times New Roman;Times;Serif" w:hAnsi="Times New Roman;Times;Serif"/>
          <w:b/>
          <w:i w:val="false"/>
          <w:caps w:val="false"/>
          <w:smallCaps w:val="false"/>
          <w:sz w:val="20"/>
        </w:rPr>
        <w:t>FPA Settlement Agreements</w:t>
      </w:r>
      <w:r>
        <w:rPr>
          <w:rFonts w:ascii="Times New Roman;Times;Serif" w:hAnsi="Times New Roman;Times;Serif"/>
          <w:b w:val="false"/>
          <w:i w:val="false"/>
          <w:caps w:val="false"/>
          <w:smallCaps w:val="false"/>
          <w:sz w:val="20"/>
        </w:rPr>
        <w:t>”) and related Forward Purchase Agreements. The Exchange Shares were issued by us to the Selling Securityholders pursuant to the Exchange Agreements on July 1, 2026. A total of 17,900,462 FPA Shares were issued by us to the Selling Securityholders pursuant to FPA Settlement Agreements, and up to an additional 8,369,684 FPA Shares are issuable pursuant to the FPA Settlement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below for a description of the Exchange Agreements, the Notes, and the FPA Settlement Agreements and related Forward Purchase Agreements and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for additional information regarding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shares of common stock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this prospectus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this prospectus. None of the Selling Securityholders are an “underwriter” with respect to the securities registered hereunder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August 3, 2026, the closing price of our common stock was $0.303.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9 of this prospectus, and under similar headings in any amendments or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 dated August 4,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before deciding to invest in any of the securities being offered. The information contained in this prospectus and any supplement to this prospectus is accurate only as of the respective dates thereof, regardless of the time of delivery of this prospectus or of any sale of our securities.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2023, FACT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FACT was domesticated and continues as a Delaware corporation, changing its name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Complete Solaria, Inc. (f/k/a Complete Solar Holding Corporation), a Delaware corporation (“</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FACT, Jupiter Merger Sub I Corp., a Delaware corporation and wholly-owned subsidiary of FACT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Jupiter Merger Sub II LLC, a Delaware limited liability company and a wholly-owned subsidiary of FACT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The Solaria Corporation, a Delaware corporation and a wholly-owned indirect subsidiary of Legacy Complete Solaria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entered into that certain Amended and Restated Business Combination Agreement, dated as of May 26, 2023 (as may be further amended, supplemented or otherwise modified from time to time,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Pursuant to the terms and subject to the conditions of the Business Combination, on July 18, 2023, (i) First Merger Sub merged with and into Legacy Complete Solaria with Legacy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Legacy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newly-formed Delaware limited liability company and wholly-owned subsidiary of FACT and changed its name to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(together with the First Merger and the Second Merger, the “Mergers”).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the Company filed with the Secretary of State of Delaware a Certificate of Amendment to its Certificate of Incorporation to change its corporate name from “Complete Solaria, Inc.” to “SunPower Inc.”, effective as of 4:30 PM Eastern Time on October 17,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“SunPower,” “we,” “us,” “our,” the “Company” and similar terms refer to SunPower Inc. (f/k/a “Complete Solaria, Inc.” and, previously, “Freedom Acquisition I Corp.”) and its consolidated subsidiaries. References to “FACT” refer to the predecessor company prior to the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statements contained in this prospectus that are not purely historical are forward-looking statements.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include, without limitation, statements about: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the sufficiency of our cash, and sources and uses of cash, including cash required to service our current and future borrowings;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for our operations and future growth, including in connection with the integration of our acquisitions, and our ability to raise capital and refinance our existing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plans relating to cost control efforts (including headcount management and potential reductions) and expectations with respect to when we achieve breakeven operating income;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 and indirect exposure to companies in the solar and renewable energy industries that are facing financial difficulties and potential bankruptcies;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grow and manage growth profitably following the closing of business combinations including, without limitation, our recent acquisitions of the SunPower Businesses, Sunder Energy LLC (“Sunder”), Ambia Energy LLC (“Ambia”) and Cobalt Power Systems, Inc. (“Cobalt”);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in our supply chains and distribution channels, tariffs and trade barriers, export regulations, bank failures, geopolitical conflicts and other macroeconomic conditions on our business and operations, results of operations and financial position;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leverage our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impact of changes to and developments relating to the regulations and policies applicable to our business, customers and the industry;</w:t>
            </w:r>
          </w:p>
        </w:tc>
      </w:tr>
    </w:tbl>
    <w:p>
      <w:pPr>
        <w:pStyle w:val="TextBody"/>
        <w:bidi w:val="0"/>
        <w:spacing w:before="0" w:after="0"/>
        <w:ind w:left="720" w:right="0" w:hanging="36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availability of rebates, tax credits and other incentives;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tc>
      </w:tr>
    </w:tbl>
    <w:p>
      <w:pPr>
        <w:pStyle w:val="TextBody"/>
        <w:bidi w:val="0"/>
        <w:spacing w:before="0" w:after="0"/>
        <w:ind w:left="720" w:right="0" w:hanging="36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and the volatility of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following our recent acquisitions, including financial projections and business metrics, and our ability to manage our costs;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projected costs, prospects and plans;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expectations of new and current customers, and our ability to achieve market acceptance for our products and services, especially in light of the intense competition faced in our industry;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720" w:right="0" w:hanging="36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forecasts with respect to market opportunity and market growth;</w:t>
            </w:r>
          </w:p>
        </w:tc>
      </w:tr>
    </w:tbl>
    <w:p>
      <w:pPr>
        <w:pStyle w:val="TextBody"/>
        <w:bidi w:val="0"/>
        <w:spacing w:before="0" w:after="0"/>
        <w:ind w:left="720" w:right="0" w:hanging="36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products and services to meet customers’ compliance and regulatory needs;</w:t>
            </w:r>
          </w:p>
        </w:tc>
      </w:tr>
    </w:tbl>
    <w:p>
      <w:pPr>
        <w:pStyle w:val="TextBody"/>
        <w:bidi w:val="0"/>
        <w:spacing w:before="0" w:after="0"/>
        <w:ind w:left="720" w:right="0" w:hanging="36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qualified employees and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maintain our brand and reputation, and our ability to maintain our relationships with key suppliers, installers and build partners;</w:t>
            </w:r>
          </w:p>
        </w:tc>
      </w:tr>
    </w:tbl>
    <w:p>
      <w:pPr>
        <w:pStyle w:val="TextBody"/>
        <w:bidi w:val="0"/>
        <w:spacing w:before="0" w:after="0"/>
        <w:ind w:left="720" w:right="0" w:hanging="36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economic and financial conditions, inflationary pressures and the resulting impact on demand, and our ability to plan for and respond to the impact of those changes;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and not infringe on the rights of others; and</w:t>
            </w:r>
          </w:p>
        </w:tc>
      </w:tr>
    </w:tbl>
    <w:p>
      <w:pPr>
        <w:pStyle w:val="TextBody"/>
        <w:bidi w:val="0"/>
        <w:spacing w:before="0" w:after="0"/>
        <w:ind w:left="720" w:right="0" w:hanging="36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expansion plans and opportunities.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295"/>
        <w:gridCol w:w="455"/>
      </w:tblGrid>
      <w:tr>
        <w:trPr/>
        <w:tc>
          <w:tcPr>
            <w:tcW w:w="729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2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Risk Factors</w:t>
              </w:r>
            </w:hyperlink>
          </w:p>
        </w:tc>
        <w:tc>
          <w:tcPr>
            <w:tcW w:w="455" w:type="dxa"/>
            <w:tcBorders/>
            <w:shd w:fill="FFFFFF" w:val="clear"/>
            <w:vAlign w:val="center"/>
          </w:tcPr>
          <w:p>
            <w:pPr>
              <w:pStyle w:val="TableContents"/>
              <w:bidi w:val="0"/>
              <w:spacing w:before="0" w:after="283"/>
              <w:jc w:val="center"/>
              <w:rPr/>
            </w:pPr>
            <w:r>
              <w:rPr/>
              <w:t>9</w:t>
            </w:r>
          </w:p>
        </w:tc>
      </w:tr>
      <w:tr>
        <w:trPr/>
        <w:tc>
          <w:tcPr>
            <w:tcW w:w="72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Market and Industry Data</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72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72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Determination of Offering Price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29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Market Information for Securities and Dividend Policy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72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729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Business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72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729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Executive Compensation</w:t>
              </w:r>
            </w:hyperlink>
          </w:p>
        </w:tc>
        <w:tc>
          <w:tcPr>
            <w:tcW w:w="455" w:type="dxa"/>
            <w:tcBorders/>
            <w:shd w:fill="FFFFFF" w:val="clear"/>
            <w:vAlign w:val="center"/>
          </w:tcPr>
          <w:p>
            <w:pPr>
              <w:pStyle w:val="TableContents"/>
              <w:bidi w:val="0"/>
              <w:spacing w:before="0" w:after="283"/>
              <w:jc w:val="center"/>
              <w:rPr/>
            </w:pPr>
            <w:r>
              <w:rPr/>
              <w:t>72</w:t>
            </w:r>
          </w:p>
        </w:tc>
      </w:tr>
      <w:tr>
        <w:trPr/>
        <w:tc>
          <w:tcPr>
            <w:tcW w:w="729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Certain Relationships and Related Party Transactions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r>
      <w:tr>
        <w:trPr/>
        <w:tc>
          <w:tcPr>
            <w:tcW w:w="729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Principal Stockholders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729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w:t>
            </w:r>
          </w:p>
        </w:tc>
      </w:tr>
      <w:tr>
        <w:trPr/>
        <w:tc>
          <w:tcPr>
            <w:tcW w:w="729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Capital Stock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729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Material U.S. Federal Income Tax Consequences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r>
      <w:tr>
        <w:trPr/>
        <w:tc>
          <w:tcPr>
            <w:tcW w:w="729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Plan of Distribution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w:t>
            </w:r>
          </w:p>
        </w:tc>
      </w:tr>
      <w:tr>
        <w:trPr/>
        <w:tc>
          <w:tcPr>
            <w:tcW w:w="72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729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729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729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Index to Consolidated 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supplement to this prospectus or in any free writing prospectus, filed with the Securities and Exchange Commission. Neither we nor the Selling Securityholders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Securityholders are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FREQUENTLY USED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transactions contemplated by the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the amended and restated business combination agreement, dated as of May 26, 2023, by and among FACT, First Merger Sub, Second Merger Sub, Legacy Complete Solaria and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date of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Complete Solar</w:t>
      </w:r>
      <w:r>
        <w:rPr>
          <w:rFonts w:ascii="Times New Roman;Times;Serif" w:hAnsi="Times New Roman;Times;Serif"/>
          <w:b w:val="false"/>
          <w:i w:val="false"/>
          <w:caps w:val="false"/>
          <w:smallCaps w:val="false"/>
          <w:sz w:val="20"/>
        </w:rPr>
        <w:t>” means Complete Solar Holding Corporation, a Delaware corporation, prior to the consummation of the Required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SunPower</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SunPower Inc. (f/k/a Complete Solaria, Inc. and, previously, Freedom Acquisition I Corp.), a Delaware corporation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Delaware General Corporation Law,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Domestication</w:t>
      </w:r>
      <w:r>
        <w:rPr>
          <w:rFonts w:ascii="Times New Roman;Times;Serif" w:hAnsi="Times New Roman;Times;Serif"/>
          <w:b w:val="false"/>
          <w:i w:val="false"/>
          <w:caps w:val="false"/>
          <w:smallCaps w:val="false"/>
          <w:sz w:val="20"/>
        </w:rPr>
        <w:t>” means the domestication of FACT as a corporation incorporated in the State of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means the 2023 Employee Stock Purchase Plan of SunPower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w:t>
      </w:r>
      <w:r>
        <w:rPr>
          <w:rFonts w:ascii="Times New Roman;Times;Serif" w:hAnsi="Times New Roman;Times;Serif"/>
          <w:b w:val="false"/>
          <w:i w:val="false"/>
          <w:caps w:val="false"/>
          <w:smallCaps w:val="false"/>
          <w:sz w:val="20"/>
        </w:rPr>
        <w:t>” means Freedom Acquisition I Corp., a Cayman Islands exempted company,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Class A Ordinary Shares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means the 34,500,000 Class A ordinary shares, par value $0.0001 per share, of FACT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the 6,266,667 warrants held by the Sponsor that were issued in a private placement at the time of FACT’s IPO, each of which is exercisable for one Class A Ordinary Share at an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Public Warrants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the 8,625,000 warrants to acquire FACT Class A Ordinary Shares, issued as part of the public units issued by FACT, at an initial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Forward Purchase Agreements</w:t>
      </w:r>
      <w:r>
        <w:rPr>
          <w:rFonts w:ascii="Times New Roman;Times;Serif" w:hAnsi="Times New Roman;Times;Serif"/>
          <w:b w:val="false"/>
          <w:i w:val="false"/>
          <w:caps w:val="false"/>
          <w:smallCaps w:val="false"/>
          <w:sz w:val="20"/>
        </w:rPr>
        <w:t>” means those certain confirmations regarding OTC Equity Prepaid Forward Transaction Agreements dated July 13, 2023, as amended.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means FACT’s initial public offering of its units, ordinary shares and warrants pursuant to its registration statement on Form S-1 declared effective by the SEC on February 25, 2021 (SEC File No. 333-252940).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Warrants</w:t>
      </w:r>
      <w:r>
        <w:rPr>
          <w:rFonts w:ascii="Times New Roman;Times;Serif" w:hAnsi="Times New Roman;Times;Serif"/>
          <w:b w:val="false"/>
          <w:i w:val="false"/>
          <w:caps w:val="false"/>
          <w:smallCaps w:val="false"/>
          <w:sz w:val="20"/>
        </w:rPr>
        <w:t>” means warrants issued to certain equityholders of Legacy Complete Solaria received as consideration in connection with the exchange of their capital stock held in Legacy Complete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means, prior to the Business Combination, Complete Solaria, Inc. (f/k/a Complete Solar Holding Corporation), a Delaware corporation which, pursuant to the Business Combination, became a direct, wholly owned subsidiary of SunPower Inc. (f/k/a Complete Solaria, Inc.) and was renamed CS,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Transaction</w:t>
      </w:r>
      <w:r>
        <w:rPr>
          <w:rFonts w:ascii="Times New Roman;Times;Serif" w:hAnsi="Times New Roman;Times;Serif"/>
          <w:b w:val="false"/>
          <w:i w:val="false"/>
          <w:caps w:val="false"/>
          <w:smallCaps w:val="false"/>
          <w:sz w:val="20"/>
        </w:rPr>
        <w:t>” means the transactions contemplated by that certain merger agreement by and among the Company, Complete Solaria Midco, LLC, a Delaware limited liability company and a wholly-owned subsidiary of Solaria, Complete Solaria Merger Sub, Inc., a Delaware corporation and a wholly-owned subsidiary of Complete Solaria Midco, LLC, Solaria, and Fortis Advisors LLC, a Delaware limited liability company, solely in its capacity as the representative of Solaria’s stockholders, including the merger of Solaria with and into a wholly-owned subsidiary of Legacy Complete Solaria, which were consummated on November 4,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means The Solaria Corporation, a Delaware corporation and a wholly-owned subsidiary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Freedom Acquisition I LLC, a Cayman Islands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collectively, the Private Warrants, the Public Warrants and the Working Capital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Capital Warrants</w:t>
      </w:r>
      <w:r>
        <w:rPr>
          <w:rFonts w:ascii="Times New Roman;Times;Serif" w:hAnsi="Times New Roman;Times;Serif"/>
          <w:b w:val="false"/>
          <w:i w:val="false"/>
          <w:caps w:val="false"/>
          <w:smallCaps w:val="false"/>
          <w:sz w:val="20"/>
        </w:rPr>
        <w:t>” means warrants issued to certain equityholders of Legacy Complete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vi</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2" w:name="a_001"/>
      <w:bookmarkEnd w:id="2"/>
      <w:r>
        <w:rPr>
          <w:rFonts w:ascii="Times New Roman;Times;Serif" w:hAnsi="Times New Roman;Times;Serif"/>
          <w:b/>
          <w:i w:val="false"/>
          <w:caps/>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financial statements and related notes appearing at the end of this prospectus and the information set forth in the sections titled “Risk Factors” and “Management’s Discussion and Analysis of Financial Condition and Results of Operations.” Unless the context otherwise requires, we use the terms “SunPower,” “company,” “we,” “us” and “our” in this prospectus to refer to SunPower Inc. and our wholly owned subsidiaries.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Mission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Overview</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acquisitions of Sunder, Ambia, Cobalt and SunPower Businesses are collectively referred to herein as “Acquisitions”.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Revenue Model</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Technology Innovation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Differentiation and Operating Results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1403 N. Research Way, Orem UT 84097, and our telephone number is (877) 299-4943. Our corporate website address is https://us.sunpower.com/.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w:t>
      </w:r>
      <w:r>
        <w:rPr>
          <w:rFonts w:ascii="Times New Roman;Times;Serif" w:hAnsi="Times New Roman;Times;Serif"/>
          <w:b w:val="false"/>
          <w:i w:val="false"/>
          <w:caps w:val="false"/>
          <w:smallCaps w:val="false"/>
          <w:sz w:val="20"/>
          <w:bdr w:val="single" w:sz="12" w:space="5" w:color="000000"/>
        </w:rPr>
        <w:t>SunPower” and our other registered and common law trade names, trademarks and service marks are property of SunPower Inc. This prospectus contains additional trade names, trademarks and service marks of others, which are the property of their respective owners. Solely for convenience, trademarks and trade names referred to in this prospectus may appear without the ® or ™ symbols.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Nasdaq Notice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22, 2026, we received written notice (“</w:t>
      </w:r>
      <w:r>
        <w:rPr>
          <w:rFonts w:ascii="Times New Roman;Times;Serif" w:hAnsi="Times New Roman;Times;Serif"/>
          <w:b/>
          <w:i w:val="false"/>
          <w:caps w:val="false"/>
          <w:smallCaps w:val="false"/>
          <w:sz w:val="20"/>
          <w:bdr w:val="single" w:sz="12" w:space="5" w:color="000000"/>
        </w:rPr>
        <w:t>Bid Price Notice</w:t>
      </w:r>
      <w:r>
        <w:rPr>
          <w:rFonts w:ascii="Times New Roman;Times;Serif" w:hAnsi="Times New Roman;Times;Serif"/>
          <w:b w:val="false"/>
          <w:i w:val="false"/>
          <w:caps w:val="false"/>
          <w:smallCaps w:val="false"/>
          <w:sz w:val="20"/>
          <w:bdr w:val="single" w:sz="12" w:space="5" w:color="000000"/>
        </w:rPr>
        <w:t>”) from Nasdaq notifying us that we were not in compliance with the minimum bid price requirement set forth in Nasdaq Listing Rule 5450(a)(1) for continued listing on The Nasdaq Global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Bid Price Notice does not impact the listing of our common stock on The Nasdaq Global Market at this time. In accordance with Nasdaq Listing Rule 5810(c)(3)(A), we have 180 calendar days to regain compliance with the minimum bid price requirement. To regain compliance, the closing bid price of our common stock must be at least $1.00 per share for a minimum of ten consecutive business days before January 19, 2027. In the event that we do not regain compliance within this 180-day period, subject to compliance with certain further requirements, we may be eligible to seek an additional compliance period of 180 calendar days if we meet the continued listing requirement for market value of publicly held shares and all other initial listing standards for The Nasdaq Capital Market, with the exception of the minimum bid price requirement, and provide written notice to Nasdaq of our intent to cure the deficiency during this second compliance period by effecting a reverse stock split if necessary. However, if it appears to the Nasdaq staff that we will not be able to cure the deficiency, or if we are otherwise not eligible, Nasdaq will provide notice to the Company that our common stock will be subject to delisting.</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FPA Settlement Transactions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17, 2026, we entered into OTC Equity Prepaid Forward Transaction Settlement Agreements (the “</w:t>
      </w:r>
      <w:r>
        <w:rPr>
          <w:rFonts w:ascii="Times New Roman;Times;Serif" w:hAnsi="Times New Roman;Times;Serif"/>
          <w:b/>
          <w:i w:val="false"/>
          <w:caps w:val="false"/>
          <w:smallCaps w:val="false"/>
          <w:sz w:val="20"/>
          <w:bdr w:val="single" w:sz="12" w:space="5" w:color="000000"/>
        </w:rPr>
        <w:t>FPA Settlement Agreements</w:t>
      </w:r>
      <w:r>
        <w:rPr>
          <w:rFonts w:ascii="Times New Roman;Times;Serif" w:hAnsi="Times New Roman;Times;Serif"/>
          <w:b w:val="false"/>
          <w:i w:val="false"/>
          <w:caps w:val="false"/>
          <w:smallCaps w:val="false"/>
          <w:sz w:val="20"/>
          <w:bdr w:val="single" w:sz="12" w:space="5" w:color="000000"/>
        </w:rPr>
        <w:t>”) with each of the FPA Sellers (as defined below). The FPA Settlement Agreements memorialize the agreements between the Company and each FPA Seller with respect to (i) the settlement amount adjustment payable by the Company under the Forward Purchase Agreements, (ii) the Company’s election to pay the settlement amount adjustments by issuing an aggregate of 17,900,462 shares of common stock on July 17, 2026, (iii) certain mechanics for determining whether any further shares of common stock are issuable as a result of the trading price of the common stock during the valuation period under the FPA Settlement Agreements and the Forward Purchase Agreements, and (iv) in the case of one FPA Seller, the obligation to make monthly cash amortization payments of $50,000 beginning on October 31, 2026 if such FPA Seller has not realized its full settlement amount adjustment through the sale of shares of common stock on or before such date. The FPA Settlement Agreements also include registration rights with respect to the shares of common stock issued or issuable pursuant to the FPA Settlement Agreements and related Forward Purchase Agreements.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Exchange Agreements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June 29, 2026 and June 30, 2026, we entered into separately- and privately- negotiated agreements (the “</w:t>
      </w:r>
      <w:r>
        <w:rPr>
          <w:rFonts w:ascii="Times New Roman;Times;Serif" w:hAnsi="Times New Roman;Times;Serif"/>
          <w:b/>
          <w:i w:val="false"/>
          <w:caps w:val="false"/>
          <w:smallCaps w:val="false"/>
          <w:sz w:val="20"/>
          <w:bdr w:val="single" w:sz="12" w:space="5" w:color="000000"/>
        </w:rPr>
        <w:t>Exchange Agreements</w:t>
      </w:r>
      <w:r>
        <w:rPr>
          <w:rFonts w:ascii="Times New Roman;Times;Serif" w:hAnsi="Times New Roman;Times;Serif"/>
          <w:b w:val="false"/>
          <w:i w:val="false"/>
          <w:caps w:val="false"/>
          <w:smallCaps w:val="false"/>
          <w:sz w:val="20"/>
          <w:bdr w:val="single" w:sz="12" w:space="5" w:color="000000"/>
        </w:rPr>
        <w:t>”) with certain holders of our 12.0% Convertible Senior Notes due 2029 (the “</w:t>
      </w:r>
      <w:r>
        <w:rPr>
          <w:rFonts w:ascii="Times New Roman;Times;Serif" w:hAnsi="Times New Roman;Times;Serif"/>
          <w:b/>
          <w:i w:val="false"/>
          <w:caps w:val="false"/>
          <w:smallCaps w:val="false"/>
          <w:sz w:val="20"/>
          <w:bdr w:val="single" w:sz="12" w:space="5" w:color="000000"/>
        </w:rPr>
        <w:t>12.0% Notes</w:t>
      </w:r>
      <w:r>
        <w:rPr>
          <w:rFonts w:ascii="Times New Roman;Times;Serif" w:hAnsi="Times New Roman;Times;Serif"/>
          <w:b w:val="false"/>
          <w:i w:val="false"/>
          <w:caps w:val="false"/>
          <w:smallCaps w:val="false"/>
          <w:sz w:val="20"/>
          <w:bdr w:val="single" w:sz="12" w:space="5" w:color="000000"/>
        </w:rPr>
        <w:t>”), 10.0% Convertible Senior Secured Notes due 2029 (the “</w:t>
      </w:r>
      <w:r>
        <w:rPr>
          <w:rFonts w:ascii="Times New Roman;Times;Serif" w:hAnsi="Times New Roman;Times;Serif"/>
          <w:b/>
          <w:i w:val="false"/>
          <w:caps w:val="false"/>
          <w:smallCaps w:val="false"/>
          <w:sz w:val="20"/>
          <w:bdr w:val="single" w:sz="12" w:space="5" w:color="000000"/>
        </w:rPr>
        <w:t>10.0% Notes</w:t>
      </w:r>
      <w:r>
        <w:rPr>
          <w:rFonts w:ascii="Times New Roman;Times;Serif" w:hAnsi="Times New Roman;Times;Serif"/>
          <w:b w:val="false"/>
          <w:i w:val="false"/>
          <w:caps w:val="false"/>
          <w:smallCaps w:val="false"/>
          <w:sz w:val="20"/>
          <w:bdr w:val="single" w:sz="12" w:space="5" w:color="000000"/>
        </w:rPr>
        <w:t>”) and 7.0% Convertible Senior Notes due 2029 (the “</w:t>
      </w:r>
      <w:r>
        <w:rPr>
          <w:rFonts w:ascii="Times New Roman;Times;Serif" w:hAnsi="Times New Roman;Times;Serif"/>
          <w:b/>
          <w:i w:val="false"/>
          <w:caps w:val="false"/>
          <w:smallCaps w:val="false"/>
          <w:sz w:val="20"/>
          <w:bdr w:val="single" w:sz="12" w:space="5" w:color="000000"/>
        </w:rPr>
        <w:t>7.0% Notes</w:t>
      </w:r>
      <w:r>
        <w:rPr>
          <w:rFonts w:ascii="Times New Roman;Times;Serif" w:hAnsi="Times New Roman;Times;Serif"/>
          <w:b w:val="false"/>
          <w:i w:val="false"/>
          <w:caps w:val="false"/>
          <w:smallCaps w:val="false"/>
          <w:sz w:val="20"/>
          <w:bdr w:val="single" w:sz="12" w:space="5" w:color="000000"/>
        </w:rPr>
        <w:t>” and together with the 12.0% Notes and the 10.0% Notes, collectively, the “</w:t>
      </w:r>
      <w:r>
        <w:rPr>
          <w:rFonts w:ascii="Times New Roman;Times;Serif" w:hAnsi="Times New Roman;Times;Serif"/>
          <w:b/>
          <w:i w:val="false"/>
          <w:caps w:val="false"/>
          <w:smallCaps w:val="false"/>
          <w:sz w:val="20"/>
          <w:bdr w:val="single" w:sz="12" w:space="5" w:color="000000"/>
        </w:rPr>
        <w:t>Notes</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Pursuant to the Exchange Agreements, the applicable holders of Notes agreed to exchange (the “</w:t>
      </w:r>
      <w:r>
        <w:rPr>
          <w:rFonts w:ascii="Times New Roman;Times;Serif" w:hAnsi="Times New Roman;Times;Serif"/>
          <w:b/>
          <w:i w:val="false"/>
          <w:caps w:val="false"/>
          <w:smallCaps w:val="false"/>
          <w:sz w:val="20"/>
          <w:bdr w:val="single" w:sz="12" w:space="5" w:color="000000"/>
        </w:rPr>
        <w:t>Exchange</w:t>
      </w:r>
      <w:r>
        <w:rPr>
          <w:rFonts w:ascii="Times New Roman;Times;Serif" w:hAnsi="Times New Roman;Times;Serif"/>
          <w:b w:val="false"/>
          <w:i w:val="false"/>
          <w:caps w:val="false"/>
          <w:smallCaps w:val="false"/>
          <w:sz w:val="20"/>
          <w:bdr w:val="single" w:sz="12" w:space="5" w:color="000000"/>
        </w:rPr>
        <w:t>”) approximately $10.7 million of cash interest otherwise payable on July 1, 2026, October 1, 2026 and January 1, 2027 (the “</w:t>
      </w:r>
      <w:r>
        <w:rPr>
          <w:rFonts w:ascii="Times New Roman;Times;Serif" w:hAnsi="Times New Roman;Times;Serif"/>
          <w:b/>
          <w:i w:val="false"/>
          <w:caps w:val="false"/>
          <w:smallCaps w:val="false"/>
          <w:sz w:val="20"/>
          <w:bdr w:val="single" w:sz="12" w:space="5" w:color="000000"/>
        </w:rPr>
        <w:t>Exchanged Interest Amounts</w:t>
      </w:r>
      <w:r>
        <w:rPr>
          <w:rFonts w:ascii="Times New Roman;Times;Serif" w:hAnsi="Times New Roman;Times;Serif"/>
          <w:b w:val="false"/>
          <w:i w:val="false"/>
          <w:caps w:val="false"/>
          <w:smallCaps w:val="false"/>
          <w:sz w:val="20"/>
          <w:bdr w:val="single" w:sz="12" w:space="5" w:color="000000"/>
        </w:rPr>
        <w:t>”) for 19,300,991 shares (the “</w:t>
      </w:r>
      <w:r>
        <w:rPr>
          <w:rFonts w:ascii="Times New Roman;Times;Serif" w:hAnsi="Times New Roman;Times;Serif"/>
          <w:b/>
          <w:i w:val="false"/>
          <w:caps w:val="false"/>
          <w:smallCaps w:val="false"/>
          <w:sz w:val="20"/>
          <w:bdr w:val="single" w:sz="12" w:space="5" w:color="000000"/>
        </w:rPr>
        <w:t>Exchange Shares</w:t>
      </w:r>
      <w:r>
        <w:rPr>
          <w:rFonts w:ascii="Times New Roman;Times;Serif" w:hAnsi="Times New Roman;Times;Serif"/>
          <w:b w:val="false"/>
          <w:i w:val="false"/>
          <w:caps w:val="false"/>
          <w:smallCaps w:val="false"/>
          <w:sz w:val="20"/>
          <w:bdr w:val="single" w:sz="12" w:space="5" w:color="000000"/>
        </w:rPr>
        <w:t>”) of common stock, which are being registered hereby. The transactions under the Exchange Agreements closed on, and the Exchange Shares were issued on, July 1, 2026. As a result of the Exchange, the Exchanged Interest Amounts will not be payable in cash by us on the applicable payment dates under the Notes. The Exchange Agreements include registration rights, representations and warranties and other covenants that are customary for such exchange transactions.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10.0% Notes Offering and Related Transactions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23, 2026, we closed our private offering (the “</w:t>
      </w:r>
      <w:r>
        <w:rPr>
          <w:rFonts w:ascii="Times New Roman;Times;Serif" w:hAnsi="Times New Roman;Times;Serif"/>
          <w:b/>
          <w:i w:val="false"/>
          <w:caps w:val="false"/>
          <w:smallCaps w:val="false"/>
          <w:sz w:val="20"/>
          <w:bdr w:val="single" w:sz="12" w:space="5" w:color="000000"/>
        </w:rPr>
        <w:t>Offering</w:t>
      </w:r>
      <w:r>
        <w:rPr>
          <w:rFonts w:ascii="Times New Roman;Times;Serif" w:hAnsi="Times New Roman;Times;Serif"/>
          <w:b w:val="false"/>
          <w:i w:val="false"/>
          <w:caps w:val="false"/>
          <w:smallCaps w:val="false"/>
          <w:sz w:val="20"/>
          <w:bdr w:val="single" w:sz="12" w:space="5" w:color="000000"/>
        </w:rPr>
        <w:t>”) of $41,000,000 aggregate principal amount of our 10.0% Notes, consisting of: (i) the sale and issuance of $24,000,000 aggregate principal amount of 10.0% Notes to qualified institutional buyers; (ii) the sale and issuance of $1,000,000 principal amount of 10.0% Notes to an institutional accredited investor; (iii) the issuance of $6,000,000 principal amount of 10.0% Notes to entities affiliated with Thurman John “T.J.” Rodgers, the Company’s Chief Executive Officer and Chairman, in consideration for $6,000,000 previously funded to the Company pursuant to simple agreements for future equity; and (iv) the issuance of $10,000,000 aggregate principal amount of 10.0% Notes in connection with the exchange of the promissory note originally issued by the Company to Chicken Parm Pizza LLC (“</w:t>
      </w:r>
      <w:r>
        <w:rPr>
          <w:rFonts w:ascii="Times New Roman;Times;Serif" w:hAnsi="Times New Roman;Times;Serif"/>
          <w:b/>
          <w:i w:val="false"/>
          <w:caps w:val="false"/>
          <w:smallCaps w:val="false"/>
          <w:sz w:val="20"/>
          <w:bdr w:val="single" w:sz="12" w:space="5" w:color="000000"/>
        </w:rPr>
        <w:t>CPP</w:t>
      </w:r>
      <w:r>
        <w:rPr>
          <w:rFonts w:ascii="Times New Roman;Times;Serif" w:hAnsi="Times New Roman;Times;Serif"/>
          <w:b w:val="false"/>
          <w:i w:val="false"/>
          <w:caps w:val="false"/>
          <w:smallCaps w:val="false"/>
          <w:sz w:val="20"/>
          <w:bdr w:val="single" w:sz="12" w:space="5" w:color="000000"/>
        </w:rPr>
        <w:t>”) on September 24, 2025 in connection with the Company’s acquisition of Sunder Energy (the “</w:t>
      </w:r>
      <w:r>
        <w:rPr>
          <w:rFonts w:ascii="Times New Roman;Times;Serif" w:hAnsi="Times New Roman;Times;Serif"/>
          <w:b/>
          <w:i w:val="false"/>
          <w:caps w:val="false"/>
          <w:smallCaps w:val="false"/>
          <w:sz w:val="20"/>
          <w:bdr w:val="single" w:sz="12" w:space="5" w:color="000000"/>
        </w:rPr>
        <w:t>Seller Note</w:t>
      </w:r>
      <w:r>
        <w:rPr>
          <w:rFonts w:ascii="Times New Roman;Times;Serif" w:hAnsi="Times New Roman;Times;Serif"/>
          <w:b w:val="false"/>
          <w:i w:val="false"/>
          <w:caps w:val="false"/>
          <w:smallCaps w:val="false"/>
          <w:sz w:val="20"/>
          <w:bdr w:val="single" w:sz="12" w:space="5" w:color="000000"/>
        </w:rPr>
        <w:t>”). On May 20, 2026, the Company issued and sold a further $5,000,000 aggregate principal amount of 10.0% Notes in a private offering to an additional purchaser.</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21, 2026, in connection with the Offering, the Company and YA II PN, LTD., a Cayman Islands exempt limited company (“</w:t>
      </w:r>
      <w:r>
        <w:rPr>
          <w:rFonts w:ascii="Times New Roman;Times;Serif" w:hAnsi="Times New Roman;Times;Serif"/>
          <w:b/>
          <w:i w:val="false"/>
          <w:caps w:val="false"/>
          <w:smallCaps w:val="false"/>
          <w:sz w:val="20"/>
          <w:bdr w:val="single" w:sz="12" w:space="5" w:color="000000"/>
        </w:rPr>
        <w:t>Yorkville</w:t>
      </w:r>
      <w:r>
        <w:rPr>
          <w:rFonts w:ascii="Times New Roman;Times;Serif" w:hAnsi="Times New Roman;Times;Serif"/>
          <w:b w:val="false"/>
          <w:i w:val="false"/>
          <w:caps w:val="false"/>
          <w:smallCaps w:val="false"/>
          <w:sz w:val="20"/>
          <w:bdr w:val="single" w:sz="12" w:space="5" w:color="000000"/>
        </w:rPr>
        <w:t>”) entered into a letter agreement (the “</w:t>
      </w:r>
      <w:r>
        <w:rPr>
          <w:rFonts w:ascii="Times New Roman;Times;Serif" w:hAnsi="Times New Roman;Times;Serif"/>
          <w:b/>
          <w:i w:val="false"/>
          <w:caps w:val="false"/>
          <w:smallCaps w:val="false"/>
          <w:sz w:val="20"/>
          <w:bdr w:val="single" w:sz="12" w:space="5" w:color="000000"/>
        </w:rPr>
        <w:t>YA Letter</w:t>
      </w:r>
      <w:r>
        <w:rPr>
          <w:rFonts w:ascii="Times New Roman;Times;Serif" w:hAnsi="Times New Roman;Times;Serif"/>
          <w:b w:val="false"/>
          <w:i w:val="false"/>
          <w:caps w:val="false"/>
          <w:smallCaps w:val="false"/>
          <w:sz w:val="20"/>
          <w:bdr w:val="single" w:sz="12" w:space="5" w:color="000000"/>
        </w:rPr>
        <w:t>”). Pursuant to the YA Letter, the Company agreed to voluntary prepay $5,000,000 of the outstanding principal amount of YA Debenture (as defined below), resulting in a revised outstanding principal balance under the YA Debenture of $5,000,000. The Company further agreed to repay the remaining principal balance and accrued interest under the YA Debenture in four equal monthly installments of $1,287,000, with the first payment due on May 5, 2026. Pursuant to the YA Letter, Yorkville further consented to the issuance of the Notes and the grant of the liens pursuant to the Security Agreement (as defined below).</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connection with the closing of the Offering, on April 23, 2026, the Company executed and delivered the Indenture relating to the Notes (the “</w:t>
      </w:r>
      <w:r>
        <w:rPr>
          <w:rFonts w:ascii="Times New Roman;Times;Serif" w:hAnsi="Times New Roman;Times;Serif"/>
          <w:b/>
          <w:i w:val="false"/>
          <w:caps w:val="false"/>
          <w:smallCaps w:val="false"/>
          <w:sz w:val="20"/>
          <w:bdr w:val="single" w:sz="12" w:space="5" w:color="000000"/>
        </w:rPr>
        <w:t>Indenture</w:t>
      </w:r>
      <w:r>
        <w:rPr>
          <w:rFonts w:ascii="Times New Roman;Times;Serif" w:hAnsi="Times New Roman;Times;Serif"/>
          <w:b w:val="false"/>
          <w:i w:val="false"/>
          <w:caps w:val="false"/>
          <w:smallCaps w:val="false"/>
          <w:sz w:val="20"/>
          <w:bdr w:val="single" w:sz="12" w:space="5" w:color="00000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bdr w:val="single" w:sz="12" w:space="5" w:color="000000"/>
        </w:rPr>
        <w:t>Trustee</w:t>
      </w:r>
      <w:r>
        <w:rPr>
          <w:rFonts w:ascii="Times New Roman;Times;Serif" w:hAnsi="Times New Roman;Times;Serif"/>
          <w:b w:val="false"/>
          <w:i w:val="false"/>
          <w:caps w:val="false"/>
          <w:smallCaps w:val="false"/>
          <w:sz w:val="20"/>
          <w:bdr w:val="single" w:sz="12" w:space="5" w:color="000000"/>
        </w:rPr>
        <w:t>”) and as collateral agent (in such capacity, the “</w:t>
      </w:r>
      <w:r>
        <w:rPr>
          <w:rFonts w:ascii="Times New Roman;Times;Serif" w:hAnsi="Times New Roman;Times;Serif"/>
          <w:b/>
          <w:i w:val="false"/>
          <w:caps w:val="false"/>
          <w:smallCaps w:val="false"/>
          <w:sz w:val="20"/>
          <w:bdr w:val="single" w:sz="12" w:space="5" w:color="000000"/>
        </w:rPr>
        <w:t>Collateral Agent</w:t>
      </w:r>
      <w:r>
        <w:rPr>
          <w:rFonts w:ascii="Times New Roman;Times;Serif" w:hAnsi="Times New Roman;Times;Serif"/>
          <w:b w:val="false"/>
          <w:i w:val="false"/>
          <w:caps w:val="false"/>
          <w:smallCaps w:val="false"/>
          <w:sz w:val="20"/>
          <w:bdr w:val="single" w:sz="12" w:space="5" w:color="000000"/>
        </w:rPr>
        <w:t>”). Additionally, on April 23, 2026, the Company and the Collateral Agent entered into the Pledge and Security Agreement (the “</w:t>
      </w:r>
      <w:r>
        <w:rPr>
          <w:rFonts w:ascii="Times New Roman;Times;Serif" w:hAnsi="Times New Roman;Times;Serif"/>
          <w:b/>
          <w:i w:val="false"/>
          <w:caps w:val="false"/>
          <w:smallCaps w:val="false"/>
          <w:sz w:val="20"/>
          <w:bdr w:val="single" w:sz="12" w:space="5" w:color="000000"/>
        </w:rPr>
        <w:t>Security Agreement</w:t>
      </w:r>
      <w:r>
        <w:rPr>
          <w:rFonts w:ascii="Times New Roman;Times;Serif" w:hAnsi="Times New Roman;Times;Serif"/>
          <w:b w:val="false"/>
          <w:i w:val="false"/>
          <w:caps w:val="false"/>
          <w:smallCaps w:val="false"/>
          <w:sz w:val="20"/>
          <w:bdr w:val="single" w:sz="12" w:space="5" w:color="000000"/>
        </w:rPr>
        <w:t>”). Pursuant to the Security Agreement, the 10.0% Notes are secured by a first-priority security interest in substantially all of the assets of the Company and any Guarantor, subject to certain exceptions and permitted liens. Pursuant to the Security Agreement, on April 23, 2026, the Company and the Collateral Agent entered into a separate Patent Security Agreement (the “</w:t>
      </w:r>
      <w:r>
        <w:rPr>
          <w:rFonts w:ascii="Times New Roman;Times;Serif" w:hAnsi="Times New Roman;Times;Serif"/>
          <w:b/>
          <w:i w:val="false"/>
          <w:caps w:val="false"/>
          <w:smallCaps w:val="false"/>
          <w:sz w:val="20"/>
          <w:bdr w:val="single" w:sz="12" w:space="5" w:color="000000"/>
        </w:rPr>
        <w:t>Patent Security Agreement</w:t>
      </w:r>
      <w:r>
        <w:rPr>
          <w:rFonts w:ascii="Times New Roman;Times;Serif" w:hAnsi="Times New Roman;Times;Serif"/>
          <w:b w:val="false"/>
          <w:i w:val="false"/>
          <w:caps w:val="false"/>
          <w:smallCaps w:val="false"/>
          <w:sz w:val="20"/>
          <w:bdr w:val="single" w:sz="12" w:space="5" w:color="000000"/>
        </w:rPr>
        <w:t>”) and Trademark Security Agreement (the “</w:t>
      </w:r>
      <w:r>
        <w:rPr>
          <w:rFonts w:ascii="Times New Roman;Times;Serif" w:hAnsi="Times New Roman;Times;Serif"/>
          <w:b/>
          <w:i w:val="false"/>
          <w:caps w:val="false"/>
          <w:smallCaps w:val="false"/>
          <w:sz w:val="20"/>
          <w:bdr w:val="single" w:sz="12" w:space="5" w:color="000000"/>
        </w:rPr>
        <w:t>Trademark Security Agreement</w:t>
      </w:r>
      <w:r>
        <w:rPr>
          <w:rFonts w:ascii="Times New Roman;Times;Serif" w:hAnsi="Times New Roman;Times;Serif"/>
          <w:b w:val="false"/>
          <w:i w:val="false"/>
          <w:caps w:val="false"/>
          <w:smallCaps w:val="false"/>
          <w:sz w:val="20"/>
          <w:bdr w:val="single" w:sz="12" w:space="5" w:color="000000"/>
        </w:rPr>
        <w:t>”) in connection with the grant of the first-priority security interest under the Security Agreement.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Pursuant to the Note Purchase Agreement entered into between the Company and CPP on April 21, 2026 (the “</w:t>
      </w:r>
      <w:r>
        <w:rPr>
          <w:rFonts w:ascii="Times New Roman;Times;Serif" w:hAnsi="Times New Roman;Times;Serif"/>
          <w:b/>
          <w:i w:val="false"/>
          <w:caps w:val="false"/>
          <w:smallCaps w:val="false"/>
          <w:sz w:val="20"/>
          <w:bdr w:val="single" w:sz="12" w:space="5" w:color="000000"/>
        </w:rPr>
        <w:t>CPP Note Purchase Agreement</w:t>
      </w:r>
      <w:r>
        <w:rPr>
          <w:rFonts w:ascii="Times New Roman;Times;Serif" w:hAnsi="Times New Roman;Times;Serif"/>
          <w:b w:val="false"/>
          <w:i w:val="false"/>
          <w:caps w:val="false"/>
          <w:smallCaps w:val="false"/>
          <w:sz w:val="20"/>
          <w:bdr w:val="single" w:sz="12" w:space="5" w:color="000000"/>
        </w:rPr>
        <w:t>”), in connection with the closing of the Offering, on April 23, 2026: (i) the Company paid $4,000,000 in cash to CPP and (ii) entered into an amended and restated Seller Note with CPP (the “</w:t>
      </w:r>
      <w:r>
        <w:rPr>
          <w:rFonts w:ascii="Times New Roman;Times;Serif" w:hAnsi="Times New Roman;Times;Serif"/>
          <w:b/>
          <w:i w:val="false"/>
          <w:caps w:val="false"/>
          <w:smallCaps w:val="false"/>
          <w:sz w:val="20"/>
          <w:bdr w:val="single" w:sz="12" w:space="5" w:color="000000"/>
        </w:rPr>
        <w:t>A&amp;R Seller Note</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Further, on April 23, 2026, the Company and certain holders of the Company’s 7.0% Notes (as defined below) closed the transactions under the exchange agreements executed on April 21, 2026 (the “</w:t>
      </w:r>
      <w:r>
        <w:rPr>
          <w:rFonts w:ascii="Times New Roman;Times;Serif" w:hAnsi="Times New Roman;Times;Serif"/>
          <w:b/>
          <w:i w:val="false"/>
          <w:caps w:val="false"/>
          <w:smallCaps w:val="false"/>
          <w:sz w:val="20"/>
          <w:bdr w:val="single" w:sz="12" w:space="5" w:color="000000"/>
        </w:rPr>
        <w:t>7.0% Notes Exchange Agreements</w:t>
      </w:r>
      <w:r>
        <w:rPr>
          <w:rFonts w:ascii="Times New Roman;Times;Serif" w:hAnsi="Times New Roman;Times;Serif"/>
          <w:b w:val="false"/>
          <w:i w:val="false"/>
          <w:caps w:val="false"/>
          <w:smallCaps w:val="false"/>
          <w:sz w:val="20"/>
          <w:bdr w:val="single" w:sz="12" w:space="5" w:color="000000"/>
        </w:rPr>
        <w:t>”). In connection with the closings under the 7.0% Notes Exchange Agreements, the Company repurchased $21,250,000 aggregate principal amount of outstanding 7.0% Notes in exchange for (i) the issuance of an aggregate of 18,805,310 shares of Common Stock and (ii) the payment of approximately $456,438 of accrued interest payable under the exchanged 7.0% Notes.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19, 2026, the Company entered into a further note purchase agreement for the issuance of an additional $5.0 million principal amount of 10% Notes.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Ayna 2026 Warrant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issued the Ayna 2026 Warrant pursuant to which Ayna is entitled to purchase 380,000 shares of common stock at an exercise price per share of $0.01, subject to the provisions and upon the terms and conditions set forth in the Ayna 2026 Warrant. The issuance of the Ayna 2026 Warrant was in satisfaction of the compensation owed by us to Ayna under the terms of the Statement of Work, dated effective as of January 1, 2026. The Ayna 2026 Warrant provides Ayna with contractual registration rights with respect to the shares of common stock issuable upon exercise of the Ayna 2026 Warrant.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Cost Control Measures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Wendell Laidley Resignation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7, 2026, Wendell Laidley resigned from his position as Chief Financial Officer of the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Appointment of Bernard Gutmann as Director</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May 8, 2026, the Board of Directors of the Company appointed Bernard Gutmann to serve as a director of the Company and as a member of the Audit Committee.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Appointment of Tom Kowalczuk as Chief Financial Officer</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Effective June 30, 2026, the Company appointed Tom Kowalczuk to serve as the Chief Financial Officer and Principal Financial Officer of the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Jeanne Nguyen Departure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Effective July 8, 2026, Jeanne Nguyen, the Company’s former Chief Accounting Officer, departed from the Company.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Smaller Reporting Company and Emerging Growth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the comparison of our financial statements with other public companies difficult or impossible.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“emerging growth company,” as defined in the Jumpstart Our Business Startups Act of 2012 (“</w:t>
      </w:r>
      <w:r>
        <w:rPr>
          <w:rFonts w:ascii="Times New Roman;Times;Serif" w:hAnsi="Times New Roman;Times;Serif"/>
          <w:b/>
          <w:i w:val="false"/>
          <w:caps w:val="false"/>
          <w:smallCaps w:val="false"/>
          <w:sz w:val="20"/>
          <w:bdr w:val="single" w:sz="12" w:space="5" w:color="000000"/>
        </w:rPr>
        <w:t>JOBS Act</w:t>
      </w:r>
      <w:r>
        <w:rPr>
          <w:rFonts w:ascii="Times New Roman;Times;Serif" w:hAnsi="Times New Roman;Times;Serif"/>
          <w:b w:val="false"/>
          <w:i w:val="false"/>
          <w:caps w:val="false"/>
          <w:smallCaps w:val="false"/>
          <w:sz w:val="20"/>
          <w:bdr w:val="single" w:sz="12" w:space="5" w:color="000000"/>
        </w:rPr>
        <w: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to opt out of such extended transition period.</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will remain an emerging growth company until the earlier of: (1) the last day of the fiscal year (a) following the fifth anniversary of the closing of FACT’s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are to its meaning under the Securities Act, as modified by the JOBS Act.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Other Information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will bear all costs, expenses and fees in connection with the registration of Offered Securities. The Selling Securityholders will bear all commissions and discounts, if any, attributable to their sales of Offered Securities. We are registering certain shares of our common stock for sale by the Selling Securityholders pursuant to registration rights granted to the Selling Securityholders. See the section of this prospectus entitled “</w:t>
      </w:r>
      <w:r>
        <w:rPr>
          <w:rFonts w:ascii="Times New Roman;Times;Serif" w:hAnsi="Times New Roman;Times;Serif"/>
          <w:b w:val="false"/>
          <w:i/>
          <w:caps w:val="false"/>
          <w:smallCaps w:val="false"/>
          <w:sz w:val="20"/>
          <w:bdr w:val="single" w:sz="12" w:space="5" w:color="000000"/>
        </w:rPr>
        <w:t>Selling Securityholders</w:t>
      </w:r>
      <w:r>
        <w:rPr>
          <w:rFonts w:ascii="Times New Roman;Times;Serif" w:hAnsi="Times New Roman;Times;Serif"/>
          <w:b w:val="false"/>
          <w:i w:val="false"/>
          <w:caps w:val="false"/>
          <w:smallCaps w:val="false"/>
          <w:sz w:val="20"/>
          <w:bdr w:val="single" w:sz="12" w:space="5" w:color="000000"/>
        </w:rPr>
        <w:t>” for more information.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offering the securities covered by this prospectus, the Selling Securityholders and any broker-dealers who execute sales for the Selling Securityholders may be deemed to be “underwriters” within the meaning of the Securities Act of 1933, as amended (the “</w:t>
      </w:r>
      <w:r>
        <w:rPr>
          <w:rFonts w:ascii="Times New Roman;Times;Serif" w:hAnsi="Times New Roman;Times;Serif"/>
          <w:b/>
          <w:i w:val="false"/>
          <w:caps w:val="false"/>
          <w:smallCaps w:val="false"/>
          <w:sz w:val="20"/>
          <w:bdr w:val="single" w:sz="12" w:space="5" w:color="000000"/>
        </w:rPr>
        <w:t>Securities Act</w:t>
      </w:r>
      <w:r>
        <w:rPr>
          <w:rFonts w:ascii="Times New Roman;Times;Serif" w:hAnsi="Times New Roman;Times;Serif"/>
          <w:b w:val="false"/>
          <w:i w:val="false"/>
          <w:caps w:val="false"/>
          <w:smallCaps w:val="false"/>
          <w:sz w:val="20"/>
          <w:bdr w:val="single" w:sz="12" w:space="5" w:color="000000"/>
        </w:rPr>
        <w:t>”) in connection with such sales. Any profits realized by the Selling Securityholders and the compensation of any broker-dealer may be deemed to be underwriting discounts and commissions.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Selling Securityholders may offer and sell the Offered Securities owned by them covered by this prospectus from time to time, in a number of different ways and at varying prices. If any underwriters, dealers or agents are involved in the sale of any of the Offered Securities, their names and any applicable purchase price, fee, commission or discount arrangement between or among them will be set forth, or will be calculable from the information set forth, in any applicable prospectus supplement. See the sections of this prospectus entitled “</w:t>
      </w:r>
      <w:r>
        <w:rPr>
          <w:rFonts w:ascii="Times New Roman;Times;Serif" w:hAnsi="Times New Roman;Times;Serif"/>
          <w:b w:val="false"/>
          <w:i/>
          <w:caps w:val="false"/>
          <w:smallCaps w:val="false"/>
          <w:sz w:val="20"/>
          <w:bdr w:val="single" w:sz="12" w:space="5" w:color="000000"/>
        </w:rPr>
        <w:t>About this Prospectus</w:t>
      </w:r>
      <w:r>
        <w:rPr>
          <w:rFonts w:ascii="Times New Roman;Times;Serif" w:hAnsi="Times New Roman;Times;Serif"/>
          <w:b w:val="false"/>
          <w:i w:val="false"/>
          <w:caps w:val="false"/>
          <w:smallCaps w:val="false"/>
          <w:sz w:val="20"/>
          <w:bdr w:val="single" w:sz="12" w:space="5" w:color="000000"/>
        </w:rPr>
        <w:t>” and “</w:t>
      </w:r>
      <w:r>
        <w:rPr>
          <w:rFonts w:ascii="Times New Roman;Times;Serif" w:hAnsi="Times New Roman;Times;Serif"/>
          <w:b w:val="false"/>
          <w:i/>
          <w:caps w:val="false"/>
          <w:smallCaps w:val="false"/>
          <w:sz w:val="20"/>
          <w:bdr w:val="single" w:sz="12" w:space="5" w:color="000000"/>
        </w:rPr>
        <w:t>Plan of Distribution</w:t>
      </w:r>
      <w:r>
        <w:rPr>
          <w:rFonts w:ascii="Times New Roman;Times;Serif" w:hAnsi="Times New Roman;Times;Serif"/>
          <w:b w:val="false"/>
          <w:i w:val="false"/>
          <w:caps w:val="false"/>
          <w:smallCaps w:val="false"/>
          <w:sz w:val="20"/>
          <w:bdr w:val="single" w:sz="12" w:space="5" w:color="000000"/>
        </w:rPr>
        <w:t>”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Summary Risk Factors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Below is a summary of material factors that make an investment in our securities speculative or risky. Importantly, this summary does not address all of the risks and uncertainties that we face.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history of losses that may continue in the future; our management has identified conditions that raise substantial doubt about our ability to continue as a going concern; and we may not achieve profitability or generate positive cash flow.</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Raising additional funds may cause dilution to existing stockholders and/or may restrict our operations or require us to relinquish proprietary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have identified material weaknesses in our internal controls over financial reporting. As a result of these material weaknesses, we previously identified material errors to our interim results for the thirteen weeks ended March 30, 2025, the thirteen and twenty-six weeks ended June 29, 2025, and the thirteen and thirty-nine weeks ended September 28, 2025 (the “Prior Periods”) and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risks related to the restatement of our previously issued quarterly financial statements.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prepare and timely file our periodic reports with the SEC limits our access to the public markets to raise debt or equity capital.</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in part on the availability of rebates, tax credits and other financial incentives. The OBBBA has materially reduced the availability of these rebates, credits or incentives, which may adversely impact our business.</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 our domestic and international markets, as well as inflation concerns, instability of financial institutions, rising interest rates, and recessionary concerns may adversely affect our industry, business and financial results.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incurred losses and may be unable to achieve or sustain profitability in the future.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competition from both traditional energy companies and renewable energy companies.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growth strategy depends on the widespread adoption of solar power technology.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exposed to the credit risk of customers and our finance partners, and payment delinquencies on accounts receivables.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unauthorized access to or disclosure or theft of personal information we gather, store or use could harm our reputation and subject us to claims or litigation.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on the continuing contributions of key personnel, including Thurman J. Rodgers. If we are unable to attract and retain key employees and qualified personnel, our business and prospects could be harmed.</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results and ability to grow may fluctuate from quarter to quarter and year to year, which could make future performance difficult to predict and could cause operating results for a particular period to fall below expectations.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Directors, executive officers and principal stockholders will continue to have significant influence over our company, which could limit your ability to influence the outcome of key transactions, including a change of control.</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meet all applicable requirements of Nasdaq and Nasdaq determines to delist our common stock, the delisting could adversely affect the market liquidity of our common stock and the market price of our common stock could decrease.</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10.0% Notes are secured obligations, and there are risks associated with our 10.0% Notes that could adversely affect our business and financial condition.</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features of the Convertible Senior Notes and Yorkville Notes may adversely affect our financial condition and operating results.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(including potential sales of securities by the Selling Securityholders), or the perception of future sales, by us or our stockholders in the public market could cause the market price for the common stock to decline.</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530"/>
        <w:gridCol w:w="60"/>
        <w:gridCol w:w="170"/>
        <w:gridCol w:w="7445"/>
      </w:tblGrid>
      <w:tr>
        <w:trPr/>
        <w:tc>
          <w:tcPr>
            <w:tcW w:w="253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Securities offered by the Selling Securityholders</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45,571,137 shares of our common stock consisting of:</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ind w:left="0" w:right="0" w:hanging="180"/>
              <w:jc w:val="both"/>
              <w:rPr/>
            </w:pPr>
            <w:r>
              <w:rPr/>
              <w:t> </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19,300,991 shares of common stock previously issued by us pursuant to the Exchange Agreements; and</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283"/>
              <w:ind w:left="0" w:right="0" w:hanging="180"/>
              <w:jc w:val="both"/>
              <w:rPr/>
            </w:pPr>
            <w:r>
              <w:rPr/>
              <w:t> </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17,900,462 shares of common stock previously issued by us pursuant to the FPA Settlement Agreements and up to an additional 8,369,684 shares of common stock issuable under the FPA Settlement Agreements;</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283"/>
              <w:ind w:left="0" w:right="0" w:hanging="180"/>
              <w:jc w:val="both"/>
              <w:rPr/>
            </w:pPr>
            <w:r>
              <w:rPr/>
              <w:t> </w:t>
            </w:r>
          </w:p>
        </w:tc>
      </w:tr>
      <w:tr>
        <w:trPr/>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prior to this offering</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183,057,547 (as of July 16, 2026).</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283"/>
              <w:ind w:left="0" w:right="0" w:hanging="180"/>
              <w:jc w:val="both"/>
              <w:rPr/>
            </w:pPr>
            <w:r>
              <w:rPr/>
              <w:t> </w:t>
            </w:r>
          </w:p>
        </w:tc>
      </w:tr>
      <w:tr>
        <w:trPr/>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after this offering</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228,628,684 (based on the total shares outstanding as of July 16, 2026).</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283"/>
              <w:jc w:val="both"/>
              <w:rPr/>
            </w:pPr>
            <w:r>
              <w:rPr/>
              <w:t> </w:t>
            </w:r>
          </w:p>
        </w:tc>
      </w:tr>
      <w:tr>
        <w:trPr/>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of the offering</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Securityholders will determine when and how they will dispose of the shares of common stock registered for resale under this prospectus.</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283"/>
              <w:jc w:val="both"/>
              <w:rPr/>
            </w:pPr>
            <w:r>
              <w:rPr/>
              <w:t> </w:t>
            </w:r>
          </w:p>
        </w:tc>
      </w:tr>
      <w:tr>
        <w:trPr/>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common stock included in this prospectus by the Selling Securityholders.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prospectus and the registration statement of which it is a part.</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283"/>
              <w:jc w:val="both"/>
              <w:rPr/>
            </w:pPr>
            <w:r>
              <w:rPr/>
              <w:t> </w:t>
            </w:r>
          </w:p>
        </w:tc>
      </w:tr>
      <w:tr>
        <w:trPr/>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investing in our securities, you should carefully read and consider the information set forth in “</w:t>
            </w:r>
            <w:r>
              <w:rPr>
                <w:rFonts w:ascii="Times New Roman;Times;Serif" w:hAnsi="Times New Roman;Times;Serif"/>
                <w:i/>
                <w:sz w:val="20"/>
              </w:rPr>
              <w:t>Risk Factors</w:t>
            </w:r>
            <w:r>
              <w:rPr>
                <w:rFonts w:ascii="Times New Roman;Times;Serif" w:hAnsi="Times New Roman;Times;Serif"/>
                <w:sz w:val="20"/>
              </w:rPr>
              <w:t>” beginning on page 9.</w:t>
            </w:r>
          </w:p>
        </w:tc>
      </w:tr>
      <w:tr>
        <w:trPr/>
        <w:tc>
          <w:tcPr>
            <w:tcW w:w="2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283"/>
              <w:jc w:val="both"/>
              <w:rPr/>
            </w:pPr>
            <w:r>
              <w:rPr/>
              <w:t> </w:t>
            </w:r>
          </w:p>
        </w:tc>
      </w:tr>
      <w:tr>
        <w:trPr/>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ticker symbols</w:t>
            </w:r>
          </w:p>
        </w:tc>
        <w:tc>
          <w:tcPr>
            <w:tcW w:w="60" w:type="dxa"/>
            <w:tcBorders/>
            <w:vAlign w:val="center"/>
          </w:tcPr>
          <w:p>
            <w:pPr>
              <w:pStyle w:val="TableContents"/>
              <w:bidi w:val="0"/>
              <w:spacing w:before="0" w:after="283"/>
              <w:jc w:val="left"/>
              <w:rPr/>
            </w:pPr>
            <w:r>
              <w:rPr/>
              <w:t> </w:t>
            </w:r>
          </w:p>
        </w:tc>
        <w:tc>
          <w:tcPr>
            <w:tcW w:w="7615" w:type="dxa"/>
            <w:gridSpan w:val="2"/>
            <w:tcBorders/>
            <w:vAlign w:val="center"/>
          </w:tcPr>
          <w:p>
            <w:pPr>
              <w:pStyle w:val="TableContents"/>
              <w:bidi w:val="0"/>
              <w:spacing w:before="0" w:after="283"/>
              <w:jc w:val="both"/>
              <w:rPr/>
            </w:pPr>
            <w:r>
              <w:rPr/>
              <w:t>“</w:t>
            </w:r>
            <w:r>
              <w:rPr>
                <w:rFonts w:ascii="Times New Roman;Times;Serif" w:hAnsi="Times New Roman;Times;Serif"/>
                <w:sz w:val="20"/>
              </w:rPr>
              <w:t>SPWR” and “SPWRW”</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additional information concerning the offering, see “</w:t>
      </w:r>
      <w:r>
        <w:rPr>
          <w:rFonts w:ascii="Times New Roman;Times;Serif" w:hAnsi="Times New Roman;Times;Serif"/>
          <w:b w:val="false"/>
          <w:i/>
          <w:caps w:val="false"/>
          <w:smallCaps w:val="false"/>
          <w:sz w:val="20"/>
          <w:bdr w:val="single" w:sz="12" w:space="5" w:color="000000"/>
        </w:rPr>
        <w:t>Plan of Distribution</w:t>
      </w:r>
      <w:r>
        <w:rPr>
          <w:rFonts w:ascii="Times New Roman;Times;Serif" w:hAnsi="Times New Roman;Times;Serif"/>
          <w:b w:val="false"/>
          <w:i w:val="false"/>
          <w:caps w:val="false"/>
          <w:smallCaps w:val="false"/>
          <w:sz w:val="20"/>
          <w:bdr w:val="single" w:sz="12" w:space="5" w:color="000000"/>
        </w:rPr>
        <w:t>” beginning on page 113.</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Businesses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that may continue in the future; our management has identified conditions that raise substantial doubt about our ability to continue as a going concern; and we may not achieve profitability or generate positive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losses and negative cash flows from operations. We incurred a net loss from continuing operations of $44.3 million in the fiscal year ended December 28, 2025 and of $19.2 million in the thirteen weeks ended March 29, 2026. We had an accumulated deficit of $451.5 million as of March 29, 2026. We have current debt of $38.0 million, and notes payable and derivative liabilities, net of current portion of $131.8 million, as of March 29, 2026, as well as other current and long-term liabilities (including the liability we recorded relating to a litigation matter with Siemens). We had cash and cash equivalents, excluding restricted cash, of $9.5 million as of March 29, 2026,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(c) Liquidity and Going Concern” for a further discussion of the other factors that may impact our liquidity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generate sufficient cash flows from operations, raise additional capital or reduce certain discretionary spending would have a material adverse effect on our ability to achieve our intended business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Sunder, Ambia and Cobalt. We anticipate that our operating losses and negative operating cash flows will continue into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excluding restricted cash, of $9.5 million as of March 29, 2026.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additional equity, equity-related or debt securities or through obtaining credit from financial institutions to fund, together with our principal sources of liquidity, any significant unplanned or accelerated expenses and new strategic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funds may cause dilution to existing stockholders and/or may restrict our operations or require us to relinquish proprietary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by issuing equity, convertible debt or other convertible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existing equity line of credit with White Lion (as defined below), through our standby equity purchase facility with Yorkville 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or shelf registration statement are currently constrained by the size of our non-affiliate market capitalization, our trading volume and other factors, and there can be no assurance regarding the price at which we will be able to sell such shares, and any sales of our common stock under our at-the-market offering facility, and any offerings we might complete under our shelf registration statement, may be at prices that result in additional dilution to our existing stockholders. Further, as a result of our current ineligibility to use Form S-3, we currently cannot use our at-the-market offering facility or conduct securities offerings using our shelf registration statement. If we incur additional debt, the debt holders, together with holders of our outstanding Convertible Senior Notes and the Yorkville Notes (each as defined below), would have rights senior to holders of common stock to make claims on our assets, and the terms of any future debt could restrict our operations, including our ability to pay dividends on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controls over financial reporting. As a result of these material weaknesses, we identified material errors to our interim results for the thirteen weeks ended March 30, 2025, the thirteen and twenty-six weeks ended June 29, 2025, and the thirteen and thirty-nine weeks ended September 28, 2025 (the “Prior Periods”) and we have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 ended December 28, 2025,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controls to execute the criteria established in the COSO Framework for (i) the control environment, (ii) risk assessment, (iii) control activities, (iv) information and communication, and (v) monitoring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control deficiencies identified below constitute a material weakness, either individually or in the aggregate.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Environment.</w:t>
      </w:r>
      <w:r>
        <w:rPr>
          <w:rFonts w:ascii="Times New Roman;Times;Serif" w:hAnsi="Times New Roman;Times;Serif"/>
          <w:b w:val="false"/>
          <w:i w:val="false"/>
          <w:caps w:val="false"/>
          <w:smallCaps w:val="false"/>
          <w:sz w:val="20"/>
        </w:rPr>
        <w:t xml:space="preserve"> Our Company did not maintain an effective control environment and identified the following material weakness: our 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Activities.</w:t>
      </w:r>
      <w:r>
        <w:rPr>
          <w:rFonts w:ascii="Times New Roman;Times;Serif" w:hAnsi="Times New Roman;Times;Serif"/>
          <w:b w:val="false"/>
          <w:i w:val="false"/>
          <w:caps w:val="false"/>
          <w:smallCaps w:val="false"/>
          <w:sz w:val="20"/>
        </w:rPr>
        <w:t xml:space="preserve"> Our Company did not design and implement effective control activities and identified the following material weakness: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Ineffective design and operation of certain control activities due to significant personnel changes throughout fiscal 2025. Control deficiencies, which aggregate to a material weakness, occurred within substantially all areas of financial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and Communication. </w:t>
      </w:r>
      <w:r>
        <w:rPr>
          <w:rFonts w:ascii="Times New Roman;Times;Serif" w:hAnsi="Times New Roman;Times;Serif"/>
          <w:b w:val="false"/>
          <w:i w:val="false"/>
          <w:caps w:val="false"/>
          <w:smallCaps w:val="false"/>
          <w:sz w:val="20"/>
        </w:rPr>
        <w:t>Our Company did not design and implement effective information and communication activities and identified the following material weaknesses</w:t>
      </w:r>
      <w:r>
        <w:rPr>
          <w:rFonts w:ascii="Times New Roman;Times;Serif" w:hAnsi="Times New Roman;Times;Serif"/>
          <w:b w:val="false"/>
          <w:i/>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tc>
      </w:tr>
    </w:tbl>
    <w:p>
      <w:pPr>
        <w:pStyle w:val="TextBody"/>
        <w:bidi w:val="0"/>
        <w:spacing w:before="0" w:after="0"/>
        <w:ind w:left="108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have adequate processes and controls for communicating information among the accounting, finance, operations, and legal departments, necessary to support the proper functioning of internal controls.</w:t>
            </w:r>
          </w:p>
        </w:tc>
      </w:tr>
    </w:tbl>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Monitoring Activities. </w:t>
      </w:r>
      <w:r>
        <w:rPr>
          <w:rFonts w:ascii="Times New Roman;Times;Serif" w:hAnsi="Times New Roman;Times;Serif"/>
          <w:b w:val="false"/>
          <w:i w:val="false"/>
          <w:caps w:val="false"/>
          <w:smallCaps w:val="false"/>
          <w:sz w:val="20"/>
        </w:rPr>
        <w:t>Our Company did not design and implement effective monitoring activities and identified the following material 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described in the paragraphs above contributed to material accounting errors identified and corrected during the audit of our Company’s financial statements. Additionally, in connection with the preparation of our audited financial statements for the year ended December 28, 2025, and as a result of these material weaknesses, we identified material errors to our interim results for the thirteen weeks ended March 30, 2025, the thirteen and twenty-six weeks ended June 29, 2025, and the thirteen and thirty-nine weeks ended September 28, 2025 (the “Prior Periods”) and we determined that the Prior Periods included in our Quarterly Reports on Form 10-Q for the quarters ended March 30, 2025, June 29, 2025, and September 28, 2025 (the “Prior Filings”) should no longer be relied upon and should be restated. If we fail to adequately remediate these material weaknesses, there could be material misstatements that may not be prevented or detected.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provide assurance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(and which would limit our ability to use Form S-3 and may impact the availability of Rule 144), restatements of financial statements or other corrective disclosures, an inability to access commercial lending markets, defaults under our convertible notes and outstanding loans and other agreements, or other material adverse effects on our business, reputation, results of operations, financial condition or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face risks related to the restatement of our previously issued quarterly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determination that the Prior Filings should no longer be relied upon and should be restated, we face a number of additional risks and uncertainties, which may affect investor confidence in the accuracy of our financial disclosures and may raise reputation issues for our business. For example, we may face potential litigation or other disputes, which may include claims relating to federal and state securities laws, contractual claims and other claims arising from the restatement of the Prior Filings and the material weaknesses in our internal control over financial reporting and the preparation of our financial statements. We may discover additional errors in our previously filed financial statements. 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prepare and timely file our periodic reports with the SEC limits our access to the public markets to raise debt or equity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file our Quarterly Report on Form 10-Q for the quarter ended March 29, 2026, our Annual Report on Form 10-K for the fiscal year ended December 29, 2024, our Quarterly Report on Form 10-Q for the quarter ended September 28, 2025 or the amendment required to our Current Report originally filed on September 26, 2025 relating to the Sunder acquisition within the timeframe required by the SEC.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international trade policies, tariffs, or trade disputes could significantly and adversely affect our business, revenues, margins, results of operations, and cash flows.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2018, safeguard tariffs on imported solar cells and modules (“</w:t>
      </w:r>
      <w:r>
        <w:rPr>
          <w:rFonts w:ascii="Times New Roman;Times;Serif" w:hAnsi="Times New Roman;Times;Serif"/>
          <w:b/>
          <w:i w:val="false"/>
          <w:caps w:val="false"/>
          <w:smallCaps w:val="false"/>
          <w:sz w:val="20"/>
        </w:rPr>
        <w:t>CSPV</w:t>
      </w:r>
      <w:r>
        <w:rPr>
          <w:rFonts w:ascii="Times New Roman;Times;Serif" w:hAnsi="Times New Roman;Times;Serif"/>
          <w:b w:val="false"/>
          <w:i w:val="false"/>
          <w:caps w:val="false"/>
          <w:smallCaps w:val="false"/>
          <w:sz w:val="20"/>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Times;Serif" w:hAnsi="Times New Roman;Times;Serif"/>
          <w:b/>
          <w:i w:val="false"/>
          <w:caps w:val="false"/>
          <w:smallCaps w:val="false"/>
          <w:sz w:val="20"/>
        </w:rPr>
        <w:t>International Trade Commission</w:t>
      </w:r>
      <w:r>
        <w:rPr>
          <w:rFonts w:ascii="Times New Roman;Times;Serif" w:hAnsi="Times New Roman;Times;Serif"/>
          <w:b w:val="false"/>
          <w:i w:val="false"/>
          <w:caps w:val="false"/>
          <w:smallCaps w:val="false"/>
          <w:sz w:val="20"/>
        </w:rPr>
        <w:t>”). On February 4, 2022, then President Biden issued Proclamation 10339 extending the existing safeguard measures on U.S. imports of CSPV products by an additional four years until February 6, 2026. Prior to the termination of the safeguard tariffs, modules were subject to a tariff rate of approximately 15%. Cells were subjected to a tariff-rate quota, under which the first 5 GW of cell imports each year was exempt from tariffs, and cells imported after the 5 GW quota was reached were subject to the same approximately 15% tariff as modules in the first year, with the same 0.25% decline in each of the three subsequent years. The tariff-free cell quota applied globally, without any allocation by country or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solar cells and modules based on interdigitated back contact technology were excluded from these safeguard tariffs, our solar products based on other technologies continued to be subject to the safeguard tariffs until February 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cells and panels from various countries continue to be subject to U.S. antidumping, and countervailing duty (AD/CVD) actions in the United States. The U.S. Department of Commerce (the “</w:t>
      </w:r>
      <w:r>
        <w:rPr>
          <w:rFonts w:ascii="Times New Roman;Times;Serif" w:hAnsi="Times New Roman;Times;Serif"/>
          <w:b/>
          <w:i w:val="false"/>
          <w:caps w:val="false"/>
          <w:smallCaps w:val="false"/>
          <w:sz w:val="20"/>
        </w:rPr>
        <w:t>Department of Commerce</w:t>
      </w:r>
      <w:r>
        <w:rPr>
          <w:rFonts w:ascii="Times New Roman;Times;Serif" w:hAnsi="Times New Roman;Times;Serif"/>
          <w:b w:val="false"/>
          <w:i w:val="false"/>
          <w:caps w:val="false"/>
          <w:smallCaps w:val="false"/>
          <w:sz w:val="20"/>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then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In August 2025 the Court of International Trade found the moratorium on the collection of AD/CVD duties to be unlawful and ordered retroactive collection of duties that should have been paid during that period. The retroactive collection of duties was stayed pending appeal. On February 9, 2026, the U.S. government withdrew its appeal of that decision, but other parties continue to pursue the appeal. In addition, on May 15, 2024 the Department of Commerce and the U.S. International Trade Commission initiated antidumping and countervailing duty investigations of CSPV products from Cambodia, Malaysia, Thailand, and Vietnam. Both the Department of Commerce and the U.S. International Trade Commission made affirmative findings for all countries. On June 24, 2025, the Department of Commerce imposed antidumping and countervailing duty orders on CSPV products from all four countries. Duty rates range from zero to over 100% antidumping duties and approximately 15% to over 3000% countervailing duties depending on the company and country. Antidumping and countervailing duties are assessed retroactively and thus final assessment of duties on imports made after June 2025 will be determined in future proceedings by the Department of Commerce.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AD/CVD duty rates, together with 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our solar power products and greatly reduce our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in part on the availability of rebates, tax credits and other financial incentives. The OBBBA has materially reduced the availability of these rebates, credits or incentives, which may adversely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Inflation Reduction Act of 2022 (“</w:t>
      </w:r>
      <w:r>
        <w:rPr>
          <w:rFonts w:ascii="Times New Roman;Times;Serif" w:hAnsi="Times New Roman;Times;Serif"/>
          <w:b/>
          <w:i w:val="false"/>
          <w:caps w:val="false"/>
          <w:smallCaps w:val="false"/>
          <w:sz w:val="20"/>
        </w:rPr>
        <w:t>IRA</w:t>
      </w:r>
      <w:r>
        <w:rPr>
          <w:rFonts w:ascii="Times New Roman;Times;Serif" w:hAnsi="Times New Roman;Times;Serif"/>
          <w:b w:val="false"/>
          <w:i w:val="false"/>
          <w:caps w:val="false"/>
          <w:smallCaps w:val="false"/>
          <w:sz w:val="20"/>
        </w:rPr>
        <w:t>”) extended and modified prior law applicable to U.S. federal tax credits that are available with respect to solar energy systems. Under the IRA, the following tax credits were generally available: (i) a production tax credit under Code Section 45 (for facilities that began construction before January 1, 2025) and Code Section 45Y (for facilities that are placed in service after December 31, 2024) (the “</w:t>
      </w:r>
      <w:r>
        <w:rPr>
          <w:rFonts w:ascii="Times New Roman;Times;Serif" w:hAnsi="Times New Roman;Times;Serif"/>
          <w:b/>
          <w:i w:val="false"/>
          <w:caps w:val="false"/>
          <w:smallCaps w:val="false"/>
          <w:sz w:val="20"/>
        </w:rPr>
        <w:t>PTC</w:t>
      </w:r>
      <w:r>
        <w:rPr>
          <w:rFonts w:ascii="Times New Roman;Times;Serif" w:hAnsi="Times New Roman;Times;Serif"/>
          <w:b w:val="false"/>
          <w:i w:val="false"/>
          <w:caps w:val="false"/>
          <w:smallCaps w:val="false"/>
          <w:sz w:val="20"/>
        </w:rPr>
        <w:t>”) with respect to electricity produced from certain qualifying facilities, (ii) an investment tax credit under Code Section 48 (for facilities that began construction before January 1, 2025) and Code Section 48E (for facilities that are placed in service after December 31, 2024) (the “</w:t>
      </w:r>
      <w:r>
        <w:rPr>
          <w:rFonts w:ascii="Times New Roman;Times;Serif" w:hAnsi="Times New Roman;Times;Serif"/>
          <w:b/>
          <w:i w:val="false"/>
          <w:caps w:val="false"/>
          <w:smallCaps w:val="false"/>
          <w:sz w:val="20"/>
        </w:rPr>
        <w:t>ITC</w:t>
      </w:r>
      <w:r>
        <w:rPr>
          <w:rFonts w:ascii="Times New Roman;Times;Serif" w:hAnsi="Times New Roman;Times;Serif"/>
          <w:b w:val="false"/>
          <w:i w:val="false"/>
          <w:caps w:val="false"/>
          <w:smallCaps w:val="false"/>
          <w:sz w:val="20"/>
        </w:rPr>
        <w:t>”) in connection with the installation of certain solar facilities and energy storage technology, and (iii) a residential clean energy credit (the “</w:t>
      </w:r>
      <w:r>
        <w:rPr>
          <w:rFonts w:ascii="Times New Roman;Times;Serif" w:hAnsi="Times New Roman;Times;Serif"/>
          <w:b/>
          <w:i w:val="false"/>
          <w:caps w:val="false"/>
          <w:smallCaps w:val="false"/>
          <w:sz w:val="20"/>
        </w:rPr>
        <w:t>Section 25D Credit</w:t>
      </w:r>
      <w:r>
        <w:rPr>
          <w:rFonts w:ascii="Times New Roman;Times;Serif" w:hAnsi="Times New Roman;Times;Serif"/>
          <w:b w:val="false"/>
          <w:i w:val="false"/>
          <w:caps w:val="false"/>
          <w:smallCaps w:val="false"/>
          <w:sz w:val="20"/>
        </w:rPr>
        <w:t>”) in connection with the installation of qualifying property that uses solar energy to generate electricity for residential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w:t>
      </w:r>
      <w:r>
        <w:rPr>
          <w:rFonts w:ascii="Times New Roman;Times;Serif" w:hAnsi="Times New Roman;Times;Serif"/>
          <w:b/>
          <w:i w:val="false"/>
          <w:caps w:val="false"/>
          <w:smallCaps w:val="false"/>
          <w:sz w:val="20"/>
        </w:rPr>
        <w:t>OBBBA</w:t>
      </w:r>
      <w:r>
        <w:rPr>
          <w:rFonts w:ascii="Times New Roman;Times;Serif" w:hAnsi="Times New Roman;Times;Serif"/>
          <w:b w:val="false"/>
          <w:i w:val="false"/>
          <w:caps w:val="false"/>
          <w:smallCaps w:val="false"/>
          <w:sz w:val="20"/>
        </w:rPr>
        <w:t>”) was enacted and significantly modified the IRA’s clean energy incentive framework by accelerating the termination of certain credits and adding new eligibility restrictions and compliance burdens. The OBBBA effectively repealed, on an accelerated timeline, key federal tax incentives for solar projects by curtailing eligibility for the clean electricity PTC and ITC for applicable solar facilities placed in service after December 31, 2027 (subject to grandfathering for projects that begin construction by July 4, 2026) and by terminating the Section 25D Credit after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PTC, solar energy projects that began construction before January 1, 2025 generally remain eligible for the PTC under Section 45 (as amended by the IRA) and generally are not subject to the accelerated phaseouts or other limitations introduced by the OBBBA.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to 1.5 cents (adjusted for inflation) for projects that (i) have a maximum net output of less than one megawatt (measured in alternating current), (ii) begin construction before January 29, 2023, and (iii) meet certain prevailing wage and apprenticeship requirements. It also may be increased for projects that include a certain percentage of components produced in the U.S. and projects that are located in certain energy communities, in each case subject to applicable requirements and IRS guidance.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PTC under Code Section 45Y, the successor to Code Section 45 that is applicable for facilities placed in service after December 31, 2024, generally is similar to the PTC under Code Section 45 but includes certain different terms and qualification requirements. The PTC amount under Code Section 45Y generally is equal to the PTC outlined above for Code Section 45, including the availability of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OBBBA, solar facilities that begin construction after July 4, 2026 (one year after enactment of the OBBBA) are ineligible for the Code Section 45Y credit if placed in service after December 31, 2027. Facilities that begin construction prior to July 4, 2026 are not subject to this accelerated placed-in-service deadline. In addition, IRS guidance interpreting these OBBBA termination provisions imposes more stringent “beginning of construction” requirements, increasing the risk that projects may fail to qualify if development timelines slip or if the taxpayer cannot satisfy the applicable standards. Moreover, the OBBBA denies the Code Section 45Y for certain leased residential solar water heating property (while generally excluding leased solar electric generating property from that denial). A facility is not eligible for the PTC under Code Section 45Y if a tax credit already is allowed with respect to the facility under Code Section 45, 48 or 48E (or certain other tax credit provisions) for the taxable year or any prior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ITC, solar energy projects that began construction before January 1, 2025 generally remain eligible for the ITC under Section 48 and are not subject to the accelerated phaseouts or other limitations introduced by the OBBBA. The ITC available under Code Section 48E is the successor provision of Code Section 48 and is applicable for investments in facilities placed in service after December 31, 2024. The ITC under Code Section 48E generally is similar to the ITC outlined above under Code Section 48 in structure, including generally providing for the same increased credit rates under the same circumstances. The ITC under Code Section 48E applies to investments in a “qualified facility” and “energy storage technology”. A “qualified facility” for these purposes generally is the same as described above for the PTC under Code Section 45Y and “energy storage technology” is defined by reference to such term in Code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Section 45Y, solar facilities that begin construction after July 4, 2026 (one year after enactment) are ineligible for the Section 48E credit if placed in service after December 31, 2027. This placed-in-service deadline would not apply to energy storage technology. Moreover, the OBBBA denies the Code Section 48E for certain leased residential solar water heating property (while generally excluding leased solar electric generating property from that denial).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IRA, 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and 30% for such systems that are placed in service after December 31, 2021. As modified by the OBBBA, the Section 25D Credit terminated with respect to expenditures made after December 31, 2025, and an expenditure generally is treated as made when the original installation of the property is completed (or, in certain cases, when construction or reconstruction is completed and the taxpayer’s original use of the structure begins). The unavailability of the Section 25D Credit for systems when installation is completed after December 31, 2025 likely will impact the prices of our solar energy systems and overall value proposition our solar systems provide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also introduces additional restrictions relating to certain FEOC and supply chain sourcing, which may affect project eligibility and increase compliance costs. On February 12, 2026, the U.S. Treasury Department and Internal Revenue Service released IRS Notice 2026-15, which provides additional guidance regarding the prohibited foreign entity (“PFE”) rules under the OBBBA. In particular, this notice establishes interim safe harbors for determining whether a project receives material assistance from a PFE, including guidance on calculation of the Material Assistance Cost Ratio. While this guidance reduces certain uncertainties, it is interim in nature, and further rulemaking, including a notice of proposed rulemaking and final regulations expected later in 2026, may modify or replace this framework. Such future guidance could impose more restrictive requirements or additional compliance burdens, which may increase our costs and adversely affect our ability, or our customers’ ability, to qualify for applicable tax credits. If we or our customers are unable to satisfy the PFE or related eligibility requirements, it could materially and adversely affect our revenues, results of operations, cash flows and the overall demand for our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has materially reduced the governmental incentives available to participants in the solar industry, which is likely to adversely affect the results of our operations and our ability to compete in this industry by increasing the cost of capital, causing us to increase the prices of our energy and solar energy systems and reduce the size of our addressable market. Even where incentives remain available, evolving statutory requirements and administrative guidance may create uncertainty, increase compliance costs, and delay or reduce tax credit financing, which could disrupt project timelines and harm our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U.S. federal tax credits discussed above have complex legal and operational requirements, including with respect to “beginning of construction” and placed-in-service requirements. There also may be uncertainty as to how such requirements promulgated under the IRA or the OBBBA are interpreted. If Internal Revenue Service guidance regarding implementation of the IRA or the OBBBA is viewed by investors as unclear, tax credit financing may be delayed or downsized, harming our ability to secure financing for customers. Our failure to either (i) interpret the new requirements under the IRA and the OBBBA regarding among other things, timing of construction,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we cannot be certain if the reduced reporting requirements applicable to these companies will make our common stock less attractive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of Section 404 of the Sarbanes-Oxley Act of 2002, as amended (the “</w:t>
            </w:r>
            <w:r>
              <w:rPr>
                <w:rFonts w:ascii="Times New Roman;Times;Serif" w:hAnsi="Times New Roman;Times;Serif"/>
                <w:b/>
                <w:sz w:val="20"/>
              </w:rPr>
              <w:t>Sarbanes-Oxley Act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any requirement that may be adopted by the Public Company Accounting Oversight Board (the “</w:t>
            </w:r>
            <w:r>
              <w:rPr>
                <w:rFonts w:ascii="Times New Roman;Times;Serif" w:hAnsi="Times New Roman;Times;Serif"/>
                <w:b/>
                <w:sz w:val="20"/>
              </w:rPr>
              <w:t>PCAOB</w:t>
            </w:r>
            <w:r>
              <w:rPr>
                <w:rFonts w:ascii="Times New Roman;Times;Serif" w:hAnsi="Times New Roman;Times;Serif"/>
                <w:sz w:val="20"/>
              </w:rPr>
              <w:t>”) regarding mandatory audit firm rotation or a supplement to the auditor’s report providing additional information about the audit and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our periodic reports and proxy statements;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nonbinding advisory stockholder votes on executive compensation and stockholder approval of any golden parachute payments not previously approved.</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after we no longer qualify as an emerging growth company, we may still qualify as a “smaller reporting company,” as defined in the Exchange Act, which generally would allow us to continue to take advantage of many of the same exemptions from disclosure requirements, including providing only two years of audited financial statements, not being required to comply with the auditor attestation requirements of Section 404 of the Sarbanes-Oxley Act and reduced disclosure obligations regarding executive compensation our periodic reports and proxy statements, unless we are also an accelerated filer, in which case different requirements will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conditions in our domestic and international markets, as well as inflation concerns, instability of financial institutions, rising interest rates, and recessionary concerns may adversely affect our industry, business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demand for our products as a result of constraints on spending for solar energy systems by our customers and/or a reduction in government subsidies for renewable energy investments;</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price competition for our products that may adversely affect revenue, gross margin and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75"/>
        <w:gridCol w:w="170"/>
        <w:gridCol w:w="7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introduction of any disadvantageous trade regulations and import duties and tariffs;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ability to forecast operating results and make decisions about budgeting, planning and future investments;</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in the popularity of solar energy as a green energy 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tc>
      </w:tr>
    </w:tbl>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overhead and production costs as a percentage of revenue.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in customer spending in response to unfavorable or uncertain macroeconomic and market conditions, globally or in a particular region where we operate, would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to our solar power products may result in significant additional expenses for our customers, which could cause a significant reduction in demand for our solar power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net metering and related policies to offer competitive pricing to customers in many of our current markets and changes to net metering policies may significantly reduce demand for electricity from residential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California, the California Public Utilities Commission (“</w:t>
      </w:r>
      <w:r>
        <w:rPr>
          <w:rFonts w:ascii="Times New Roman;Times;Serif" w:hAnsi="Times New Roman;Times;Serif"/>
          <w:b/>
          <w:i w:val="false"/>
          <w:caps w:val="false"/>
          <w:smallCaps w:val="false"/>
          <w:sz w:val="20"/>
        </w:rPr>
        <w:t>CPUC</w:t>
      </w:r>
      <w:r>
        <w:rPr>
          <w:rFonts w:ascii="Times New Roman;Times;Serif" w:hAnsi="Times New Roman;Times;Serif"/>
          <w:b w:val="false"/>
          <w:i w:val="false"/>
          <w:caps w:val="false"/>
          <w:smallCaps w:val="false"/>
          <w:sz w:val="20"/>
        </w:rPr>
        <w:t>”) issued an order in 2016 retaining retail-based net metering credits for residential customers of California’s major utilities as part of Net Energy Metering 2.0 (“</w:t>
      </w:r>
      <w:r>
        <w:rPr>
          <w:rFonts w:ascii="Times New Roman;Times;Serif" w:hAnsi="Times New Roman;Times;Serif"/>
          <w:b/>
          <w:i w:val="false"/>
          <w:caps w:val="false"/>
          <w:smallCaps w:val="false"/>
          <w:sz w:val="20"/>
        </w:rPr>
        <w:t>NEM 2.0</w:t>
      </w:r>
      <w:r>
        <w:rPr>
          <w:rFonts w:ascii="Times New Roman;Times;Serif" w:hAnsi="Times New Roman;Times;Serif"/>
          <w:b w:val="false"/>
          <w:i w:val="false"/>
          <w:caps w:val="false"/>
          <w:smallCaps w:val="false"/>
          <w:sz w:val="20"/>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Times;Serif" w:hAnsi="Times New Roman;Times;Serif"/>
          <w:b/>
          <w:i w:val="false"/>
          <w:caps w:val="false"/>
          <w:smallCaps w:val="false"/>
          <w:sz w:val="20"/>
        </w:rPr>
        <w:t>NEM 3.0</w:t>
      </w:r>
      <w:r>
        <w:rPr>
          <w:rFonts w:ascii="Times New Roman;Times;Serif" w:hAnsi="Times New Roman;Times;Serif"/>
          <w:b w:val="false"/>
          <w:i w:val="false"/>
          <w:caps w:val="false"/>
          <w:smallCaps w:val="false"/>
          <w:sz w:val="20"/>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Times;Serif" w:hAnsi="Times New Roman;Times;Serif"/>
          <w:b/>
          <w:i w:val="false"/>
          <w:caps w:val="false"/>
          <w:smallCaps w:val="false"/>
          <w:sz w:val="20"/>
        </w:rPr>
        <w:t>ACC</w:t>
      </w:r>
      <w:r>
        <w:rPr>
          <w:rFonts w:ascii="Times New Roman;Times;Serif" w:hAnsi="Times New Roman;Times;Serif"/>
          <w:b w:val="false"/>
          <w:i w:val="false"/>
          <w:caps w:val="false"/>
          <w:smallCaps w:val="false"/>
          <w:sz w:val="20"/>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shortage, delay or component price change from these suppliers or delays and price increases associated with the product transport logistics could result in sales and installation delays, cancellations and loss of market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solar panels, inverters and other system components from a number of suppliers for certain components; however, we may be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our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substantially focuses on solar service agreements and transactions with residential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Our energy system sales to homeowners utilize power purchase agreements (“</w:t>
      </w:r>
      <w:r>
        <w:rPr>
          <w:rFonts w:ascii="Times New Roman;Times;Serif" w:hAnsi="Times New Roman;Times;Serif"/>
          <w:b/>
          <w:i w:val="false"/>
          <w:caps w:val="false"/>
          <w:smallCaps w:val="false"/>
          <w:sz w:val="20"/>
        </w:rPr>
        <w:t>PPAs</w:t>
      </w:r>
      <w:r>
        <w:rPr>
          <w:rFonts w:ascii="Times New Roman;Times;Serif" w:hAnsi="Times New Roman;Times;Serif"/>
          <w:b w:val="false"/>
          <w:i w:val="false"/>
          <w:caps w:val="false"/>
          <w:smallCaps w:val="false"/>
          <w:sz w:val="20"/>
        </w:rPr>
        <w:t>”), leases, loans and other products and services. We currently offer PPAs and leases through Goodleap, LLC, LightReach, EverBright, LLC, Dividend Solar Loan Company and other financial institutions. If we were unable to arrange new or alternative financing methods for PPAs and leases on favorable terms, our business, financial condition, results of operations, and prospects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operations and growth effectively, we may be unable to execute our business plan, maintain high levels of customer service or adequately address competitive challenges.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recent periods (including through the integration of acquired companies) as measured by our number of customers, and we intend to continue efforts to expand our business within existing and new markets. This growth (including these integration activities)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and may be unable to achieve or sustain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including a net loss from continuing operations of $44.3 million in the fiscal year ended December 28, 2025. We had an accumulated deficit of $451.5 million as of March 29, 2026. Additionally, as of March 29, 2026, we had current indebtedness of $38.0 million and long-term indebtedness, including derivative liabilities, net of current of $131.8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pStyle w:val="TextBody"/>
        <w:bidi w:val="0"/>
        <w:spacing w:before="0" w:after="0"/>
        <w:ind w:left="0" w:right="0" w:firstLine="36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the customer base;</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further lowering the cost of capital;</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cost of components for our solar service offerings;</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and maintaining our sales partner network;</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our direct-to-consumer and New Homes business to scale;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operating costs by lowering customer acquisition costs and optimizing our design and installation processes and supply chain logistics.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achieve profitability, we may be unable to sustain or increase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drop in the retail price of utility-generated electricity or electricity from other sources could adversely impact our ability to attract customers, which would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 significant number of new power generation plants, including nuclear, coal, natural gas or renewable energy technologies;</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additional electric transmission and distribution 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reduction in the price of natural gas or other natural resources as a result of new drilling techniques or other technological developments, a relaxation of associated regulatory standards, or broader economic or policy developments;</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energy conservation technologies and public initiatives to reduce electricity consumption;</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subsidies impacting electricity prices, including in connection with electricity generation and transmission; and</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new energy technologies that provide less expensive energy.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both traditional energy companies and renewable energy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utilities’ diversified generation portfolios which may allow utilities to sell electricity more cheaply than electricity generated by our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depends on the widespread adoption of solar power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may affect the demand for solar energy systems, including, but not limited to,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substance and magnitude of solar support programs including government targets, subsidies, incentives, renewable portfolio standards and residential net metering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pricing of other conventional and non-renewable energy sources, such as natural gas, coal, oil and other fossil fuels, wind, utility-scale solar, nuclear, geothermal and biomass;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reliability and availability of energy generated by solar energy systems compared to conventional and other non-solar renewable energy sources;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tc>
      </w:tr>
    </w:tbl>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and the level of interest rates.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seasonal trends, poor weather, labor shortages, and construction cycles.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disasters, terrorist activities, political unrest, economic volatility, and other outbreaks could disrupt our delivery and operations,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credit risk of customers and our finance partners, and payment delinquencies on accounts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the Company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benefits of past or future acquisitions, including the transactions under the asset purchase agreement with the SunPower Debtors, the Sunder Acquisition, the Ambia Acquisition and the Cobalt Acquisition and integration of these acquisitions may disrupt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acquired The Solaria Corporation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SunPower Assets under the APA with the SunPower Debtors, which resulted in our acquisition of the SunPower Businesses and a significant expansion of our business operations and headcount. On September 21, 2025, we entered into an agreement to acquire Sunder and completed the Sunder Acquisition effective September 24, 2025. On November 21, 2025, we entered into an agreement to acquire Ambia and completed the Ambia Acquisition on November 21, 2025. We completed the acquisition of Cobalt on February 2, 2026.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has numerous risks,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assimilating the operations and personnel of the acquired company;</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effectively integrating the acquired technologies or products with current products and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maintaining controls, procedures and policies during the transition and integration;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 of ongoing business and distraction of management and employees from other opportunities and challenges due to integration issues;</w:t>
            </w:r>
          </w:p>
        </w:tc>
      </w:tr>
    </w:tbl>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integrating the acquired company’s accounting, management information and other administrative systems;</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technical and managerial personnel of the acquired business;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customers, vendors, and other business partners of the acquired business;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achieve the financial and strategic goals for the acquired and combined businesses;</w:t>
            </w:r>
          </w:p>
        </w:tc>
      </w:tr>
    </w:tbl>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75"/>
        <w:gridCol w:w="170"/>
        <w:gridCol w:w="9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incurring acquisition-related costs or amortization costs for acquired intangible assets that could impact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due diligence processes to identify significant issues with product quality, legal and financial liabilities, among other things;</w:t>
            </w:r>
          </w:p>
        </w:tc>
      </w:tr>
    </w:tbl>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assert that internal controls over financial reporting are effective;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or obtain in a timely manner, approvals from governmental authorities, which could delay or prevent such acquisitions.</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inability to rebuild trust with home builders due to the bankruptcy of the SunPower Debtors. </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advantageous financing arrangements with financiers in order to pass the saving on to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file claims against other parties for infringing its intellectual property that may be costly and may not be resolved in our favor.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technology or improvements in distributed solar energy generation and related technologies or components may materially adversely affect demand for our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data protection laws. Many of these laws and regulations are subject to change and uncertain interpretation and could result in claims, increased cost of operations or otherwise harm its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and California voters recently approved the California Privacy Rights Act (“</w:t>
      </w:r>
      <w:r>
        <w:rPr>
          <w:rFonts w:ascii="Times New Roman;Times;Serif" w:hAnsi="Times New Roman;Times;Serif"/>
          <w:b/>
          <w:i w:val="false"/>
          <w:caps w:val="false"/>
          <w:smallCaps w:val="false"/>
          <w:sz w:val="20"/>
        </w:rPr>
        <w:t>CPRA</w:t>
      </w:r>
      <w:r>
        <w:rPr>
          <w:rFonts w:ascii="Times New Roman;Times;Serif" w:hAnsi="Times New Roman;Times;Serif"/>
          <w:b w:val="false"/>
          <w:i w:val="false"/>
          <w:caps w:val="false"/>
          <w:smallCaps w:val="false"/>
          <w:sz w:val="20"/>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the Company’s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U.S., an increasing number of laws, regulations, and industry standards may govern data privacy and security. For example, the European Union’s General Data Protection Regulation (“</w:t>
      </w:r>
      <w:r>
        <w:rPr>
          <w:rFonts w:ascii="Times New Roman;Times;Serif" w:hAnsi="Times New Roman;Times;Serif"/>
          <w:b/>
          <w:i w:val="false"/>
          <w:caps w:val="false"/>
          <w:smallCaps w:val="false"/>
          <w:sz w:val="20"/>
        </w:rPr>
        <w:t>EU GDPR</w:t>
      </w:r>
      <w:r>
        <w:rPr>
          <w:rFonts w:ascii="Times New Roman;Times;Serif" w:hAnsi="Times New Roman;Times;Serif"/>
          <w:b w:val="false"/>
          <w:i w:val="false"/>
          <w:caps w:val="false"/>
          <w:smallCaps w:val="false"/>
          <w:sz w:val="20"/>
        </w:rPr>
        <w:t>”) and the United Kingdom’s GDPR (“</w:t>
      </w:r>
      <w:r>
        <w:rPr>
          <w:rFonts w:ascii="Times New Roman;Times;Serif" w:hAnsi="Times New Roman;Times;Serif"/>
          <w:b/>
          <w:i w:val="false"/>
          <w:caps w:val="false"/>
          <w:smallCaps w:val="false"/>
          <w:sz w:val="20"/>
        </w:rPr>
        <w:t>UK GDPR</w:t>
      </w:r>
      <w:r>
        <w:rPr>
          <w:rFonts w:ascii="Times New Roman;Times;Serif" w:hAnsi="Times New Roman;Times;Serif"/>
          <w:b w:val="false"/>
          <w:i w:val="false"/>
          <w:caps w:val="false"/>
          <w:smallCaps w:val="false"/>
          <w:sz w:val="20"/>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Times;Serif" w:hAnsi="Times New Roman;Times;Serif"/>
          <w:b/>
          <w:i w:val="false"/>
          <w:caps w:val="false"/>
          <w:smallCaps w:val="false"/>
          <w:sz w:val="20"/>
        </w:rPr>
        <w:t>EEA</w:t>
      </w:r>
      <w:r>
        <w:rPr>
          <w:rFonts w:ascii="Times New Roman;Times;Serif" w:hAnsi="Times New Roman;Times;Serif"/>
          <w:b w:val="false"/>
          <w:i w:val="false"/>
          <w:caps w:val="false"/>
          <w:smallCaps w:val="false"/>
          <w:sz w:val="20"/>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the Company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unauthorized access to or disclosure or theft of personal information we gather, store or use could harm our reputation and subject us to claims or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of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laws and regulations relating to interactions by the Company or its dealers with current or prospective residential customers, it could result in negative publicity, claims, investigations and litigation and adversely affect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Times;Serif" w:hAnsi="Times New Roman;Times;Serif"/>
          <w:b w:val="false"/>
          <w:i/>
          <w:caps w:val="false"/>
          <w:smallCaps w:val="false"/>
          <w:sz w:val="20"/>
        </w:rPr>
        <w:t>As sales to residential customers have grown, we have increasingly become subject to substantial financing and consumer protection laws and regulations.</w:t>
      </w:r>
      <w:r>
        <w:rPr>
          <w:rFonts w:ascii="Times New Roman;Times;Serif" w:hAnsi="Times New Roman;Times;Serif"/>
          <w:b w:val="false"/>
          <w:i w:val="false"/>
          <w:caps w:val="false"/>
          <w:smallCaps w:val="false"/>
          <w:sz w:val="20"/>
        </w:rPr>
        <w:t>” These laws and regulations are dynamic and subject to potentially differing 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introducing new services and product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brand and reputation or change or loss of use of our brand could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significantly on our reputation for high-quality products, excellent customer service and the brand name “SunPower”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to no longer use, lose the right to continue to use or if others use the “SunPower”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success depends on the continuing contributions of key personnel, including Thurman J. Rodgers. If we are unable to attract and retain key employees and qualified personnel, our business and prospects could be harmed.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2024, 2025 and early 2026, we had turnover in key positions, including our Chief Executive Officer and our Chief Financial Officer. As a result of the SunPower Acquisition, the Sunder Acquisition, the Ambia Acquisition and the Cobalt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dealers or suppliers fail to hire and retain sufficient employees and service providers in key functions, our growth and ability to timely complete customer projects and successfully manage customer accounts would be constrained.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ability to grow may fluctuate from quarter to quarter and year to year, which could make future performance difficult to predict and could cause operating results for a particular period to fall below expectations.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pStyle w:val="TextBody"/>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expiration or initiation of any governmental rebates or incentives;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fluctuations in customer demand for our solar energy services, solar energy systems and energy storage systems;</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dealers’ ability to complete installations in a timely manner;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and our dealers’ ability to gain interconnection permission for an installed solar energy system from the relevant utility;</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terms and costs of suitable financing;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timing of sales and potential decreases in value of Solar Renewable Energy Certificates;</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to expand its operations and the amount and timing of expenditures related to this expansion;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significant acquisitions, strategic partnerships, joint ventures or capital-raising activities or commitments;</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pricing policies or terms or those of competitors, including centralized electric utilities;</w:t>
            </w:r>
          </w:p>
        </w:tc>
      </w:tr>
    </w:tbl>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developments in competitors’ businesses, technology or the competitive landscape; and</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natural disasters or other weather or meteorological conditions.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or other reasons, the results of any prior quarterly or annual periods should not be relied upon as indications of our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insurance on the terms of any available insurance coverage could be materially adversely affected by international, national, state or local events or company-specific events, as well as the financial condition of insurers.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policies cover legal and contractual liabilities arising out of bodily injury, personal injury or property damage to third parties and are subject to policy limits.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Times;Serif" w:hAnsi="Times New Roman;Times;Serif"/>
          <w:b w:val="false"/>
          <w:i/>
          <w:caps w:val="false"/>
          <w:smallCaps w:val="false"/>
          <w:sz w:val="20"/>
        </w:rPr>
        <w:t>We may be required to file claims against other parties for infringing its intellectual property that may be costly and may not be resolved in our favor</w:t>
      </w:r>
      <w:r>
        <w:rPr>
          <w:rFonts w:ascii="Times New Roman;Times;Serif" w:hAnsi="Times New Roman;Times;Serif"/>
          <w:b w:val="false"/>
          <w:i w:val="false"/>
          <w:caps w:val="false"/>
          <w:smallCaps w:val="false"/>
          <w:sz w:val="20"/>
        </w:rPr>
        <w:t>.” We rely substantially upon trade secret laws and contractual restrictions to protect our proprietary rights, and, if these rights are not sufficiently protected, our ability to compete and generate revenue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sales to residential customers have grown, we have increasingly become subject to consumer protection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often required, at the request of our end customer, to undertake certain obligations such as:</w:t>
      </w:r>
    </w:p>
    <w:p>
      <w:pPr>
        <w:pStyle w:val="TextBody"/>
        <w:bidi w:val="0"/>
        <w:spacing w:before="0" w:after="0"/>
        <w:ind w:left="0" w:right="0" w:firstLine="36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system output performance warranties;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system maintenance.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construction, cost overruns, delays, regulatory compliance and other contingencies, any of which could have a material adverse effect on its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Times;Serif" w:hAnsi="Times New Roman;Times;Serif"/>
          <w:b/>
          <w:i w:val="false"/>
          <w:caps w:val="false"/>
          <w:smallCaps w:val="false"/>
          <w:sz w:val="20"/>
        </w:rPr>
        <w:t>CSLB</w:t>
      </w:r>
      <w:r>
        <w:rPr>
          <w:rFonts w:ascii="Times New Roman;Times;Serif" w:hAnsi="Times New Roman;Times;Serif"/>
          <w:b w:val="false"/>
          <w:i w:val="false"/>
          <w:caps w:val="false"/>
          <w:smallCaps w:val="false"/>
          <w:sz w:val="20"/>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occupational safety and health requirements and best practices can be costly, and noncompliance with such requirements may result in potentially significant penalties, operational delays and adverse publicity.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Times;Serif" w:hAnsi="Times New Roman;Times;Serif"/>
          <w:b/>
          <w:i w:val="false"/>
          <w:caps w:val="false"/>
          <w:smallCaps w:val="false"/>
          <w:sz w:val="20"/>
        </w:rPr>
        <w:t>OSHA</w:t>
      </w:r>
      <w:r>
        <w:rPr>
          <w:rFonts w:ascii="Times New Roman;Times;Serif" w:hAnsi="Times New Roman;Times;Serif"/>
          <w:b w:val="false"/>
          <w:i w:val="false"/>
          <w:caps w:val="false"/>
          <w:smallCaps w:val="false"/>
          <w:sz w:val="20"/>
        </w:rPr>
        <w:t>”) and the Department of Transportation (“</w:t>
      </w:r>
      <w:r>
        <w:rPr>
          <w:rFonts w:ascii="Times New Roman;Times;Serif" w:hAnsi="Times New Roman;Times;Serif"/>
          <w:b/>
          <w:i w:val="false"/>
          <w:caps w:val="false"/>
          <w:smallCaps w:val="false"/>
          <w:sz w:val="20"/>
        </w:rPr>
        <w:t>DOT</w:t>
      </w:r>
      <w:r>
        <w:rPr>
          <w:rFonts w:ascii="Times New Roman;Times;Serif" w:hAnsi="Times New Roman;Times;Serif"/>
          <w:b w:val="false"/>
          <w:i w:val="false"/>
          <w:caps w:val="false"/>
          <w:smallCaps w:val="false"/>
          <w:sz w:val="20"/>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has benefited from the declining cost of solar energy system components, but it may be harmed if the cost of such components stabilizes or increases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claims against us could result in adverse publicity and potentially significant monetary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warranty costs may exceed the warranty reserve.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claims and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12 - Commitments and Contingencies” in the notes to consolidated financial statements included elsewhere in this prospectus for a further discussion of the legal claims summarized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provided in Note 12,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the Company as a judgement debtor. Our subsidiaries opposed the Siemens motion. The court heard the motion by submission on April 3, 2025, but has not yet issued a ruling. 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had liability of $6.9 million recorded as a legal loss related to this litigation, excluding amounts for attorneys’ fees and costs, in accrued expenses and other current liabilities within its consolidated balance sheet at December 29, 2024. 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has agreed to pay Siemens $9.5 million as follows: $4.75 million was payable prior to April 30, 2026 and a payment of $2.375 million is due on each of September 30, 2026 and December 31, 2026. If the Company successfully engages in one or more financing transactions with $5.0 million or more after the Company’s issuances of the 10.0% convertible senior secured notes due 2029, any remaining payments to Siemens (if any) will become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management’s attention and affect our ability to attract and retain qualified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SunPower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carryforwards and certain other tax attributes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w:t>
      </w:r>
      <w:r>
        <w:rPr>
          <w:rFonts w:ascii="Times New Roman;Times;Serif" w:hAnsi="Times New Roman;Times;Serif"/>
          <w:b/>
          <w:i w:val="false"/>
          <w:caps w:val="false"/>
          <w:smallCaps w:val="false"/>
          <w:sz w:val="20"/>
        </w:rPr>
        <w:t>NOL</w:t>
      </w:r>
      <w:r>
        <w:rPr>
          <w:rFonts w:ascii="Times New Roman;Times;Serif" w:hAnsi="Times New Roman;Times;Serif"/>
          <w:b w:val="false"/>
          <w:i w:val="false"/>
          <w:caps w:val="false"/>
          <w:smallCaps w:val="false"/>
          <w:sz w:val="20"/>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resell all, some or none of such the shares of common stock offered hereunder at any time or from time to time in their discretion and at different prices. As a result, investors who purchase shares from the Selling Securityholders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Securityholders in this offering as a result of future sales made by us to third parties under our existing equity lines of credit at prices lower than the prices such investors paid for their shares in this offering. In addition, if we sell or issue a substantial number of shares to third parties under our existing equity lines of credit or pursuant to conversions of our Convertible Senior Notes, respectively, or if investors expect that we will do so, the actual sales of shares or the mere existence of our arrangements with third parties and the Selling Securityholders may make it more difficult for us to sell equity or equity-related securities in the future at a time and at a price that we might otherwise wish to effect such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our existing stockholders could cause the price of our shares of common stock to fall.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can resell, under this prospectus, up to 45,571,137 shares of common stock from time to time after the date of this prospectus relating to the Offered Securities. If all 45,571,137 shares offered for resale by the Selling Securityholders under this prospectus were issued and outstanding as of the date hereof (without taking into account any limitations on the issuance of any further Offered Securities), such shares would represent approximately 19.9% of the total number of outstanding shares of common stock and approximately 24.8% of the total number of outstanding shares of common stock held by non-affiliates, in each case as of July 16,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shares of common stock in the public market by the Selling Securityholders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executive officers and principal stockholders will continue to have significant influence over our company, which could limit your ability to influence the outcome of key transactions, including a change of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executive officers and each of our 5% stockholders and their affiliates, in the aggregate, beneficially own approximately 35.4% of the outstanding shares of our common stock, based on the number of shares outstanding as of July 16, 2026 (including all convertible securities and securities that such holders have the right to acquire within 60 days following July 16, 2026).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w:t>
      </w:r>
    </w:p>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our quarterly financial results or the quarterly financial results of companies perceived to be similar to us;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market’s expectations about our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 of competitors;</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results failing to meet the expectation of securities analysts or investors in a particular period;</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estimates and recommendations by securities analysts concerning us or the market in general;</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and stock price performance of other companies that investors deem comparable to us;</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170"/>
        <w:gridCol w:w="3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and regulations affecting our business;</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commencement of, or involvement in, litigation involving us;</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capital structure, such as future issuances of securities or the incurrence of additional debt;</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volume of shares of our securities available for public sale</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major change in our Board of Directors or management;</w:t>
            </w:r>
          </w:p>
        </w:tc>
      </w:tr>
    </w:tbl>
    <w:p>
      <w:pPr>
        <w:pStyle w:val="TextBody"/>
        <w:bidi w:val="0"/>
        <w:spacing w:before="0" w:after="0"/>
        <w:ind w:left="0" w:right="0" w:firstLine="337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substantial amounts of common stock by our Directors, executive officers or significant stockholders or the perception that such sales could occur;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and political conditions such as recessions, interest rates, fuel prices, international currency fluctuations and acts of war or terrorism.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market for our securities may not continue, which would adversely affect the liquidity and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compliance with the requirements for listing our common stock on Nasdaq. On April 28, 2025, we received a letter from the Listing Qualifications staff of Nasdaq (the “</w:t>
      </w:r>
      <w:r>
        <w:rPr>
          <w:rFonts w:ascii="Times New Roman;Times;Serif" w:hAnsi="Times New Roman;Times;Serif"/>
          <w:b/>
          <w:i w:val="false"/>
          <w:caps w:val="false"/>
          <w:smallCaps w:val="false"/>
          <w:sz w:val="20"/>
        </w:rPr>
        <w:t>Nasdaq Staff</w:t>
      </w:r>
      <w:r>
        <w:rPr>
          <w:rFonts w:ascii="Times New Roman;Times;Serif" w:hAnsi="Times New Roman;Times;Serif"/>
          <w:b w:val="false"/>
          <w:i w:val="false"/>
          <w:caps w:val="false"/>
          <w:smallCaps w:val="false"/>
          <w:sz w:val="20"/>
        </w:rPr>
        <w:t>”) indicating that, as a result of our delay in filing the Company’s Annual Report on Form 10-K for the year ended December 29, 2024 (the “</w:t>
      </w:r>
      <w:r>
        <w:rPr>
          <w:rFonts w:ascii="Times New Roman;Times;Serif" w:hAnsi="Times New Roman;Times;Serif"/>
          <w:b/>
          <w:i w:val="false"/>
          <w:caps w:val="false"/>
          <w:smallCaps w:val="false"/>
          <w:sz w:val="20"/>
        </w:rPr>
        <w:t>2024 Form 10-K</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 Subsequently, on November 19, 2025, we received a notice from the Nasdaq staff indicating that, as a result of our delay in filing the Company’s Quarterly Report on Form 10-Q for the quarter ended September 28, 2025 (the “</w:t>
      </w:r>
      <w:r>
        <w:rPr>
          <w:rFonts w:ascii="Times New Roman;Times;Serif" w:hAnsi="Times New Roman;Times;Serif"/>
          <w:b/>
          <w:i w:val="false"/>
          <w:caps w:val="false"/>
          <w:smallCaps w:val="false"/>
          <w:sz w:val="20"/>
        </w:rPr>
        <w:t>Q3 Form 10-Q</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relating to our Q3 Form 10-Q had no immediate effect on the listing or trading of our common stock or warrants. The Nasdaq letter stated that, under Nasdaq rules, the Company had 60 calendar days to submit a plan to regain compliance with Nasdaq’s continued listing requirements. We filed the Q3 Form 10-Q on December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July 22, 2026, we received written notice (“</w:t>
      </w:r>
      <w:r>
        <w:rPr>
          <w:rFonts w:ascii="Times New Roman;Times;Serif" w:hAnsi="Times New Roman;Times;Serif"/>
          <w:b/>
          <w:i w:val="false"/>
          <w:caps w:val="false"/>
          <w:smallCaps w:val="false"/>
          <w:sz w:val="20"/>
        </w:rPr>
        <w:t>Bid Price Notice</w:t>
      </w:r>
      <w:r>
        <w:rPr>
          <w:rFonts w:ascii="Times New Roman;Times;Serif" w:hAnsi="Times New Roman;Times;Serif"/>
          <w:b w:val="false"/>
          <w:i w:val="false"/>
          <w:caps w:val="false"/>
          <w:smallCaps w:val="false"/>
          <w:sz w:val="20"/>
        </w:rPr>
        <w:t>”) from the Nasdaq Staff notifying us that we were not in compliance with the minimum bid price requirement set forth in Nasdaq Listing Rule 5450(a)(1) for continued listing on The Nasdaq Global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 In accordance with Nasdaq Listing Rule 5810(c)(3)(A), we have 180 calendar days to regain compliance with the minimum bid price requirement. To regain compliance, the closing bid price of our common stock must be at least $1.00 per share for a minimum of ten consecutive business days before January 19, 2027. In the event that we do not regain compliance within this 180-day period, subject to compliance with certain further requirements, we may be eligible to seek an additional compliance period of 180 calendar days if it meets the continued listing requirement for market value of publicly held shares and all other initial listing standards for The Nasdaq Capital Market, with the exception of the minimum bid price requirement, and provides written notice to Nasdaq of its intent to cure the deficiency during this second compliance period by effecting a reverse stock split if necessary. However, if it appears to the Nasdaq staff that we will not be able to cure the deficiency, or if we are otherwise not eligible, Nasdaq will provide notice to the Company that its common stock will be subject to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the listing standards, we and our stockholders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of market quotations for our securities;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that our common stock is a “penny stock” which will require brokers trading in our common stock to adhere to more stringent rules, possibly resulting in a reduced level of trading activity in the secondary trading market for our common stock;</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amount of analyst coverage; and 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by our shareholders could cause the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Certificate of Incorporation and Bylaws and provisions of the Delaware General Corporation Law may delay or prevent an acquisition by a third party that could otherwise be in the interests of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pStyle w:val="TextBody"/>
        <w:bidi w:val="0"/>
        <w:spacing w:before="0" w:after="0"/>
        <w:ind w:left="0" w:right="0" w:hanging="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 notice requirements for stockholder proposals and director nominations;</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limiting stockholders’ ability to call special meetings of stockholders and to take action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business combinations with interested stockholders;</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of our Certificate of Incorporation and Bylaws could discourage potential takeover attempts and reduce the price that investors might be willing to pay for the shares of our common stock in the future, which could reduce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derivative action or proceeding brought on behalf of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asserting a claim of breach of a duty (including any fiduciary duty) owed by any of our current or former Directors, officers, stockholders, employees or agents to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asserting a claim against us or any of our current or former Directors, officers, stockholders, employees or agents relating to any provision of the Delaware General Corporation Law (“</w:t>
            </w:r>
            <w:r>
              <w:rPr>
                <w:rFonts w:ascii="Times New Roman;Times;Serif" w:hAnsi="Times New Roman;Times;Serif"/>
                <w:b/>
                <w:sz w:val="20"/>
              </w:rPr>
              <w:t>DGCL</w:t>
            </w:r>
            <w:r>
              <w:rPr>
                <w:rFonts w:ascii="Times New Roman;Times;Serif" w:hAnsi="Times New Roman;Times;Serif"/>
                <w:sz w:val="20"/>
              </w:rPr>
              <w:t>”) or our Certificate of Incorporation or the Bylaws or as to which the DGCL confers jurisdiction on the Court of Chancery of the State of Delaware;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shares of our common stock may not be exercised at all or may be exercised on a cashless basis and we may not receive any cash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Servicing our outstanding debt requires a significant amount of cash, and we may not have sufficient cash flow from our business to pay our substantial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of the principal of, to pay interest on or to refinance our indebtedness, including (a) 12.00% Notes due 2029 (the “</w:t>
      </w:r>
      <w:r>
        <w:rPr>
          <w:rFonts w:ascii="Times New Roman;Times;Serif" w:hAnsi="Times New Roman;Times;Serif"/>
          <w:b/>
          <w:i w:val="false"/>
          <w:caps w:val="false"/>
          <w:smallCaps w:val="false"/>
          <w:sz w:val="20"/>
        </w:rPr>
        <w:t>12.0% Notes</w:t>
      </w:r>
      <w:r>
        <w:rPr>
          <w:rFonts w:ascii="Times New Roman;Times;Serif" w:hAnsi="Times New Roman;Times;Serif"/>
          <w:b w:val="false"/>
          <w:i w:val="false"/>
          <w:caps w:val="false"/>
          <w:smallCaps w:val="false"/>
          <w:sz w:val="20"/>
        </w:rPr>
        <w:t>”), the 7.00% Notes due 2029 (the “</w:t>
      </w:r>
      <w:r>
        <w:rPr>
          <w:rFonts w:ascii="Times New Roman;Times;Serif" w:hAnsi="Times New Roman;Times;Serif"/>
          <w:b/>
          <w:i w:val="false"/>
          <w:caps w:val="false"/>
          <w:smallCaps w:val="false"/>
          <w:sz w:val="20"/>
        </w:rPr>
        <w:t>7.0% Notes</w:t>
      </w:r>
      <w:r>
        <w:rPr>
          <w:rFonts w:ascii="Times New Roman;Times;Serif" w:hAnsi="Times New Roman;Times;Serif"/>
          <w:b w:val="false"/>
          <w:i w:val="false"/>
          <w:caps w:val="false"/>
          <w:smallCaps w:val="false"/>
          <w:sz w:val="20"/>
        </w:rPr>
        <w:t>”) and the 10.00% Senior Secured Convertible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collectively with the 12.0% Notes and the 7.0% Notes, the “</w:t>
      </w:r>
      <w:r>
        <w:rPr>
          <w:rFonts w:ascii="Times New Roman;Times;Serif" w:hAnsi="Times New Roman;Times;Serif"/>
          <w:b/>
          <w:i w:val="false"/>
          <w:caps w:val="false"/>
          <w:smallCaps w:val="false"/>
          <w:sz w:val="20"/>
        </w:rPr>
        <w:t>Convertible Senior Notes</w:t>
      </w:r>
      <w:r>
        <w:rPr>
          <w:rFonts w:ascii="Times New Roman;Times;Serif" w:hAnsi="Times New Roman;Times;Serif"/>
          <w:b w:val="false"/>
          <w:i w:val="false"/>
          <w:caps w:val="false"/>
          <w:smallCaps w:val="false"/>
          <w:sz w:val="20"/>
        </w:rPr>
        <w:t>”), and (b) the Promissory Note and YA Debenture issued to Yorkville (collectively, the “</w:t>
      </w:r>
      <w:r>
        <w:rPr>
          <w:rFonts w:ascii="Times New Roman;Times;Serif" w:hAnsi="Times New Roman;Times;Serif"/>
          <w:b/>
          <w:i w:val="false"/>
          <w:caps w:val="false"/>
          <w:smallCaps w:val="false"/>
          <w:sz w:val="20"/>
        </w:rPr>
        <w:t>Yorkville Notes</w:t>
      </w:r>
      <w:r>
        <w:rPr>
          <w:rFonts w:ascii="Times New Roman;Times;Serif" w:hAnsi="Times New Roman;Times;Serif"/>
          <w:b w:val="false"/>
          <w:i w:val="false"/>
          <w:caps w:val="false"/>
          <w:smallCaps w:val="false"/>
          <w:sz w:val="20"/>
        </w:rPr>
        <w:t>”), depends on our future performance, which is subject to economic, financial, competitive and other factors beyond our control. Our business may not continue to generate cash flow from operations in the future sufficient to service our debt and make necessary capital expenditures. Additionally, as a result of the delayed filing of our Annual Report on Form 10-K for the year ended December 29, 2024 and, subsequently, our Quarterly Report on Form 10-Q for the quarter ended September 28, 2025, we incurred additional interest under the then-outstanding 12.0% Notes and 7.0% Notes. If we are unable to generate such cash flow, we may be required to adopt one or more alternatives, such as entering into further arrangements to equitize cash interest otherwise payable under the Convertible Senior Notes,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10.0% Senior Secured Notes are secured obligations, and there are risks associated with our 10.0% Senior Secured Notes that could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in connection with a private offering of $41.0 million aggregate principal amount of 10.0% Notes. The indenture for the 10.0% Notes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includes customary covenants and sets forth certain events of default after which the 10.0% Notes may be declared immediately due and payable and sets forth certain types of bankruptcy or insolvency events of default involving the Company after which the 10.0% Notes become automatically due and payable, which include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payment defaults on the 10% Notes (which, in the case of a default in the payment of interest on the Notes, will be subject to a 30-day cure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by the Company to comply with its obligation to convert the 10.0% Notes in accordance with the Indenture upon exercise of a holder’s conversion right;</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failure to send certain notices under the Indenture within specified periods of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default by the Company in its other obligations or agreements under the Indenture or the Notes if such default is not cured or waived within 60 days after notice is given in accordance with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defaults by the Company or any of its significant subsidiaries with respect to (y) the liens securing the Company’s payment obligations under Siemens Settlement, or (z) indebtedness for borrowed money of at least $10.0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events of bankruptcy, insolvency or reorganization of the Company or any of the Company’s significant subsidiaries;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security interest and liens purported to be created by any collateral document, including the Security Agreement (as defined below), shall cease to be in full force and effect or shall cease to give the collateral agent, for the benefit of the holders of the 10.0% Notes, the liens, rights, powers and privileges purported to be created and granted under such collateral documents, subject to certain exceptions;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guarantee with respect to the 10.0% Notes ceases to be in full force and effect or the Company or any guarantor denies or disaffirms its obligations under the Indenture or any guarantee with respect to the 10.0%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bankruptcy and insolvency-related events of default occur with respect to the Company, the principal of, and accrued and unpaid interest, if any, on, all of the 10.0% Notes then outstanding shall automatically become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the covenants under the 10% Senior Secured Notes depends on, among other things, our operating performance, competitive developments, financial market conditions and stock exchange listing of our common stock, all of which are significantly affected by financial, business, economic and other factors. We are not able to control many of these factors. Accordingly, our cash flow may not be sufficient to allow us to make required payments under the 10.0% Notes or meet our other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satisfy our obligations under the 10.0% Notes, including compliance with the affirmative, negative and financial covenants applicable to the Company, or if there are events of defaults under the 10.0% Notes, the holders will have the right to foreclose on their first priority security interest relating to substantially all of our assets to the exclusion of our general unsecured creditors. If the holders of the 10.0% Notes pursue foreclosure, any such foreclosure would have a material and adverse impact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features of the Convertible Senior Notes may adversely affect our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the indentures or other agreements governing the Convertible Senior Notes, as well as the agreements governing the Yorkville Notes may delay or prevent an otherwise a beneficial takeover attempt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Convertible Senior Notes or the Yorkville Notes may dilute the ownership interest of our stockholders or may otherwise depress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some or all of the Convertible Senior Notes or the Yorkville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the Convertible Senior Notes could adversely affect our reported financial condition and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shares of common stock underlying the Convertible Senior Notes will be reflected in our diluted earnings per share using the “if converted” method.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(including potential sales of securities by the Selling Securityholders), or the perception of future sales, by us or our stockholders in the public market could cause the market price for the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 In the future, we may issue our securities to raise capital or in connection with investments or acquisitions.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Market and Industry Data</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this prospectus concerning the market and the industries in which SunPower competes, including its market position, general expectations of market opportunities and market size, is based on information from various third-party sources, publicly available information, various industry publications, internal data and estimates, and assumptions made by SunPower based on such sources. Internal data and estimates are based upon information obtained from trade and business organizations and other contacts in the markets in which SunPower operates and SunPower management’s understanding of industry conditions. This information and any estimates provided herein involve numerous assumptions and limitations, and you are cautioned not to give undue weight to such information. Third-party sources generally state that the information contained in such sources has been obtained from sources believed to be reliable. Although we believe that such information is reliable, there can be no assurance as to the accuracy or completeness of such information.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Although we are responsible for all of the disclosure contained in this prospectus and we believe the third-party market position, general expectations of market opportunity and market size data included in this prospectus are reliable, we have not independently verified any third-party information and each publication speaks as of its original publication date (and not as of the date of this prospectus). In addition, we do not know all of the assumptions regarding general economic conditions or growth that were used in preparing the forecasts from the sources relied upon or cited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the Selling Securityholders pursuant to this prospectus will be sold by the Selling Securityholders for their own accounts. We will not receive any of the proceeds from the resale of the shares of common stock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and selling commissions incurred by the Selling Securityholders in connection with any sale of their shares. We will incur all costs associated with this prospectus and the registration statement of which it is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Determination of Offering Price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common stock may be sold by the Selling Securityholders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Market Information for Securities and Dividend Policy</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Nasdaq under the symbols “SPWR” and “SPWRW,” respectively. Our common stock and public warrants were previously listed on Nasdaq under the symbols “CSLR” and “CSLRW”, respectively. Prior to the consummation of the Business Combination, our common stock and our Public Warrants were listed on the New York Stock Exchange under the symbols “FACT” and “FACT WS,” respectively. On July 16, 2026, there were 170 holders of record of the common stock. We currently do not intend to list the Private Warrants on any stock exchange or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depend on, among other things, the consent of our lender(s), our results of operations, cash requirements, financial condition, contractual restrictions and other factors that the SunPower Board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is a residential solar and energy services company headquartered in Orem, Utah. We operate a technology-enabled platform that supports a national network of sales partners, dealers, and installation professionals to deliver solar energy systems, battery storage solutions, and related services to homeowners and homebuilders throughout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through the thirteen week period ended March 29, 2026 we significantly reshaped our business through a series of strategic acquisitions, including the acquisition of Sunder Energy, LLC (“Sunder”), Ambia Energy LLC (“Ambia”) and Cobalt Power Systems, Inc. (“Cobalt”). These acquisitions expanded our geographic footprint, dealer network, installation capacity, and national sales presence. The operating results in the current quarter reflect the integration and ongoing operations of these acquired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discussed below and in the notes to the consolidated financial statements included in this prospectus, we have three reportable segments: Residential Solar Installation, New Homes Business and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within one year after the date that the unaudited condensed consolidated financial statements are issued. The consolidated financial statements included in this prospectus have been prepared assuming our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the integration of recent acquisitions of Sunder and Ambia into our operating platform. In the thirteen week period ended March 29, 2026, we acquired Cobalt for $9.7 million. Cobalt focuses on large premium renewable energy systems across residential, new home, multifamily and commercial projects and its operating results will be incorporated into the New Homes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contains the following elements: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by expanding installation capacity and developing new geographic markets</w:t>
            </w:r>
            <w:r>
              <w:rPr>
                <w:rFonts w:ascii="Times New Roman;Times;Serif" w:hAnsi="Times New Roman;Times;Serif"/>
                <w:sz w:val="20"/>
              </w:rPr>
              <w:t xml:space="preserve"> - We continue to expand our network of 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 xml:space="preserve"> - We aim to offer a turnkey solar solution to prospective sales 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and margin by executing on a battery storage opportunity </w:t>
            </w:r>
            <w:r>
              <w:rPr>
                <w:rFonts w:ascii="Times New Roman;Times;Serif" w:hAnsi="Times New Roman;Times;Serif"/>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(the “</w:t>
      </w:r>
      <w:r>
        <w:rPr>
          <w:rFonts w:ascii="Times New Roman;Times;Serif" w:hAnsi="Times New Roman;Times;Serif"/>
          <w:b/>
          <w:i w:val="false"/>
          <w:caps w:val="false"/>
          <w:smallCaps w:val="false"/>
          <w:sz w:val="20"/>
        </w:rPr>
        <w:t>Additional Merger</w:t>
      </w:r>
      <w:r>
        <w:rPr>
          <w:rFonts w:ascii="Times New Roman;Times;Serif" w:hAnsi="Times New Roman;Times;Serif"/>
          <w:b w:val="false"/>
          <w:i w:val="false"/>
          <w:caps w:val="false"/>
          <w:smallCaps w:val="false"/>
          <w:sz w:val="20"/>
        </w:rPr>
        <w:t>”, and together with the First Merger and the Second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between Complete Solaria and FACT were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completed the divestiture of our solar panel business to Maxeon (“</w:t>
      </w:r>
      <w:r>
        <w:rPr>
          <w:rFonts w:ascii="Times New Roman;Times;Serif" w:hAnsi="Times New Roman;Times;Serif"/>
          <w:b/>
          <w:i w:val="false"/>
          <w:caps w:val="false"/>
          <w:smallCaps w:val="false"/>
          <w:sz w:val="20"/>
        </w:rPr>
        <w:t>Divestiture</w:t>
      </w:r>
      <w:r>
        <w:rPr>
          <w:rFonts w:ascii="Times New Roman;Times;Serif" w:hAnsi="Times New Roman;Times;Serif"/>
          <w:b w:val="false"/>
          <w:i w:val="false"/>
          <w:caps w:val="false"/>
          <w:smallCaps w:val="false"/>
          <w:sz w:val="20"/>
        </w:rPr>
        <w:t>”),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$1.1 million, $2.0 million and $173.4 million in the fiscal years ended December 28, 2025, December 29, 2024 and December 31, 2023, respectively. We also sold all the Maxeon shares in the year ended December 31, 2023, and recorded a $4.2 million loss on the sale of these shares in our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Assets of SunPower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we acquired the SunPower Businesses for consideration of $54.5 million which we financed through the issuance of $66.8 million of 7.0% senior unsecured convertible notes in September 2024. These notes mature on July 1, 2029 and are convertible into shares of the Company’s common stock at the option of the holder at a current conversion rate of $1.71 per share. The SunPower Businesses operated as a solar technology and energy services provider that offered fully integrated solar, storage, and home energy solutions to customers in the United States through an array of hardware, software, and “Smart Energy” solutions. This transaction was accounted for as a business combination under Accounting Standards Codification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we acquired all of the membership interests in Sunder Energy LLC (“Sunder”) for consideration of $57.8 million. We financed this transaction through (1) $20.7 million in cash, subject to certain working capital and other adjustments; (2) a promissory note to the seller in the principal amount of $20.0 million (“Seller Note”); and (3) 10.0 million shares of the Company’s common stock valued at $17.1 million (based on the $1.71 closing share price of the Company’s common stock on September 24, 2025). We issued 3.3 million shares at the acquisition date and will issue the remaining shares in two equal tranches of 3.3 million shares at 12 months and 18 months following the date of acquisition. Sunder is a solar sales company. Sunder provides a third-party solar energy sales force to initiate and execute contracts with customers throughout the United States. Sunder’s sales force works with solar installation companies in which Sunder acts as the agent for each transaction entered. Sunder earns revenue from contracts sold to customers for solar installations performed by third-party installation companies. We acquired Sunder as a strategic acquisition to expand its overall market share and its penetration into more U.S. states. We accounted for this transaction as a business combination under ASC 805.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we acquired all of the membership interests in Ambia Energy LLC (“Ambia”) for consideration of $33.4 million. We financed this acquisition through the issuance of 10.2 million shares of our common stock with a fair value of $16.5 million on the date of acquisition and an agreement to issue an additional $16.9 million in shares of our common stock in two tranches with the final issuance on the 12-month anniversary of the Ambia closing. Ambia is a residential solar energy system installer and operates in various markets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Chain Constraints and Risk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risk factors that could impact our results, please refer to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Definitions/Components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for the Residential Solar Installation and New Homes Business reportable segments when installation is substantially complete, the system is capable of interconnection to the local power grid, and control has transferred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activities-including system design, equipment delivery, installation, and grid interconnection-are treated as a single performance obligation. For most contracts, revenue is recognized over time beginning upon installation, using an input method based on direct installation costs. Installation costs incurred prior to this point are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is generated through cash sales, third-party financing arrangements, and power purchase or lease structures. Homeowners are the customers in cash and financing arrangements, while leasing partners are the customers in power purchase and lease arrangements. New Homes Business revenue is primarily generated from sales to homebuilders, with limited lease arrangements recognized upon system acceptance.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recorded at the transaction price, net of customer incentives and financing-related fees, and may include estimated variable consideration. Deferred revenue represents amounts billed or collected in advance of performance. None of the Company’s arrangements contain a significant financing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Dealer reportable segment, we earn revenue from contracts in which solar installations are performed by third-party installation companies. In these arrangements, our performance obligation is to facilitate the transaction and arrange for installation services rather than provide those services directly. As a result, we act as an agent and recognize revenue on a net basis, representing the fee retained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Permission to Operate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and Fulfill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amortization of internally developed software and amortization of developed technology. Cost of revenues from these services is recognized when we transfer control of the product to the customer, which is generally upon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direct and incremental costs of obtaining customer contracts. These costs are paid to internal sales teams and third-party vendors who source residential customer contracts for the sale of solar energy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related costs, including salaries and employee benefits, stock-based compensation, and other advertising and promotional expenses. We expense certain sales and marketing, including promotional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depreciation expense, business insurance costs and other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changes in the fair value of (i) derivative liabilities associated with our debt, (ii) warrant liabilities, (iii) Simple Agreements for Future Equity (“SAFE”), and (iv) forward purchase agreements (“FPAs”) as non-operating gains and losses within this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consolidated financial statements included elsewhere in this prospectus.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policies associated with our revenue recognition and business combination have the greatest impact on our consolidated financial statements. Therefore, we consider these to be our critical accounting policies and estimates.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involves significant judgment in determining the timing of control transfer, identification of the customer, estimation of variable consideration, and measurement of progress toward completion. For the Residential Solar Installation and New Homes Business segments, the Company’s performance obligation is the design and installation of a fully functioning solar energy system, which includes design, equipment delivery, installation, and grid interconnection services. These activities are combined into a single performance obligation.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over time using an input method based on direct installation costs, beginning when installation is complete and control of the system begins to transfer to the customer. This approach requires management to estimate total expected installation costs, and changes in these estimates may impact the timing and amount of revenue recognized. Installation costs incurred prior to the transfer of control are deferred.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New Homes Business lease arrangements, revenue is recognized at a point in time upon system acceptance. In arrangements involving financing partners or leasing partners, judgment is required to determine the appropriate customer, which affects revenue timing and presentation. Dealer segment revenue is recognized on a net basis at the point in time when Permission to Operate is obtained.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may include variable consideration, which is estimated using the most likely amount and constrained to amounts for which a significant revenue reversal is not probable. Estimates are reassessed each reporting period, and changes are recognized prospectively. Revenue is recorded net of customer incentives and does not include a significant financing component. Changes in assumptions related to these estimates could materially affect reported revenue and deferred balances.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all acquired assets and liabilities, including goodwill, and other identifiable intangible assets at fair value. The initial recognition of identifiable intangible assets, requires certain estimates and assumptions concerning the determination of the fair values and useful lives. The judgments made in the context of the purchase price allocation can materially affect our future results of operations. Accordingly, when valuing identifiable intangible assets, we obtain assistance from third-party valuation specialists. The valuations calculated from estimates are based on information available at the acquisition date. Goodwill is not amortized but is subject to annual tests for impairment or more frequent tests if events or circumstances indicate it may be impaired. Other intangible assets are amortized over their estimated useful lives and are subject to impairment if events or circumstances indicate a possible inability to realize the carrying amount.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discussion of recently issued accounting standards applicable to our Company is described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in the accompanying 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Thirteen weeks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thirteen-weeks ended March 29, 2026 and the thirteen-weeks ended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We have derived this data from our unaudited condensed consolidated financial statements included elsewhere in this prospectus. This information should be read in conjunction with our unaudited condensed consolidated financial statements and related notes included elsewhere in this prospectus. The results of historical periods are not necessarily indicative of the results of operations for any future period.</w:t>
      </w:r>
    </w:p>
    <w:p>
      <w:pPr>
        <w:pStyle w:val="TextBody"/>
        <w:bidi w:val="0"/>
        <w:spacing w:before="0" w:after="0"/>
        <w:ind w:left="0" w:right="0" w:firstLine="72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3485"/>
        <w:gridCol w:w="60"/>
        <w:gridCol w:w="176"/>
        <w:gridCol w:w="953"/>
        <w:gridCol w:w="256"/>
        <w:gridCol w:w="71"/>
        <w:gridCol w:w="192"/>
        <w:gridCol w:w="937"/>
        <w:gridCol w:w="215"/>
        <w:gridCol w:w="60"/>
        <w:gridCol w:w="140"/>
        <w:gridCol w:w="755"/>
        <w:gridCol w:w="95"/>
        <w:gridCol w:w="60"/>
        <w:gridCol w:w="94"/>
        <w:gridCol w:w="721"/>
        <w:gridCol w:w="30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485"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256"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305" w:type="dxa"/>
            <w:tcBorders/>
            <w:vAlign w:val="center"/>
          </w:tcPr>
          <w:p>
            <w:pPr>
              <w:pStyle w:val="TableContents"/>
              <w:bidi w:val="0"/>
              <w:spacing w:before="0" w:after="283"/>
              <w:ind w:left="0" w:right="0" w:hanging="180"/>
              <w:jc w:val="left"/>
              <w:rPr/>
            </w:pPr>
            <w:r>
              <w:rPr/>
              <w:t> </w:t>
            </w:r>
          </w:p>
        </w:tc>
      </w:tr>
      <w:tr>
        <w:trPr/>
        <w:tc>
          <w:tcPr>
            <w:tcW w:w="348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53" w:type="dxa"/>
            <w:tcBorders/>
            <w:shd w:fill="CCEEFF" w:val="clear"/>
            <w:vAlign w:val="center"/>
          </w:tcPr>
          <w:p>
            <w:pPr>
              <w:pStyle w:val="TableContents"/>
              <w:bidi w:val="0"/>
              <w:spacing w:before="0" w:after="283"/>
              <w:jc w:val="right"/>
              <w:rPr/>
            </w:pPr>
            <w:r>
              <w:rPr/>
              <w:t>72,793</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78,413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(7</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48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28,106</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51,037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(22,931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(45</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485" w:type="dxa"/>
            <w:tcBorders/>
            <w:shd w:fill="CCEEFF" w:val="clear"/>
            <w:vAlign w:val="center"/>
          </w:tcPr>
          <w:p>
            <w:pPr>
              <w:pStyle w:val="TableContents"/>
              <w:bidi w:val="0"/>
              <w:spacing w:before="0" w:after="283"/>
              <w:jc w:val="left"/>
              <w:rPr/>
            </w:pPr>
            <w:r>
              <w:rPr/>
              <w:t>Gross (loss) profit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44,687</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27,376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17,311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63</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48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61</w:t>
            </w:r>
          </w:p>
        </w:tc>
        <w:tc>
          <w:tcPr>
            <w:tcW w:w="256"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48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485" w:type="dxa"/>
            <w:tcBorders/>
            <w:shd w:fill="FFFFFF" w:val="clear"/>
            <w:vAlign w:val="center"/>
          </w:tcPr>
          <w:p>
            <w:pPr>
              <w:pStyle w:val="TableContents"/>
              <w:bidi w:val="0"/>
              <w:spacing w:before="0" w:after="283"/>
              <w:jc w:val="left"/>
              <w:rPr/>
            </w:pPr>
            <w:r>
              <w:rPr/>
              <w:t>Sales commissions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28,564</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7,684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272</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48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4,993</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8,522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(41</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4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30,325</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14,896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104</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48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63,882</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31,102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32,780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105</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4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(19,195</w:t>
            </w:r>
          </w:p>
        </w:tc>
        <w:tc>
          <w:tcPr>
            <w:tcW w:w="256"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(3,726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415</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(6,924</w:t>
            </w:r>
          </w:p>
        </w:tc>
        <w:tc>
          <w:tcPr>
            <w:tcW w:w="256"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(6,041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15</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4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(100</w:t>
            </w:r>
          </w:p>
        </w:tc>
        <w:tc>
          <w:tcPr>
            <w:tcW w:w="305"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non-operating income, net</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30,761</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14,576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111</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485" w:type="dxa"/>
            <w:tcBorders/>
            <w:shd w:fill="FFFFFF" w:val="clear"/>
            <w:vAlign w:val="center"/>
          </w:tcPr>
          <w:p>
            <w:pPr>
              <w:pStyle w:val="TableContents"/>
              <w:bidi w:val="0"/>
              <w:spacing w:before="0" w:after="283"/>
              <w:jc w:val="left"/>
              <w:rPr/>
            </w:pPr>
            <w:r>
              <w:rPr/>
              <w:t>Income from operations before taxes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pPr>
            <w:r>
              <w:rPr/>
              <w:t>4,642</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(4</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48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25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48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5,250</w:t>
            </w:r>
          </w:p>
        </w:tc>
        <w:tc>
          <w:tcPr>
            <w:tcW w:w="25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4,812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9</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interest expense and amortization of debt issuance costs to related party of $2.3 million and $1.4 million in the thirteen-weeks ended March 29, 2026 and March 30, 2025, respectively.</w:t>
            </w:r>
          </w:p>
        </w:tc>
      </w:tr>
    </w:tbl>
    <w:p>
      <w:pPr>
        <w:pStyle w:val="TextBody"/>
        <w:bidi w:val="0"/>
        <w:spacing w:before="0" w:after="0"/>
        <w:ind w:left="0" w:right="0" w:firstLine="36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245"/>
        <w:gridCol w:w="6035"/>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the following gains and (losses) with related parties (in millions):</w:t>
            </w:r>
          </w:p>
        </w:tc>
      </w:tr>
    </w:tbl>
    <w:p>
      <w:pPr>
        <w:pStyle w:val="TextBody"/>
        <w:bidi w:val="0"/>
        <w:spacing w:before="0" w:after="0"/>
        <w:ind w:left="0" w:right="0" w:hanging="0"/>
        <w:jc w:val="both"/>
        <w:rPr>
          <w:caps w:val="false"/>
          <w:smallCaps w:val="false"/>
        </w:rPr>
      </w:pPr>
      <w:r>
        <w:rPr>
          <w:caps w:val="false"/>
          <w:smallCaps w:val="false"/>
        </w:rPr>
        <w:t> </w:t>
      </w:r>
    </w:p>
    <w:tbl>
      <w:tblPr>
        <w:tblW w:w="8475" w:type="dxa"/>
        <w:jc w:val="left"/>
        <w:tblInd w:w="0" w:type="dxa"/>
        <w:tblLayout w:type="fixed"/>
        <w:tblCellMar>
          <w:top w:w="0" w:type="dxa"/>
          <w:left w:w="0" w:type="dxa"/>
          <w:bottom w:w="0" w:type="dxa"/>
          <w:right w:w="0" w:type="dxa"/>
        </w:tblCellMar>
      </w:tblPr>
      <w:tblGrid>
        <w:gridCol w:w="5855"/>
        <w:gridCol w:w="60"/>
        <w:gridCol w:w="192"/>
        <w:gridCol w:w="937"/>
        <w:gridCol w:w="117"/>
        <w:gridCol w:w="74"/>
        <w:gridCol w:w="173"/>
        <w:gridCol w:w="992"/>
        <w:gridCol w:w="75"/>
      </w:tblGrid>
      <w:tr>
        <w:trPr/>
        <w:tc>
          <w:tcPr>
            <w:tcW w:w="5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7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7.5</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Change in fair value of 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0.1</w:t>
            </w:r>
          </w:p>
        </w:tc>
        <w:tc>
          <w:tcPr>
            <w:tcW w:w="7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0.1</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Change in fair value of SAFE Agreement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(0.2</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283"/>
              <w:jc w:val="left"/>
              <w:rPr/>
            </w:pPr>
            <w:r>
              <w:rPr/>
              <w:t>Change in fair value of Deferred Sunder Consideration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r>
              <w:rPr/>
              <w:t>2.3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types of services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2735"/>
        <w:gridCol w:w="60"/>
        <w:gridCol w:w="192"/>
        <w:gridCol w:w="937"/>
        <w:gridCol w:w="80"/>
        <w:gridCol w:w="80"/>
        <w:gridCol w:w="192"/>
        <w:gridCol w:w="937"/>
        <w:gridCol w:w="60"/>
        <w:gridCol w:w="60"/>
        <w:gridCol w:w="140"/>
        <w:gridCol w:w="755"/>
        <w:gridCol w:w="95"/>
        <w:gridCol w:w="60"/>
        <w:gridCol w:w="123"/>
        <w:gridCol w:w="692"/>
        <w:gridCol w:w="305"/>
      </w:tblGrid>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30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31,541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36,504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(4,963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(14</w:t>
            </w:r>
          </w:p>
        </w:tc>
        <w:tc>
          <w:tcPr>
            <w:tcW w:w="305"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both"/>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14,625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41,909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(65</w:t>
            </w:r>
          </w:p>
        </w:tc>
        <w:tc>
          <w:tcPr>
            <w:tcW w:w="305"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both"/>
              <w:rPr/>
            </w:pPr>
            <w:r>
              <w:rPr/>
              <w:t>Dealer</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26,627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Total revenues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72,793</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78,413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(5,620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(7</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Residential Solar Installation was driven primarily by lower installation volumes, reflecting softer consumer demand due to higher interest rates as a result of an increase in financing costs for residential solar. In addition, the phase out of certain residential Investment Tax Credits (“ITCs”) passed in 2025 as part of the One Big Beautiful Bill in conjunction with fewer customers qualifying for financing makes it harder for a homeowner to make the decision quickly. The decrease also reflects fewer system activations as we continued to optimize our sales channels and focus on streamlining our operations to enhance its customer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revenues decreased primarily due to lower construction activity and selective solar integration volumes from homebuilder partners, due to higher interest rates and higher labor costs thus driving the overall costs of the home to increase. While regulatory requirements force investments in solar in certain regions and communities, the pace has slowed down due to affordability. In states and communities where regulatory requirements for new builds will not impact the demand of solar installation, homebuilders are not abandoning solar they are offering it as an option versus a spec home. Additionally, there was a backlog of jobs from the SunPower Businesses acquisition in 2024, for certain large homebuilder projects that contributed meaningfully to the prior-year quarter which did not recur in the current period as we are rebuilding our pipeline. We are also building this business which we acquired out of bankruptcy in 2024 as part of the SunPower Businesses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revenues and costs in the thirteen week period ended March 29, 2026 are attributable to the acquisition of Sunder on September 24,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7718" w:type="dxa"/>
        <w:jc w:val="left"/>
        <w:tblInd w:w="0" w:type="dxa"/>
        <w:tblLayout w:type="fixed"/>
        <w:tblCellMar>
          <w:top w:w="0" w:type="dxa"/>
          <w:left w:w="0" w:type="dxa"/>
          <w:bottom w:w="0" w:type="dxa"/>
          <w:right w:w="0" w:type="dxa"/>
        </w:tblCellMar>
      </w:tblPr>
      <w:tblGrid>
        <w:gridCol w:w="2735"/>
        <w:gridCol w:w="60"/>
        <w:gridCol w:w="182"/>
        <w:gridCol w:w="887"/>
        <w:gridCol w:w="266"/>
        <w:gridCol w:w="74"/>
        <w:gridCol w:w="182"/>
        <w:gridCol w:w="887"/>
        <w:gridCol w:w="215"/>
        <w:gridCol w:w="60"/>
        <w:gridCol w:w="140"/>
        <w:gridCol w:w="755"/>
        <w:gridCol w:w="95"/>
        <w:gridCol w:w="60"/>
        <w:gridCol w:w="123"/>
        <w:gridCol w:w="692"/>
        <w:gridCol w:w="305"/>
      </w:tblGrid>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29,</w:t>
            </w:r>
          </w:p>
        </w:tc>
        <w:tc>
          <w:tcPr>
            <w:tcW w:w="266"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30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6"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18,011</w:t>
            </w:r>
          </w:p>
        </w:tc>
        <w:tc>
          <w:tcPr>
            <w:tcW w:w="266"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22,615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(20</w:t>
            </w:r>
          </w:p>
        </w:tc>
        <w:tc>
          <w:tcPr>
            <w:tcW w:w="305"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both"/>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9,961</w:t>
            </w:r>
          </w:p>
        </w:tc>
        <w:tc>
          <w:tcPr>
            <w:tcW w:w="266"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28,422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(65</w:t>
            </w:r>
          </w:p>
        </w:tc>
        <w:tc>
          <w:tcPr>
            <w:tcW w:w="305"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both"/>
              <w:rPr/>
            </w:pPr>
            <w:r>
              <w:rPr/>
              <w:t>Dealer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134</w:t>
            </w:r>
          </w:p>
        </w:tc>
        <w:tc>
          <w:tcPr>
            <w:tcW w:w="266"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28,106</w:t>
            </w:r>
          </w:p>
        </w:tc>
        <w:tc>
          <w:tcPr>
            <w:tcW w:w="266"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51,037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(22,931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(45</w:t>
            </w:r>
          </w:p>
        </w:tc>
        <w:tc>
          <w:tcPr>
            <w:tcW w:w="305"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266"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61</w:t>
            </w:r>
          </w:p>
        </w:tc>
        <w:tc>
          <w:tcPr>
            <w:tcW w:w="266"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revenues decreased primarily attributable to lower installation activity resulting from softer consumer demand. Higher interest rates increased financing costs for homeowners, and the expiration of certain ITCs reduced the economic incentive to adopt residential solar. As a result, installation volumes declined, leading to lower associated material, labor, and subcontractor costs.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cost of revenues decreased primarily driven by reduced solar installation option due to the demands of keeping home prices down demanded by home buyers. Homebuilders slowed construction primarily reducing optional features due to elevated mortgage rates, affordability pressures on buyers, and the reduced benefit of ITCs for solar-equipped new homes.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7497" w:type="dxa"/>
        <w:jc w:val="left"/>
        <w:tblInd w:w="0" w:type="dxa"/>
        <w:tblLayout w:type="fixed"/>
        <w:tblCellMar>
          <w:top w:w="0" w:type="dxa"/>
          <w:left w:w="0" w:type="dxa"/>
          <w:bottom w:w="0" w:type="dxa"/>
          <w:right w:w="0" w:type="dxa"/>
        </w:tblCellMar>
      </w:tblPr>
      <w:tblGrid>
        <w:gridCol w:w="2735"/>
        <w:gridCol w:w="60"/>
        <w:gridCol w:w="202"/>
        <w:gridCol w:w="984"/>
        <w:gridCol w:w="86"/>
        <w:gridCol w:w="86"/>
        <w:gridCol w:w="225"/>
        <w:gridCol w:w="904"/>
        <w:gridCol w:w="60"/>
        <w:gridCol w:w="60"/>
        <w:gridCol w:w="140"/>
        <w:gridCol w:w="680"/>
        <w:gridCol w:w="95"/>
        <w:gridCol w:w="60"/>
        <w:gridCol w:w="111"/>
        <w:gridCol w:w="704"/>
        <w:gridCol w:w="305"/>
      </w:tblGrid>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30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6,553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w:t>
            </w:r>
          </w:p>
        </w:tc>
        <w:tc>
          <w:tcPr>
            <w:tcW w:w="305"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both"/>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1,166</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1,017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15</w:t>
            </w:r>
          </w:p>
        </w:tc>
        <w:tc>
          <w:tcPr>
            <w:tcW w:w="305" w:type="dxa"/>
            <w:tcBorders/>
            <w:shd w:fill="FFFFFF" w:val="clear"/>
            <w:vAlign w:val="center"/>
          </w:tcPr>
          <w:p>
            <w:pPr>
              <w:pStyle w:val="TableContents"/>
              <w:bidi w:val="0"/>
              <w:spacing w:before="0" w:after="283"/>
              <w:jc w:val="left"/>
              <w:rPr/>
            </w:pPr>
            <w:r>
              <w:rPr/>
              <w:t>%</w:t>
            </w:r>
          </w:p>
        </w:tc>
      </w:tr>
      <w:tr>
        <w:trPr/>
        <w:tc>
          <w:tcPr>
            <w:tcW w:w="2735" w:type="dxa"/>
            <w:tcBorders/>
            <w:shd w:fill="CCEEFF" w:val="clear"/>
            <w:vAlign w:val="center"/>
          </w:tcPr>
          <w:p>
            <w:pPr>
              <w:pStyle w:val="TableContents"/>
              <w:bidi w:val="0"/>
              <w:spacing w:before="0" w:after="283"/>
              <w:jc w:val="both"/>
              <w:rPr/>
            </w:pPr>
            <w:r>
              <w:rPr/>
              <w:t>Dealer</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pPr>
            <w:r>
              <w:rPr/>
              <w:t>20,845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20,845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Total sales commissions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4" w:type="dxa"/>
            <w:tcBorders>
              <w:bottom w:val="double" w:sz="10" w:space="0" w:color="000000"/>
            </w:tcBorders>
            <w:shd w:fill="FFFFFF" w:val="clear"/>
            <w:tcMar>
              <w:bottom w:w="28" w:type="dxa"/>
            </w:tcMar>
            <w:vAlign w:val="center"/>
          </w:tcPr>
          <w:p>
            <w:pPr>
              <w:pStyle w:val="TableContents"/>
              <w:bidi w:val="0"/>
              <w:spacing w:before="0" w:after="283"/>
              <w:jc w:val="right"/>
              <w:rPr/>
            </w:pPr>
            <w:r>
              <w:rPr/>
              <w:t>28,564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7,684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20,880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272</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commissions decreased slightly primarily due to lower residential installation volumes. Softer consumer demand driven by higher interest rates increased financing costs and the expiration of certain ITCs resulted in fewer closed sales, which reduced commissionable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commissions increased modestly due to changes in the mix of homebuilder programs and compensation structures, including higher per-unit commission rates on certain projects. Timing of community launches and sales cycles also contributed to the year-over-year variance.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2735"/>
        <w:gridCol w:w="60"/>
        <w:gridCol w:w="225"/>
        <w:gridCol w:w="904"/>
        <w:gridCol w:w="93"/>
        <w:gridCol w:w="93"/>
        <w:gridCol w:w="225"/>
        <w:gridCol w:w="904"/>
        <w:gridCol w:w="60"/>
        <w:gridCol w:w="60"/>
        <w:gridCol w:w="147"/>
        <w:gridCol w:w="668"/>
        <w:gridCol w:w="95"/>
        <w:gridCol w:w="60"/>
        <w:gridCol w:w="123"/>
        <w:gridCol w:w="692"/>
        <w:gridCol w:w="305"/>
      </w:tblGrid>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30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3,539</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8,522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(4,983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(58</w:t>
            </w:r>
          </w:p>
        </w:tc>
        <w:tc>
          <w:tcPr>
            <w:tcW w:w="305"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both"/>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876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876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Dealer</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578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center"/>
          </w:tcPr>
          <w:p>
            <w:pPr>
              <w:pStyle w:val="TableContents"/>
              <w:bidi w:val="0"/>
              <w:spacing w:before="0" w:after="283"/>
              <w:jc w:val="right"/>
              <w:rPr/>
            </w:pPr>
            <w:r>
              <w:rPr/>
              <w:t>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0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both"/>
              <w:rPr/>
            </w:pPr>
            <w:r>
              <w:rPr/>
              <w:t>Total sales and marketing</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4,993</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8,522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8" w:type="dxa"/>
            <w:tcBorders>
              <w:bottom w:val="double" w:sz="10" w:space="0" w:color="000000"/>
            </w:tcBorders>
            <w:shd w:fill="FFFFFF" w:val="clear"/>
            <w:tcMar>
              <w:bottom w:w="28" w:type="dxa"/>
            </w:tcMar>
            <w:vAlign w:val="center"/>
          </w:tcPr>
          <w:p>
            <w:pPr>
              <w:pStyle w:val="TableContents"/>
              <w:bidi w:val="0"/>
              <w:spacing w:before="0" w:after="283"/>
              <w:jc w:val="right"/>
              <w:rPr/>
            </w:pPr>
            <w:r>
              <w:rPr/>
              <w:t>(3,529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(41</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and marketing expenses decreased reflecting reduced spending on lead generation, advertising, and promotional programs as we scaled back customer-acquisition efforts in response to softer demand. Higher interest rates increased financing costs for homeowners, and the expiration of certain ITCs reduced the economic incentive to adopt residential solar. As a result, we intentionally moderated marketing investments to align with lower sales volumes. In addition, we acquired Sunder a sales force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and marketing expenses had no comparable expenses in the prior-year period as the Company does not make significant investments in sales and marketing spend.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tbl>
      <w:tblPr>
        <w:tblW w:w="7648" w:type="dxa"/>
        <w:jc w:val="left"/>
        <w:tblInd w:w="0" w:type="dxa"/>
        <w:tblLayout w:type="fixed"/>
        <w:tblCellMar>
          <w:top w:w="0" w:type="dxa"/>
          <w:left w:w="0" w:type="dxa"/>
          <w:bottom w:w="0" w:type="dxa"/>
          <w:right w:w="0" w:type="dxa"/>
        </w:tblCellMar>
      </w:tblPr>
      <w:tblGrid>
        <w:gridCol w:w="3065"/>
        <w:gridCol w:w="60"/>
        <w:gridCol w:w="192"/>
        <w:gridCol w:w="937"/>
        <w:gridCol w:w="80"/>
        <w:gridCol w:w="80"/>
        <w:gridCol w:w="192"/>
        <w:gridCol w:w="937"/>
        <w:gridCol w:w="60"/>
        <w:gridCol w:w="60"/>
        <w:gridCol w:w="140"/>
        <w:gridCol w:w="680"/>
        <w:gridCol w:w="60"/>
        <w:gridCol w:w="60"/>
        <w:gridCol w:w="111"/>
        <w:gridCol w:w="704"/>
        <w:gridCol w:w="23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23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both"/>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15,833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10,440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52</w:t>
            </w:r>
          </w:p>
        </w:tc>
        <w:tc>
          <w:tcPr>
            <w:tcW w:w="23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both"/>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11,545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159</w:t>
            </w:r>
          </w:p>
        </w:tc>
        <w:tc>
          <w:tcPr>
            <w:tcW w:w="23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both"/>
              <w:rPr/>
            </w:pPr>
            <w:r>
              <w:rPr/>
              <w:t>Dealer</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2,947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both"/>
              <w:rPr/>
            </w:pPr>
            <w:r>
              <w:rPr/>
              <w:t>Total general and administrative</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30,325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14,896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15,429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104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general and administrative expenses increased primarily due to higher employee-related expenses, including salaries, benefits, and stock-based compensation, as we continued to invest in operational infrastructure and administrative support functions. Additionally, higher insurance, facilities, and technology-related costs investments that focuses on scalability contributed to the period over period increase.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general and administrative expenses increased primarily due to higher personnel costs and expanded administrative support for homebuilder programs, including project management, compliance, and operational oversight. We also incurred incremental technology, systems, and shared-services costs allocated to the New Homes segment as part of broader organizational growth.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general and administrative expenses primarily relate to personnel, facilities, and administrative overhead associated with integrating and operating the Dealer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29, 2026, consisted principally of $4.5 million attributable to our September 2024 Notes and $1.8 attributable to the July 2024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30, 2025, consisted principally of $5.0 million of interest expense attributable to our September 2024 Notes and the remainder principally attributable to the July 2024 Notes.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non-operating income, net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in the thirteen weeks ended March 29, 2026, was $30.8 million. The main drivers consist of $26.6 million gain on the remeasurement of the fair value of derivative liabilities associated with our 12% and 7% senior unsecured convertible notes and $5.2 million gain on the revaluation of deferred consideration, partially offset by a $1.1 million change in the fair value of our forward purchase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thirteen weeks ended March 30, 2025, was $14.6 million. The main drivers of Other non-operating income, net were $15.1 million of gains on the remeasurement of the fair value of derivative liabilities associated with our July 2024 Notes and September 2024 Notes, $0.3 million of income arising from the change in the fair value of our forward purchase agreements and $0.2 million of other income, partially offset by $1.1 million of expense associated with the change in the fair value of our public, private placement and working capital warrants which are accounted for as liabilities.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income for the thirteen-weeks ended March 29, 2026 was $5.25 million, a $0.4 million increase in our net income as compared to net income of $4.8 million for the thirteen weeks ended March 30, 2025.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 ended December 28, 2025 (“2025”) compared to the fiscal year ended December 29, 2024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we discuss the results of our operations for fiscal 2025 compared to fiscal 2024. We discuss our cash flows and current financial condition under “Liquidity and Capital Resources”.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statements of operations data for the fiscal years ended December 28, 2025 and December 29, 2024, respectively. We have derived this data from our consolidated financial statements included elsewhere in this prospectus. This information should be read in conjunction with our consolidated financial statements and related notes included elsewhere in this prospectus.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pStyle w:val="TextBody"/>
        <w:bidi w:val="0"/>
        <w:spacing w:before="0" w:after="0"/>
        <w:ind w:left="0" w:right="0" w:hanging="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4295"/>
        <w:gridCol w:w="60"/>
        <w:gridCol w:w="209"/>
        <w:gridCol w:w="1205"/>
        <w:gridCol w:w="215"/>
        <w:gridCol w:w="60"/>
        <w:gridCol w:w="209"/>
        <w:gridCol w:w="1205"/>
        <w:gridCol w:w="215"/>
        <w:gridCol w:w="60"/>
        <w:gridCol w:w="140"/>
        <w:gridCol w:w="800"/>
        <w:gridCol w:w="95"/>
        <w:gridCol w:w="60"/>
        <w:gridCol w:w="94"/>
        <w:gridCol w:w="721"/>
        <w:gridCol w:w="23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4295"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108,742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191,258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176</w:t>
            </w:r>
          </w:p>
        </w:tc>
        <w:tc>
          <w:tcPr>
            <w:tcW w:w="230" w:type="dxa"/>
            <w:tcBorders/>
            <w:shd w:fill="CCEEFF" w:val="clear"/>
            <w:vAlign w:val="center"/>
          </w:tcPr>
          <w:p>
            <w:pPr>
              <w:pStyle w:val="TableContents"/>
              <w:bidi w:val="0"/>
              <w:spacing w:before="0" w:after="283"/>
              <w:jc w:val="left"/>
              <w:rPr/>
            </w:pPr>
            <w:r>
              <w:rPr/>
              <w:t>%</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170,788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69,240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101,548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147</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129,212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39,502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89,710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227</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Sales commissions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37,009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24,590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51</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marketing</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29,030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6,827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325</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90,104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76,594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18</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156,143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108,011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48,132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41</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(26,931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(68,509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41,578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61</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(25,095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(16,223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55</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(84</w:t>
            </w:r>
          </w:p>
        </w:tc>
        <w:tc>
          <w:tcPr>
            <w:tcW w:w="23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non-operating income, net</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9,347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7,932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troubled debt restructuring</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22,337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(22,337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4295"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(42,676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(1,578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(44,254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(54,444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245"/>
        <w:gridCol w:w="575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stock-based compensation expense as follows (</w:t>
            </w:r>
            <w:r>
              <w:rPr>
                <w:rFonts w:ascii="Times New Roman;Times;Serif" w:hAnsi="Times New Roman;Times;Serif"/>
                <w:i/>
                <w:sz w:val="20"/>
              </w:rPr>
              <w:t>in thousands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90"/>
        <w:gridCol w:w="60"/>
        <w:gridCol w:w="231"/>
        <w:gridCol w:w="1124"/>
        <w:gridCol w:w="69"/>
        <w:gridCol w:w="69"/>
        <w:gridCol w:w="283"/>
        <w:gridCol w:w="1132"/>
        <w:gridCol w:w="7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December 28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3,003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2,618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598</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CCEEFF" w:val="clear"/>
            <w:tcMar>
              <w:bottom w:w="28" w:type="dxa"/>
            </w:tcMar>
            <w:vAlign w:val="center"/>
          </w:tcPr>
          <w:p>
            <w:pPr>
              <w:pStyle w:val="TableContents"/>
              <w:bidi w:val="0"/>
              <w:spacing w:before="0" w:after="283"/>
              <w:jc w:val="right"/>
              <w:rPr/>
            </w:pPr>
            <w:r>
              <w:rPr/>
              <w:t>4,867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2,312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double" w:sz="10" w:space="0" w:color="000000"/>
            </w:tcBorders>
            <w:shd w:fill="FFFFFF" w:val="clear"/>
            <w:tcMar>
              <w:bottom w:w="28" w:type="dxa"/>
            </w:tcMar>
            <w:vAlign w:val="center"/>
          </w:tcPr>
          <w:p>
            <w:pPr>
              <w:pStyle w:val="TableContents"/>
              <w:bidi w:val="0"/>
              <w:spacing w:before="0" w:after="283"/>
              <w:jc w:val="right"/>
              <w:rPr/>
            </w:pPr>
            <w:r>
              <w:rPr/>
              <w:t>10,488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3,067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interest expense and amortization of debt discount costs with related parties of $5.7 million and $7.6 million in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2025 (i) a gain of $3.5 million due to the change in the fair value of derivative liabilities; and (ii) $0.1 million of other income due to a change in the fair value of a forward purchase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2024; (i) $0.7 million of expense in connection with the conversion of SAFE Agreements into shares of common stock and the change in the fair value of SAFE Agreements, (ii) $3.0 million of expense in connection with the loss on issuance of a derivative liability and $0.3 million of income due to the change in the value of derivative liabilities, and (iii) $0.1 million of income in connection with the change in the fair value of forward purchase agreements.</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45"/>
        <w:gridCol w:w="464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includes $12.5 million with a related party in 2024.</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not meaningful.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reportable segments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2735"/>
        <w:gridCol w:w="60"/>
        <w:gridCol w:w="209"/>
        <w:gridCol w:w="1205"/>
        <w:gridCol w:w="60"/>
        <w:gridCol w:w="60"/>
        <w:gridCol w:w="209"/>
        <w:gridCol w:w="1205"/>
        <w:gridCol w:w="60"/>
        <w:gridCol w:w="60"/>
        <w:gridCol w:w="140"/>
        <w:gridCol w:w="800"/>
        <w:gridCol w:w="60"/>
        <w:gridCol w:w="60"/>
        <w:gridCol w:w="111"/>
        <w:gridCol w:w="704"/>
        <w:gridCol w:w="23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160,987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67,460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93,527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139</w:t>
            </w:r>
          </w:p>
        </w:tc>
        <w:tc>
          <w:tcPr>
            <w:tcW w:w="23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124,595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41,282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83,313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202</w:t>
            </w:r>
          </w:p>
        </w:tc>
        <w:tc>
          <w:tcPr>
            <w:tcW w:w="23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108,742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191,258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176</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increased primarily attributed to a full year of Solar Installation due to the acquisition of SunPower Businesses at the beginning of our fourth quarter in fiscal year ended December 29, 2024. New Homes Business increased due to the sale of solar system sales to home builders and the completion of backlog projects acquired with the SunPower Businesses. Dealer revenues are attributable to the acquisition of Sunder.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8278" w:type="dxa"/>
        <w:jc w:val="left"/>
        <w:tblInd w:w="0" w:type="dxa"/>
        <w:tblLayout w:type="fixed"/>
        <w:tblCellMar>
          <w:top w:w="0" w:type="dxa"/>
          <w:left w:w="0" w:type="dxa"/>
          <w:bottom w:w="0" w:type="dxa"/>
          <w:right w:w="0" w:type="dxa"/>
        </w:tblCellMar>
      </w:tblPr>
      <w:tblGrid>
        <w:gridCol w:w="2735"/>
        <w:gridCol w:w="60"/>
        <w:gridCol w:w="209"/>
        <w:gridCol w:w="1205"/>
        <w:gridCol w:w="215"/>
        <w:gridCol w:w="60"/>
        <w:gridCol w:w="241"/>
        <w:gridCol w:w="1173"/>
        <w:gridCol w:w="215"/>
        <w:gridCol w:w="60"/>
        <w:gridCol w:w="140"/>
        <w:gridCol w:w="800"/>
        <w:gridCol w:w="60"/>
        <w:gridCol w:w="60"/>
        <w:gridCol w:w="111"/>
        <w:gridCol w:w="704"/>
        <w:gridCol w:w="23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88,400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45,266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43,134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95</w:t>
            </w:r>
          </w:p>
        </w:tc>
        <w:tc>
          <w:tcPr>
            <w:tcW w:w="23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82,288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23,974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243</w:t>
            </w:r>
          </w:p>
        </w:tc>
        <w:tc>
          <w:tcPr>
            <w:tcW w:w="23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170,788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69,240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101,548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147</w:t>
            </w:r>
          </w:p>
        </w:tc>
        <w:tc>
          <w:tcPr>
            <w:tcW w:w="23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not meaningful.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 increase is primarily attributed to a full year of Solar Installation as described above. New Homes Business cost of revenue increased as a result of a full year of completing backlog and the inventory costs associated with each solar system sale. Cost of revenues attributable to the Dealer network is attributable to the acquisition of Sunder.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margins is attributed to operational efficiencies gained through the synergies created by consolidating the various lines of business and streamlining direct overhead costs attributed to each solar installation.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7858" w:type="dxa"/>
        <w:jc w:val="left"/>
        <w:tblInd w:w="0" w:type="dxa"/>
        <w:tblLayout w:type="fixed"/>
        <w:tblCellMar>
          <w:top w:w="0" w:type="dxa"/>
          <w:left w:w="0" w:type="dxa"/>
          <w:bottom w:w="0" w:type="dxa"/>
          <w:right w:w="0" w:type="dxa"/>
        </w:tblCellMar>
      </w:tblPr>
      <w:tblGrid>
        <w:gridCol w:w="2735"/>
        <w:gridCol w:w="60"/>
        <w:gridCol w:w="241"/>
        <w:gridCol w:w="1173"/>
        <w:gridCol w:w="65"/>
        <w:gridCol w:w="65"/>
        <w:gridCol w:w="241"/>
        <w:gridCol w:w="1173"/>
        <w:gridCol w:w="60"/>
        <w:gridCol w:w="60"/>
        <w:gridCol w:w="140"/>
        <w:gridCol w:w="680"/>
        <w:gridCol w:w="60"/>
        <w:gridCol w:w="60"/>
        <w:gridCol w:w="111"/>
        <w:gridCol w:w="704"/>
        <w:gridCol w:w="230"/>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26,298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23,388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12</w:t>
            </w:r>
          </w:p>
        </w:tc>
        <w:tc>
          <w:tcPr>
            <w:tcW w:w="23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5,032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319</w:t>
            </w:r>
          </w:p>
        </w:tc>
        <w:tc>
          <w:tcPr>
            <w:tcW w:w="23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5,679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Total sales commissions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37,009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24,590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12,419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51</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and New Homes Business sales commission increased from the prior fiscal year ended December 28, 2025 is primarily attributable to the increase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tbl>
      <w:tblPr>
        <w:tblW w:w="6763" w:type="dxa"/>
        <w:jc w:val="left"/>
        <w:tblInd w:w="0" w:type="dxa"/>
        <w:tblLayout w:type="fixed"/>
        <w:tblCellMar>
          <w:top w:w="0" w:type="dxa"/>
          <w:left w:w="0" w:type="dxa"/>
          <w:bottom w:w="0" w:type="dxa"/>
          <w:right w:w="0" w:type="dxa"/>
        </w:tblCellMar>
      </w:tblPr>
      <w:tblGrid>
        <w:gridCol w:w="2405"/>
        <w:gridCol w:w="60"/>
        <w:gridCol w:w="204"/>
        <w:gridCol w:w="970"/>
        <w:gridCol w:w="65"/>
        <w:gridCol w:w="65"/>
        <w:gridCol w:w="240"/>
        <w:gridCol w:w="934"/>
        <w:gridCol w:w="60"/>
        <w:gridCol w:w="60"/>
        <w:gridCol w:w="125"/>
        <w:gridCol w:w="590"/>
        <w:gridCol w:w="60"/>
        <w:gridCol w:w="60"/>
        <w:gridCol w:w="101"/>
        <w:gridCol w:w="564"/>
        <w:gridCol w:w="200"/>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0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20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25,154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Homes Business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Dealer</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sales &amp; marketing</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29,030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0" w:type="dxa"/>
            <w:tcBorders>
              <w:bottom w:val="doub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 increased in fiscal 2025 compared to fiscal 2024 due to increase in overall headcount due to combined business and increasing sales and marketing footprint. New Homes Business increased when compared to prior year primarily attributable to our decision to invest in sales and marketing efforts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tbl>
      <w:tblPr>
        <w:tblW w:w="8188" w:type="dxa"/>
        <w:jc w:val="left"/>
        <w:tblInd w:w="0" w:type="dxa"/>
        <w:tblLayout w:type="fixed"/>
        <w:tblCellMar>
          <w:top w:w="0" w:type="dxa"/>
          <w:left w:w="0" w:type="dxa"/>
          <w:bottom w:w="0" w:type="dxa"/>
          <w:right w:w="0" w:type="dxa"/>
        </w:tblCellMar>
      </w:tblPr>
      <w:tblGrid>
        <w:gridCol w:w="3065"/>
        <w:gridCol w:w="60"/>
        <w:gridCol w:w="241"/>
        <w:gridCol w:w="1173"/>
        <w:gridCol w:w="65"/>
        <w:gridCol w:w="65"/>
        <w:gridCol w:w="241"/>
        <w:gridCol w:w="1173"/>
        <w:gridCol w:w="60"/>
        <w:gridCol w:w="60"/>
        <w:gridCol w:w="140"/>
        <w:gridCol w:w="680"/>
        <w:gridCol w:w="60"/>
        <w:gridCol w:w="60"/>
        <w:gridCol w:w="152"/>
        <w:gridCol w:w="663"/>
        <w:gridCol w:w="23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Residential Solar Installation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58,597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57,641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New Homes Business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29,648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18,953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56</w:t>
            </w:r>
          </w:p>
        </w:tc>
        <w:tc>
          <w:tcPr>
            <w:tcW w:w="23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Total general and administrative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90,104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76,594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13,510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18</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not meaningful.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expenses decreased as a result of declines in our legacy operations following a strategic resizing of this reportable segment including reduction of personnel costs. New Homes Business increased due a full year of operations in fiscal 2025. Dealer reportable segment expenses increased entirely attributable to our acquisition of Sunder.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$25.1 million in fiscal 2025 and principally consisted of $20.4 million attributable to our 7.0% senior unsecured convertible notes and $3.4 million attributable to our 12.0% senior unsecured convertible notes with the remainder attributable to interest expense on our other obligations.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$16.2 million in fiscal 2024 and principally consisted of (i) $5.5 million related to our 7.0% senior unsecured convertible notes, (ii) $3.5 million related to our 12.0% senior unsecured convertible notes, (iii) $5.8 million relating to obligations that were exchanged during fiscal 2024 for 12.0% senior unsecured convertible notes, and (iv) other of $1.4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Non-Operating Income,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$9.3 million in fiscal 2025. Other income principally consisted of $11.5 million of gains from changes in the fair value of derivative liabilities associated with our 12.0% and 7.0% senior unsecured convertible notes and other non-cash income and other of $1.3 million. These gains were partially offset by a $2.8 million increase in the fair value of our public, private placement and working capital warrants accounted for as liabilities, $0.5 million increase in the fair value of our forward purchase agreements liabilities, and $0.2 million increase in the fair value of a SAFE Agreement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$7.9 million in fiscal 2024. The amounts consisted primarily of a $34.0 million gain on remeasurement of derivative liabilities associated with our 12.0% and 7.0% senior unsecured convertible notes, a $2.9 million net gain due to changes in fair values of warrants accounted for as liabilities, a $0.6 million gain due to the change in the fair value of SAFE Agreements and net other of $0.2 million partially offset by a $24.7 million loss on issuance of a derivative liabilities, $3.8 million of other financing costs and $1.3 million loss on the conversion of SAFE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from continuing operations in 2025, was $44.3 million, a decrease in net loss of $10.1 million, as compared to a net loss from continuing operations of $54.4 million in 2024.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loss was $19.2 million in the thirteen week period ended March 29, 2026. As of March 29, 2026, we had an accumulated deficit of $451.5 million, current debt of $38.0 million, and cash and cash equivalents (excluding restricted cash) of $9.5 million which was held for working capital expenditures. We believe our operating losses and negative operating cash flows will continue into the foreseeable future.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Changes to our Liquidity and Capital Resources since December 28,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White Lion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we and White Lion Capital, LLC (“White Lion”) entered into Amendment No. 3 (the “Amendment No. 3”) to the Common Stock Purchase Agreement, dated July 16, 2024, between the Company and White Lion, as previously amended by Amendment No. 1, effective July 24, 2024, and Amendment No. 2, effective August 14, 2024 (as amended, the “Purchase Agreement”). Amendment No. 3 extends the commitment period under the Purchase Agreement (the “Commitment Period”) to the earlier of December 31, 2027 and the date on which White Lion has purchased an aggregate number of shares of our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Purchase Agreement, from time to time in our sole discretion, during the Commitment Period. Lastly, Amendment No. 3 adds an option for the Company to submit three hour rapid purchase notices to White Lion that, if accepted by White Lion and otherwise delivered in accordance with the Purchase Agreement, would enable us to sell shares of our common stock to White Lion based on the lowest traded price of our common stock during the three-hour valuation period following White Lion’s written acceptance of a three hour 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a Standby Equity Purchase Agreement (the “SEPA”) with YA II PN, LTD. (“YA”). Under the SEPA, YA agreed to advance up to $20.0 million (the “Prepaid Advances”) to us in the form of convertible promissory notes. (each, a “Promissory Note”), subject to the terms and conditions of the SEPA. As discussed below, we received an initial Pre-Paid Advance of $1.9 million, and the Company’s rights to further Pre-Paid Advances terminated pursuant to the terms of the SEPA. The Pre-Paid Advance under the Promissory Notes accrue interest at 0% per annum, increasing to 18% per annum upon the occurrence of an event of default. The Pre-Paid Advance that we received was funded at a 10% original issue discount. In addition, the SEPA provides us with the right, but not the obligation, to require YA to purchase up to $25.0 million (“Commitment Amount”) of our common stock through January 27, 2029, subject to customary limitations and conditions, including trading volume and ownership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us under the SEPA the Commitment Amount in full. We may terminate the SEPA at any time upon five trading days’ prior written notice to YA, provided that there are no outstanding advance notices under which we have yet to issue shares of our common stock, there are no amounts outstanding under any promissory notes, and provided that we have paid all amounts owed to YA pursuant to the SEPA. We and YA may also agree to terminate the SEPA by mutual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 SEPA as a flexible source of potential liquidity; however, the issuance of equity under the SEPA could result in dilution to existing stockholders, and the availability of proceeds is subject to market conditions and compliance with the agreement’s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we paid YA a due diligence, structuring and commitment fee totaling $0.4 million which consisted of $0.05 million cash and 175,000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for net proceeds received totaling $1.7 million after the contractual discount. The $1.9 Million Note matures on January 27, 2027, subject to extension at YA’s option, and is convertible into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March 2026 Bridge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we entered into a purchase agreement with YA pursuant to which we issued a convertible debenture in the principal amount of $10.0 million (the “March 2026 Bridge Note”) for net proceeds of approximately $9.0 million, after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bears interest at 0% per annum, increasing to 18% per annum upon the occurrence of an event of default, and matures on March 6, 2027, subject to extension at YA’s option. Beginning on May 6, 2026, we are required to make monthly installment payments through September 6, 2026, each consisting of $2.0 million of principal, a payment premium of $0.06 million, and any accrued interest. Each installment may be satisfied, at the Company’s option, in cash, through the issuance of shares pursuant to an advance notice under the SEPA, or through a combination of both. The terms of the March 2026 Bridge Note were subsequently amended as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is convertible into shares of our common stock at the option of YA. Outstanding balances may be converted at an adjusted fixed price of $1.64 per share, or, with respect to amounts due and unpaid on or after an installment date, at a variable price based on a percentage of our stock’s recent trading prices, subject to a floor price. The March 2026 Bridge Note also permits us, under certain conditions, to redeem amounts outstanding prior to maturity, which may require the payment of a premium depending on the timing of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transactions subsequent to March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quarter ended March 29, 2026, we completed several significant financing and capital restructuring transactions. On April 21, 2026, we completed a private offering (“Private Offering”) of $41.0 million aggregate principal amount of 10.0% Convertible Senior Secured Notes due 2029 (the “10% Senior Secured Notes”). The Private Offering included (i) $25.0 million of notes issued to institutional investors, (ii) $6.0 million of notes issued to an affiliate of our CEO in exchange for amounts previously advanced under the Third SAFE and Fourth SAFE (refer to </w:t>
      </w:r>
      <w:r>
        <w:rPr>
          <w:rFonts w:ascii="Times New Roman;Times;Serif" w:hAnsi="Times New Roman;Times;Serif"/>
          <w:b/>
          <w:i w:val="false"/>
          <w:caps w:val="false"/>
          <w:smallCaps w:val="false"/>
          <w:sz w:val="20"/>
        </w:rPr>
        <w:t>Note 8 – SAFE Agreement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18 – Subsequent Events to Unaudited Condensed Consolidated Financial Statements </w:t>
      </w:r>
      <w:r>
        <w:rPr>
          <w:rFonts w:ascii="Times New Roman;Times;Serif" w:hAnsi="Times New Roman;Times;Serif"/>
          <w:b w:val="false"/>
          <w:i w:val="false"/>
          <w:caps w:val="false"/>
          <w:smallCaps w:val="false"/>
          <w:sz w:val="20"/>
        </w:rPr>
        <w:t>for details of the SAFE Agreements) and (iii) $10.0 million of notes issued in connection with the exchange of the Seller Note (as described below). Net proceeds from the Private Offering, after payment of transaction fees and expenses and the settlement of certain obligations, were approximately $9.8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a portion of the gross proceeds from the offering to (i) prepay $5.0 million of the March 2026 Bridge Note, (ii) satisfy payment obligations under an amended settlement agreement with Siemens totaling $4.75 million, (iii) make a $4.0 million cash payment to CPP Note Purchase Agreement (as defined below); and (iv) pay approximately $1.5 million of fees and expenses incurred in connection with the private offering. The remaining proceeds are expected to be used for working capital and general corporate purposes, including repayment of the remaining balance under the March 2026 Bridge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Private Offering, we and YA entered into a letter agreement (the “YA Letter”). Pursuant to the YA Letter, we agreed to voluntary prepay $5.0 million of the outstanding principal amount of March 2026 Bridge Note, resulting in a revised outstanding principal balance under the March 2026 Bridge Note of $5.0 million. We further agreed to repay the remaining principal balance and accrued interest under the March 2026 Bridge Note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we entered into a Note Purchase Agreement with CPP (the “CPP Note Purchase Agreement”) that provides for the following in exchange for the outstanding Seller Note (in addition to the issuance of $10.0 million principal amount of 10% Senior Secured Notes to CPP as summarized above): (i) we made a $4.0 million payment in cash to CPP at the closing under the CPP Note Purchase Agreement and (ii) amended and restated the outstanding Seller Note as further summarized below. In connection with the 10% Senior Secured Notes offering, we amended and restated the Seller Note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April 21, 2026, we entered into privately negotiated exchange agreements with certain holders of our 7.0% Notes due 2029, pursuant to which $21.25 million of the principal amount of such notes was exchanged for shares of our common stock and cash for accrued interest, thereby reducing outstanding indebtedness and future cash interest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Outlook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additional financing opportunities and capital management strategies to support our operating needs and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consist of existing cash balances, cash flows from operations, and access to capital under new and existing financing arrangements. We expect that installment payments under the current obligations will require the use of available cash, equity issuance, or a combination thereof. As a result, our liquidity and capital resources will continue to depend on operating performance, capital market conditions, and our ability to access equity financing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principal short-term (over the next 12 months) cash needs related to our operations will be to fund working capital, acquisitions, payments on our outstanding debt, and legal settlements. We plan to fund any cash requirements for the next 12 months from our existing cash and cash equivalents, cash generated from operations and debt and equity financings. For the long-term period (beyond 12 months), we aim to generate cash flows from operations to support our ongoing business operations and strategic investment plans. We regularly evaluate our liquidity position, debt obligations and expected cash requirements. As part of this ongoing assessment, we may pursue additional financing through the issuance of equity or the debt financing, as necessary, to meet our operational and investment needs.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significantly impairs our ability to raise the necessary capital to fund our operations and execute our strategy. If we seek to access to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thirteen weeks ended March 29, 2026 and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039" w:type="dxa"/>
        <w:jc w:val="left"/>
        <w:tblInd w:w="0" w:type="dxa"/>
        <w:tblLayout w:type="fixed"/>
        <w:tblCellMar>
          <w:top w:w="0" w:type="dxa"/>
          <w:left w:w="0" w:type="dxa"/>
          <w:bottom w:w="0" w:type="dxa"/>
          <w:right w:w="0" w:type="dxa"/>
        </w:tblCellMar>
      </w:tblPr>
      <w:tblGrid>
        <w:gridCol w:w="5435"/>
        <w:gridCol w:w="60"/>
        <w:gridCol w:w="182"/>
        <w:gridCol w:w="982"/>
        <w:gridCol w:w="123"/>
        <w:gridCol w:w="78"/>
        <w:gridCol w:w="192"/>
        <w:gridCol w:w="877"/>
        <w:gridCol w:w="110"/>
      </w:tblGrid>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29, </w:t>
              <w:br/>
              <w:t>2026</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11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(25,656</w:t>
            </w:r>
          </w:p>
        </w:tc>
        <w:tc>
          <w:tcPr>
            <w:tcW w:w="123"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877" w:type="dxa"/>
            <w:tcBorders/>
            <w:shd w:fill="CCEEFF" w:val="clear"/>
            <w:vAlign w:val="center"/>
          </w:tcPr>
          <w:p>
            <w:pPr>
              <w:pStyle w:val="TableContents"/>
              <w:bidi w:val="0"/>
              <w:spacing w:before="0" w:after="283"/>
              <w:jc w:val="right"/>
              <w:rPr/>
            </w:pPr>
            <w:r>
              <w:rPr/>
              <w:t>(2,627</w:t>
            </w:r>
          </w:p>
        </w:tc>
        <w:tc>
          <w:tcPr>
            <w:tcW w:w="110" w:type="dxa"/>
            <w:tcBorders/>
            <w:shd w:fill="CCEEFF" w:val="clear"/>
            <w:vAlign w:val="center"/>
          </w:tcPr>
          <w:p>
            <w:pPr>
              <w:pStyle w:val="TableContents"/>
              <w:bidi w:val="0"/>
              <w:spacing w:before="0" w:after="283"/>
              <w:jc w:val="left"/>
              <w:rPr/>
            </w:pPr>
            <w:r>
              <w:rPr/>
              <w:t>)</w:t>
            </w:r>
          </w:p>
        </w:tc>
      </w:tr>
      <w:tr>
        <w:trPr/>
        <w:tc>
          <w:tcPr>
            <w:tcW w:w="543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553</w:t>
            </w:r>
          </w:p>
        </w:tc>
        <w:tc>
          <w:tcPr>
            <w:tcW w:w="123"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22,267</w:t>
            </w:r>
          </w:p>
        </w:tc>
        <w:tc>
          <w:tcPr>
            <w:tcW w:w="12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(198</w:t>
            </w:r>
          </w:p>
        </w:tc>
        <w:tc>
          <w:tcPr>
            <w:tcW w:w="110" w:type="dxa"/>
            <w:tcBorders/>
            <w:shd w:fill="CCEEFF" w:val="clear"/>
            <w:vAlign w:val="center"/>
          </w:tcPr>
          <w:p>
            <w:pPr>
              <w:pStyle w:val="TableContents"/>
              <w:bidi w:val="0"/>
              <w:spacing w:before="0" w:after="283"/>
              <w:jc w:val="left"/>
              <w:rPr/>
            </w:pPr>
            <w:r>
              <w:rPr/>
              <w:t>)</w:t>
            </w:r>
          </w:p>
        </w:tc>
      </w:tr>
      <w:tr>
        <w:trPr/>
        <w:tc>
          <w:tcPr>
            <w:tcW w:w="5435" w:type="dxa"/>
            <w:tcBorders/>
            <w:shd w:fill="FFFFFF" w:val="clear"/>
            <w:vAlign w:val="center"/>
          </w:tcPr>
          <w:p>
            <w:pPr>
              <w:pStyle w:val="TableContents"/>
              <w:bidi w:val="0"/>
              <w:spacing w:before="0" w:after="283"/>
              <w:jc w:val="both"/>
              <w:rPr/>
            </w:pPr>
            <w:r>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(2,836</w:t>
            </w:r>
          </w:p>
        </w:tc>
        <w:tc>
          <w:tcPr>
            <w:tcW w:w="123"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(2,825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$25.6 million in the thirteen weeks ended March 29, 2026. Net income of $4.1 million was offset by unfavorable non-cash adjustments of $22.0 million and an $8.9 million net cash outflow of operating assets and liabilities. Unfavorable non-cash adjustments consisted principally of a $26.6 million change in the fair value of derivative liabilities, $5.2 million unfavorable change in the fair value of the deferred consideration, $0.6 million deferred tax benefit and $0.6 million change in the fair value of warrants, partially offset by a $3.7 million of amortization of debt issuance costs, $3.6 million of depreciation and amortization, $1.6 million of stock-based compensation expense, $1.1 million change in the fair value of forward purchase agreements, $0.5 million of non-cash lease expense and net other adjustments of $0.5 million, Net cash outflows from changes in operating assets and liabilities principally consisted of a $12.9 million decrease in contract liabilities, $10.9 million increase in prepaid expenses and other assets and a $1.8 million decrease in accounts payable, partially offset by a $9.7 million increase in accrued expenses and other current liabilities, $5.0 million decrease in accounts receivable and a $2.0 million decrease in 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$2.7 million in the thirteen weeks ended March 30, 2025, was due to net income of $4.8 million offset by $7.4 million of unfavorable noncash adjustments and $0.1 million of cash outflow from changes in operating assets and liabilities. Non-cash adjustments consisted principally of $15.1 million arising from remeasurement of derivative liabilities, partially offset by $3.7 million of amortization of debt issuance costs, $1.6 million of depreciation and amortization, $1.1 million provision for credit losses, $1.1 million due to the change in the fair value of warrants classified as liabilities, and $0.5 million of stock-based compensation. Cash outflows from changes in operating assets consisted principally of $11.3 million increase in contract assets, $4.4 million increase in prepaid expenses and other current assets, a $5.2 million decrease in accrued expenses and other liabilities, and a $0.4 million decrease in current operating lease liabilities almost entirely offset by an $11.4 million decrease in inventories, a $6.9 million increase in accounts payable and a $3.1 million decrease in contract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inflow of $0.5 million from investing activities in the thirteen week period ended March 29, 2026 is attributable to the cash acquired in the acquisition of Cobalt. Cobalt was acquired in exchange for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zero in the thirteen-weeks ended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was $22.2 million for the thirteen weeks ended March 29, 2026 and consisted principally of $10.7 million in proceeds from the issuance of short-term debt, $1.3 million in proceeds from a related party in exchange for the issuance of 12% senior unsecured convertible notes, $7.0 million of proceeds from the issuance of our common stock and a related party investor deposit of $5.0 million partially offset by $1.1 million in principal payments on our 12% senior unsecured convertible notes and $0.7 million of finance lease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$0.2 million for the thirteen weeks ended March 30, 2025, and consisted of $0.5 million of payments on our finance leases partially offset by $0.2 million in proceeds from the issuance of September 2024 Notes, and $0.1 million in proceeds from the exercise of stock options and warrants in exchange for the issuance of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Fiscal Years Ended December 28, 2025 and December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fiscal years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9653" w:type="dxa"/>
        <w:jc w:val="left"/>
        <w:tblInd w:w="0" w:type="dxa"/>
        <w:tblLayout w:type="fixed"/>
        <w:tblCellMar>
          <w:top w:w="0" w:type="dxa"/>
          <w:left w:w="0" w:type="dxa"/>
          <w:bottom w:w="0" w:type="dxa"/>
          <w:right w:w="0" w:type="dxa"/>
        </w:tblCellMar>
      </w:tblPr>
      <w:tblGrid>
        <w:gridCol w:w="6500"/>
        <w:gridCol w:w="60"/>
        <w:gridCol w:w="220"/>
        <w:gridCol w:w="1194"/>
        <w:gridCol w:w="95"/>
        <w:gridCol w:w="60"/>
        <w:gridCol w:w="209"/>
        <w:gridCol w:w="1205"/>
        <w:gridCol w:w="110"/>
      </w:tblGrid>
      <w:tr>
        <w:trPr/>
        <w:tc>
          <w:tcPr>
            <w:tcW w:w="6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6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Net cash used in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(15,327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(54,662</w:t>
            </w:r>
          </w:p>
        </w:tc>
        <w:tc>
          <w:tcPr>
            <w:tcW w:w="110" w:type="dxa"/>
            <w:tcBorders/>
            <w:shd w:fill="CCEEFF" w:val="clear"/>
            <w:vAlign w:val="center"/>
          </w:tcPr>
          <w:p>
            <w:pPr>
              <w:pStyle w:val="TableContents"/>
              <w:bidi w:val="0"/>
              <w:spacing w:before="0" w:after="283"/>
              <w:jc w:val="left"/>
              <w:rPr/>
            </w:pPr>
            <w:r>
              <w:rPr/>
              <w:t>)</w:t>
            </w:r>
          </w:p>
        </w:tc>
      </w:tr>
      <w:tr>
        <w:trPr/>
        <w:tc>
          <w:tcPr>
            <w:tcW w:w="650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(19,339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(54,657</w:t>
            </w:r>
          </w:p>
        </w:tc>
        <w:tc>
          <w:tcPr>
            <w:tcW w:w="110" w:type="dxa"/>
            <w:tcBorders/>
            <w:shd w:fill="FFFFFF" w:val="clear"/>
            <w:vAlign w:val="center"/>
          </w:tcPr>
          <w:p>
            <w:pPr>
              <w:pStyle w:val="TableContents"/>
              <w:bidi w:val="0"/>
              <w:spacing w:before="0" w:after="283"/>
              <w:jc w:val="left"/>
              <w:rPr/>
            </w:pPr>
            <w:r>
              <w:rPr/>
              <w:t>)</w:t>
            </w:r>
          </w:p>
        </w:tc>
      </w:tr>
      <w:tr>
        <w:trPr/>
        <w:tc>
          <w:tcPr>
            <w:tcW w:w="6500" w:type="dxa"/>
            <w:tcBorders/>
            <w:shd w:fill="CCEEFF" w:val="clear"/>
            <w:vAlign w:val="center"/>
          </w:tcPr>
          <w:p>
            <w:pPr>
              <w:pStyle w:val="TableContents"/>
              <w:bidi w:val="0"/>
              <w:spacing w:before="0" w:after="283"/>
              <w:jc w:val="left"/>
              <w:rPr/>
            </w:pPr>
            <w:r>
              <w:rPr/>
              <w:t>Net cash provided by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120,100</w:t>
            </w:r>
          </w:p>
        </w:tc>
        <w:tc>
          <w:tcPr>
            <w:tcW w:w="110"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Net (decrease)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(3,761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10,803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$15.3 million for the fiscal year ended December 28, 2025 was primarily due to the net loss from continuing operations, net of tax of $44.3 million and net cash outflows of $3.1 million from changes in our operating assets and liabilities which was partially offset by non-cash adjustments of $32.1 million. The main drivers of non-cash charges of $31.3 million consisted of $15.3 million of amortization of debt issuance costs, $10.5 million of stock-based compensation expense, $9.1 million of depreciation and amortization expense, $3.6 million provision for credit losses, $2.8 million loss due to the changes in the fair value warrant liabilities, $1.4 million of non-cash lease expense, and $1.3 million of deferred tax expense, partially offset by an $11.5 million change in the fair value of derivative liabilities, a $0.5 million change in the fair value of our forward purchase agreement liabilities, and a $0.6 million change in the fair value of deferred consideration in connection with our acquisition of Sunder. The main drivers of net cash outflows from changes in operating assets and liabilities consisted of a $38.8 million increase in trade accounts receivable, an $15.9 million decrease in accrued expenses and other current liabilities, a $1.5 million decrease in operating lease liabilities, a $5.6 million increase in prepaid expenses and other assets and a $3.1 million decrease in contract liabilities, partially offset by a $38.4 million decrease in inventories, a $15.3 million increase in accounts payable and an $8.5 million decrease in 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$54.6 million for the fiscal year ended December 29, 2024 was primarily due to the net loss from continuing operations, net of tax of $54.4 million and net cash outflows of $6.6 million from changes in our operating assets and liabilities which was partially offset by non-cash adjustments of $6.4 million. Non-cash charges primarily consisted of $24.7 million for loss on issuance of derivative liability, $9.1 million provision for credit losses, $5.8 million of amortization of debt issuance costs, $9.2 million of non-cash expense in connection with warrants issued for vendor services, $3.1 million of stock-based compensation expense, $3.9 million accretion of debt in CS Solis, $3.8 million for asset impairment and disposals, $2.7 million for depreciation and amortization, $1.8 million for non-cash interest expense, $0.8 million for lease expense, and $1.3 million for loss on conversion of SAFE Agreements to shares of common stock, and $0.4 million of other financing costs, partially offset by a decrease of $34.0 million for the change in fair value of derivative liabilities, $22.3 million gain on troubled debt restructuring, $2.9 million change in fair value of warrant liabilities, and $1.0 million change due to fair value adjustments. The main drivers of net cash outflows derived from the changes in operating assets and liabilities were related to an increase in contract assets of $21.5 million, a $10.4 million decrease in accounts payable, a $0.8 million decrease in operating lease liabilities, and a $0.2 million increase in prepaid expenses and other current assets, partially offset by an $8.7 million decrease in inventories, a $3.3 million decrease in accounts receivable, a $14.1 million increase in accrued expenses and $0.2 million of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 of $19.3 million in 2025 is principally attributable to the cash paid for the acquisition of Sunder.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from continuing operations of $54.7 million for the fiscal year ended December 29, 2024 was primarily due to the acquisition of SunPower of $53.5 million (net of $1.0 million of cash) and $1.2 million in 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2025 was $30.9 million and consisted of $19.8 million received in exchange for 7.0% senior unsecured convertible notes, $7.0 million received from related party trusts of T.J. Rodgers, our Chairman and CEO, in exchange for 12% senior unsecured convertible notes, an investor deposit of $2.0 million received from a related party trust of T.J. Rodgers, $6.7 million in proceeds from the issuance of shares of our common stock, and $0.6 million in proceeds from the exercise of stock options and a warrant in exchange for shares of our common stock, partially offset by $2.3 million of finance lease payments, $2.2 million in payments on our debt obligations and $0.7 million for taxes paid related to net share settlement of equity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2024 was of $120.1 million and consisted of $107.7 million in proceeds from the issuance of convertible notes, $6.0 million in proceeds from the issuance of SAFE agreement, $6.7 million in proceeds from the issuance of common stock and $0.5 million in proceeds from the exercise of common stock options. The proceeds were partially offset by finance lease payments and the payment of a note aggregating $0.8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Business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acquisitions of Sunder, Ambia, Cobalt and SunPower Businesses are collectively referred to herein as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Differentiation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Strategy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focuses on providing our sales partners with the software tools, sales support, and ability to compete effectively with national providers. This turnkey solution makes it easy for anyone to sell solar.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System Sales are full systems sold to homeowners, home builders and small to medium-sized commercial businesses through our sales partner channels. We and our builder partners fulfill and install the systems. We believe that we can increase revenue by executing the following approaches: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by expanding installation capacity and developing new geographic markets through our partner programs- </w:t>
            </w:r>
            <w:r>
              <w:rPr>
                <w:rFonts w:ascii="Times New Roman;Times;Serif" w:hAnsi="Times New Roman;Times;Serif"/>
                <w:sz w:val="20"/>
              </w:rPr>
              <w:t>Certain of our partners become builder partners who install systems resulting from sales generated by our sales partners. By leveraging this network of skilled builders, in addition to our in-house installation experts, we aim to increase our installation capacity in traditional markets and expand our offering into new geographies throughout the U.S. We believe this will enable greater sales growth in existing markets and create new revenue in expansion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-We expect to create a consistent offering with a single execution process for national-scale sales partners throughout their territories, including in territories where we do not currently operate. These national accounts have unique customer relationships that will facilitate meaningful sales opportunities and low acquisition cost to increase revenue and improve margin.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and margin by executing on a battery storage opportunity </w:t>
            </w:r>
            <w:r>
              <w:rPr>
                <w:rFonts w:ascii="Times New Roman;Times;Serif" w:hAnsi="Times New Roman;Times;Serif"/>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strengths position us to drive the mass adoption of residential solar in a manner that maximizes the value of our growing customer base over the long term:</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Platform of Services and Tools</w:t>
            </w:r>
            <w:r>
              <w:rPr>
                <w:rFonts w:ascii="Times New Roman;Times;Serif" w:hAnsi="Times New Roman;Times;Serif"/>
                <w:sz w:val="20"/>
              </w:rPr>
              <w:t>: A diversified and multi-pronged customer acquisition approach. This infrastructure underpins the ability to enjoy broad customer reach with a low system-wide cost structure and positions us for expansion to every market where distributed solar energy generation can offer homeowners savings versus traditional utility retail power.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Differentiated Customer Experience</w:t>
            </w:r>
            <w:r>
              <w:rPr>
                <w:rFonts w:ascii="Times New Roman;Times;Serif" w:hAnsi="Times New Roman;Times;Serif"/>
                <w:sz w:val="20"/>
              </w:rPr>
              <w:t>: We offer a unique customer experience through various methods: customer-friendly solar service features, tailored designs and customizable pricing for each homeowner, a highly consultative sales process, and a focus on customer savings.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Access to customers through third-party sales channels:</w:t>
            </w:r>
            <w:r>
              <w:rPr>
                <w:rFonts w:ascii="Times New Roman;Times;Serif" w:hAnsi="Times New Roman;Times;Serif"/>
                <w:sz w:val="20"/>
              </w:rPr>
              <w:t xml:space="preserve"> The turn-key solar product offering, best-in-class customer service, and national footprint support third-party sales channels and strategic national partnerships. We provide solutions for sales channels seeking to expand their geographic reach and strengthen their relationships with their own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Skilled labor workforce: </w:t>
            </w:r>
            <w:r>
              <w:rPr>
                <w:rFonts w:ascii="Times New Roman;Times;Serif" w:hAnsi="Times New Roman;Times;Serif"/>
                <w:sz w:val="20"/>
              </w:rPr>
              <w:t>We invest in safety first and ensure that our labor workforce is not only proficient in construction and energy but has strong communication, problem-solving and customer service skills. This allows them not only to make decisions quickly onsite but allows them to be empowered to service our customers on the spot and timely.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Service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that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generated for electronic execution. This contract then undergoes a final review before it is countersigned. Homeowners financing their purchase via a loan, lease or power purchase agreement submit applications to financial institutions and, upon credit approval, execute financing agreements between the homeowner and the financier.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an agreement is fully executed, a site audit is performed at the home to inspect the condition of the roof, electrical equipment, and shading. Following this audit are a final system design plan and an application for any required building permits. The plans are reviewed to ensure they conform to the executed contract or to process a change order if required. A second production estimate is generated at that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solar panels are installed, the customer care team follows up with the homeowner with a survey on their experience. If a system requires maintenance, we or a dedicated service-only contractor will visit the customer’s home and perform any necessary repairs or maintenance at no additional cost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energy system are the solar modules, inverters, and racking systems. We also offer battery storage and car chargers where it can benefit our customers. We generally purchase components from select distributors, which are then shipped to build partners for installation. There is a running list of approved suppliers in the event any of the sources for modules, inverters or other components become unavailable. If we fail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screen all suppliers and components based on expected cost, reliability, warranty coverage, ease of installation, etc. We typically enter into master contract arrangements with major suppliers that define the general terms and conditions of purchases, including warranties, product specifications, indemnities, delivery and other customary terms.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we are required to pay higher prices for supplies, accept less favorable terms, or purchase solar modules or other system components from alternative, higher-priced sources, financial results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build partners are responsible for and source the other products related to solar energy systems, such as fasteners, wiring and electrical fittings. From time-to-time, we procure these other products related to solar energy systems for our own installation business. We manage inventory through just-in-time delivery, at local warehouses, and as segregated inventory at build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module are the solar cells. Our solar modules are generally manufactured by third-party select manufacturers and are purchased from distributors.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competitors are the traditional utilities that supply electricity to potential customers. We compete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we compete favorably with many traditional utilities.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homeowner customers with other solar sales and installation companies and with solar companies with business models that are like ours. Our main competitors can be grouped broadly into (a) national, vertically integrated companies with established brands and proprietary consumer financing products; (b) small, local solar contractors who operate with relatively low fixed overhead expenses but who may lack systems, tools, and sophisticated product offerings; and (c) sales aggregators who engage with third-party sales companies to generate installation contracts. We compete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rights by relying on federal, state and common law rights in the U.S. and other countries, as well as contractual restrictions. We generally enter into confidentiality and invention assignment agreements with employees and contractors, and confidentiality agreements with other third parties, to limit access to, and disclosure and use of, confidential information and proprietary technology. In addition to these contractual arrangements, we also rely on a combination of trademarks, trade dress, domain names, copyrights, and trade secrets to help protect the brand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 and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mechanisms described above, there are various incentives for homeowners and businesses to adopt solar power in The Inflation Reduction Act of 2022 (the “IRA”). On July 4, 2025, the One Big Beautiful Bill Act (the “OBBBA”) was enacted and significantly modified this framework by accelerating the phase-out or termination of certain federal tax incentives and introducing additional eligibility requirements and compliance obligations. In particular, the OBBBA accelerates the termination of the clean electricity investment tax credit and production tax credit for applicable solar facilities, generally limiting availability to projects that begin construction by July 4, 2026 or are placed in service by December 31, 2027, and terminates the residential clean energy credit for property installed after December 31, 2025. The OBBBA also introduces additional restrictions relating to certain foreign entities of concern (“FEOC”) and supply chain sourcing, which may affect project eligibility and increase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other import duties on solar products, or are evaluating the imposition of such duties on solar panels, solar cells, polysilicon, and other components. These import duties may offset the incentives described above and increase the price of our solar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21, 2026, we had 580 employees on a full-time basis. We also engage independent contractors and consultants. No employees are covered by collective bargaining agreements. There have not been any work stoppages.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objectives include identifying, recruiting, retaining, training, and integrating our existing and new employees. The principal purposes of our equity incentive plans are to attract, retain and motivate personnel through the granting of equity-based awards, increasing stockholder value and the success of our Company by motivating such individuals to perform to the best of their abilities and achieve SunPower’s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and executive offices are located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all the facilities and own no real property. We believe that our current facilities are adequate to meet ongoing needs. If additional space is required, we believe that we will be able to obtain additional facilities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1403 N. Research Way, Orem UT 84097, and our telephone number is (877) 299-4943.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or furnish periodic reports and amendments thereto, including our Annual Reports on Form 10-K, our Quarterly Reports on Form 10-Q and Current Reports on Form 8-K, proxy statements and other information with the SEC. In addition, the SEC maintains a website (www.sec.gov) that contains reports, proxy and information statements, and other information regarding issuers that file electronically. Our internet address is https://us.sunpower.com. Through our internet website, we make available, free of charge, our Annual Report on Form 10-K, quarterly reports on Form 10-Q, current reports on Form 8-K, and all amendments to those reports as soon as reasonably practicable after such reports have been filed with or furnished to the SEC. The link to our website is provided as an inactive textual reference only and the information on our website is not a part of this prospectus.</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their ages as of July 21, 2026 are set forth below.</w:t>
      </w:r>
    </w:p>
    <w:p>
      <w:pPr>
        <w:pStyle w:val="TextBody"/>
        <w:bidi w:val="0"/>
        <w:spacing w:before="0" w:after="0"/>
        <w:ind w:left="0" w:right="0" w:firstLine="360"/>
        <w:jc w:val="both"/>
        <w:rPr>
          <w:caps w:val="false"/>
          <w:smallCaps w:val="false"/>
        </w:rPr>
      </w:pPr>
      <w:r>
        <w:rPr>
          <w:caps w:val="false"/>
          <w:smallCaps w:val="false"/>
        </w:rPr>
        <w:t> </w:t>
      </w:r>
    </w:p>
    <w:tbl>
      <w:tblPr>
        <w:tblW w:w="5265" w:type="dxa"/>
        <w:jc w:val="left"/>
        <w:tblInd w:w="0" w:type="dxa"/>
        <w:tblLayout w:type="fixed"/>
        <w:tblCellMar>
          <w:top w:w="0" w:type="dxa"/>
          <w:left w:w="0" w:type="dxa"/>
          <w:bottom w:w="28" w:type="dxa"/>
          <w:right w:w="0" w:type="dxa"/>
        </w:tblCellMar>
      </w:tblPr>
      <w:tblGrid>
        <w:gridCol w:w="1865"/>
        <w:gridCol w:w="60"/>
        <w:gridCol w:w="2915"/>
        <w:gridCol w:w="60"/>
        <w:gridCol w:w="365"/>
      </w:tblGrid>
      <w:tr>
        <w:trPr/>
        <w:tc>
          <w:tcPr>
            <w:tcW w:w="18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3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CEO,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86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Antonio R. Alvarez </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Adam Gishen </w:t>
            </w:r>
            <w:r>
              <w:rPr>
                <w:rFonts w:ascii="Times New Roman;Times;Serif" w:hAnsi="Times New Roman;Times;Serif"/>
                <w:position w:val="7"/>
                <w:sz w:val="16"/>
                <w:sz w:val="20"/>
              </w:rPr>
              <w:t>(1)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Lothar Maier </w:t>
            </w:r>
            <w:r>
              <w:rPr>
                <w:rFonts w:ascii="Times New Roman;Times;Serif" w:hAnsi="Times New Roman;Times;Serif"/>
                <w:position w:val="7"/>
                <w:sz w:val="16"/>
                <w:sz w:val="20"/>
              </w:rPr>
              <w:t>(1)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Ronald Pasek </w:t>
            </w:r>
            <w:r>
              <w:rPr>
                <w:rFonts w:ascii="Times New Roman;Times;Serif" w:hAnsi="Times New Roman;Times;Serif"/>
                <w:position w:val="7"/>
                <w:sz w:val="16"/>
                <w:sz w:val="20"/>
              </w:rPr>
              <w:t>(1)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Lead Independent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Tidjane Thiam </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Devin Whatley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Jamie Haenggi </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firstLine="36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60"/>
        <w:gridCol w:w="272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60"/>
        <w:gridCol w:w="34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60"/>
        <w:gridCol w:w="54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Nominating and Corporate Governance Committee.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Thurman J. Rodgers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Thurman J. (T.J.) Rodgers, 78, has served as the Chief Executive Officer of the Company since April 2024 and as a member of the Company’s Board of Directors since November 2022 and as Executive Chairman since June 2023. Mr. Rodgers founded Cypress Semiconductor in 1982 and served as Cypress’ Chief Executive Officer from 1982 to 2016. Mr. Rodgers currently serves on the boards of other energy-related companies: including Enovix and Enphase Energy Inc. (energy and storage technologies).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Antonio R. Alvarez</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Antonio R. Alvarez, 69, has served as a member of the Company’s Board of Directors since November 2022. Mr. Alvarez served 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NexGen Power Systems and previously served as a board member of SunEdison, SunEdison Semiconductor, ChipMOS Technology, and Validity Sensors. Mr. Alvarez holds a B.S. and an M.S. in Electrical Engineering from the Georgia Institute of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J. Anderson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William J. Anderson, 49, served as the Chief Executive Officer of the Company from November 2022 to December 2023.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Adam Gishen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Adam Gishen, 51,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 Lundell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Christopher Lundell, 65, has served as a member of the Company’s Board of Directors since November 2023. Mr. Lundell served as 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Lothar Maier</w:t>
      </w:r>
      <w:r>
        <w:rPr>
          <w:rFonts w:ascii="Times New Roman;Times;Serif" w:hAnsi="Times New Roman;Times;Serif"/>
          <w:b w:val="false"/>
          <w:i w:val="false"/>
          <w:caps w:val="false"/>
          <w:smallCaps w:val="false"/>
          <w:sz w:val="20"/>
        </w:rPr>
        <w:t>. Lothar Maier, 71, has served as a member of the Company’s Board of Directors since November 2024. Mr. Maier served as 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 Daniel McCranie. </w:t>
      </w:r>
      <w:r>
        <w:rPr>
          <w:rFonts w:ascii="Times New Roman;Times;Serif" w:hAnsi="Times New Roman;Times;Serif"/>
          <w:b w:val="false"/>
          <w:i w:val="false"/>
          <w:caps w:val="false"/>
          <w:smallCaps w:val="false"/>
          <w:sz w:val="20"/>
        </w:rPr>
        <w:t>J. Daniel McCranie, 82, has served as a member of the Company’s Board of Directors since January 2025. After his early 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sales&amp; marketing. He has held 10 board positions in the semiconductor and technology,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electric design automation company. He holds a B.S. in Electrical Engineering from Virginia Polytechnic Institute.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Ronald Pasek</w:t>
      </w:r>
      <w:r>
        <w:rPr>
          <w:rFonts w:ascii="Times New Roman;Times;Serif" w:hAnsi="Times New Roman;Times;Serif"/>
          <w:b w:val="false"/>
          <w:i w:val="false"/>
          <w:caps w:val="false"/>
          <w:smallCaps w:val="false"/>
          <w:sz w:val="20"/>
        </w:rPr>
        <w:t>. Ronald Pasek, 65, has served as a member of the Company’s Board of Directors since February 2023. Since 2015, Mr. Pasek has served 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Tidjane Thiam</w:t>
      </w:r>
      <w:r>
        <w:rPr>
          <w:rFonts w:ascii="Times New Roman;Times;Serif" w:hAnsi="Times New Roman;Times;Serif"/>
          <w:b w:val="false"/>
          <w:i w:val="false"/>
          <w:caps w:val="false"/>
          <w:smallCaps w:val="false"/>
          <w:sz w:val="20"/>
        </w:rPr>
        <w:t>. Tidjane Thiam, 63, served as a member of the FACT Board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Devin Whatley</w:t>
      </w:r>
      <w:r>
        <w:rPr>
          <w:rFonts w:ascii="Times New Roman;Times;Serif" w:hAnsi="Times New Roman;Times;Serif"/>
          <w:b w:val="false"/>
          <w:i w:val="false"/>
          <w:caps w:val="false"/>
          <w:smallCaps w:val="false"/>
          <w:sz w:val="20"/>
        </w:rPr>
        <w:t>. Devin Whatley, 57, has served as a member of our Board of Directors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Jamie Haenggi</w:t>
      </w:r>
      <w:r>
        <w:rPr>
          <w:rFonts w:ascii="Times New Roman;Times;Serif" w:hAnsi="Times New Roman;Times;Serif"/>
          <w:b w:val="false"/>
          <w:i w:val="false"/>
          <w:caps w:val="false"/>
          <w:smallCaps w:val="false"/>
          <w:sz w:val="20"/>
        </w:rPr>
        <w:t>. Jamie Haenggi, 56 has served as a member of the Company’s Board of Directors since April 2025. Ms. Haenggi brings more than 30 years of executive leadership in sales, marketing, operations, and customer experience across the solar, security, and telecom industries. Most recently, she served as President of ADT Solar and Executive Vice President and Chief Customer Officer of ADT Security Services. Prior to that, she held Chief Marketing Officer and senior executive roles at ADT Security, Protection 1, National Guardian, Holmes Protection, and Vonage. Ms. Haenggi currently serves as Chief Executive Officer of GoodwinBeckham, a boutique executive consulting firm. She holds a Bachelor of Arts in International Relations with minors in East Asian studies and Japanese from the University of Minnesota and an Honorary Doctorate from Taylor University. Ms. Haenggi has been inducted into the Security Industry Hall of Fame and the Direct Marketing News Hall of Femme.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Bernard Gutmann</w:t>
      </w:r>
      <w:r>
        <w:rPr>
          <w:rFonts w:ascii="Times New Roman;Times;Serif" w:hAnsi="Times New Roman;Times;Serif"/>
          <w:b w:val="false"/>
          <w:i w:val="false"/>
          <w:caps w:val="false"/>
          <w:smallCaps w:val="false"/>
          <w:sz w:val="20"/>
        </w:rPr>
        <w:t>. Bernard Gutmann, 66, has served as a member of the Company’s Board of Directors since May 2026. Mr. Gutmann 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their ages as of July 21, 2026 are set forth below.</w:t>
      </w:r>
    </w:p>
    <w:p>
      <w:pPr>
        <w:pStyle w:val="TextBody"/>
        <w:bidi w:val="0"/>
        <w:spacing w:before="0" w:after="0"/>
        <w:ind w:left="0" w:right="0" w:hanging="0"/>
        <w:jc w:val="both"/>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1655"/>
        <w:gridCol w:w="60"/>
        <w:gridCol w:w="350"/>
        <w:gridCol w:w="60"/>
        <w:gridCol w:w="3005"/>
      </w:tblGrid>
      <w:tr>
        <w:trPr/>
        <w:tc>
          <w:tcPr>
            <w:tcW w:w="16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 Kowalczuk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Mr. Rodgers is included with the Director biographies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Tom Kowalczuk. </w:t>
      </w:r>
      <w:r>
        <w:rPr>
          <w:rFonts w:ascii="Times New Roman;Times;Serif" w:hAnsi="Times New Roman;Times;Serif"/>
          <w:b w:val="false"/>
          <w:i w:val="false"/>
          <w:caps w:val="false"/>
          <w:smallCaps w:val="false"/>
          <w:sz w:val="20"/>
        </w:rPr>
        <w:t>Tom Kowalczuk has served as the Company’s Chief Financial Officer since 2026. Before joining the Company, Mr. Kowalczuk served as Chief Financial Officer of Bespoken Spirits from February 2025 until June 2026, and prior to that as Vice President of Finance of Bespoken Spirits from March 2024 until February 2025. Prior to Bespoken Spirits, Mr. Kowalczuk served as Director of Supply Chain FP&amp;A for the USA and Canada at Campari from February 2023 until March 2024, overseeing FP&amp;A and operational finance support across U.S. and Canadian manufacturing and supply chain operations. Prior to Campari, Mr. Kowalczuk held roles of increasing responsibility at Beam Suntory from 2008 to 2023, most recently serving as Finance Business Partner Manufacturing Excellence, supporting multi-site manufacturing operations representing more than $2 billion in annual revenue. Mr. Kowalczuk holds a Master of Business Administration from the University of Chicago Booth School of Business and a double major in Accounting and Finance from Northeastern Illinois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each Director concerning her or his background, employment and affiliations, the Board of Directors affirmatively determined that none of our Directors - other than Thurman J. Rodgers, Antonio Alvarez, William Anderson, J. Daniel McCranie, and Chris Lundell - has any relationships that would interfere with the exercise of independent judgment in carrying out the responsibilities of a Director and that each of Messrs. Gishen, Maier, Pasek, Thiam, Whatley and Ms. Haenggi, representing a majority of SunPower’s incumbent Directors, is “independent” as that term is defined under the Nasdaq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formed an Audit Committee, Compensation Committee, and Nominating and Corporate Governance Committee. The Board of Directors may from time to time establish other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Ronald Pasek, who serves as the chairperson, Adam Gishen, Lothar Maier and Bernard Gutmann.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Audit Committee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the Board of Directors oversee corporate accounting and financial reporting processes;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the selection, engagement and qualifications of a qualified firm to serve as the independent registered public accounting firm to audit SunPower’s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to ensure the independence and performance of the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scope and results of the audit with the independent registered public accounting firm, and reviewing, with management and the independent accountants, SunPower’s interim and year-end operating results;</w:t>
            </w:r>
          </w:p>
        </w:tc>
      </w:tr>
    </w:tbl>
    <w:p>
      <w:pPr>
        <w:pStyle w:val="TextBody"/>
        <w:bidi w:val="0"/>
        <w:spacing w:before="0" w:after="0"/>
        <w:ind w:left="960" w:right="0" w:hanging="48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procedures for employees to submit concerns anonymously about questionable accounting or audit matters;</w:t>
            </w:r>
          </w:p>
        </w:tc>
      </w:tr>
    </w:tbl>
    <w:p>
      <w:pPr>
        <w:pStyle w:val="TextBody"/>
        <w:bidi w:val="0"/>
        <w:spacing w:before="0" w:after="0"/>
        <w:ind w:left="960" w:right="0" w:hanging="48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75"/>
        <w:gridCol w:w="170"/>
        <w:gridCol w:w="6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policies on financial risk assessment and financial risk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related party transactions;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(or, as permitted, pre-approving) all audit and all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Audit Committee which is available on SunPower’s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Devin Whatley, who serves as the chairperson, Lothar Maier and Jamie Haenggi. The Board of Directors has determined that each current member of the Compensation Committee is independent. The Board of Directors has also determined that each current committee member and a former member of the Compensation Committee - Antonio R. Alvarez - is a “non-employee director” as defined in Rule 16b-3 promulgated under the Exchange Act. Mr. Alvarez resigned from the Compensation Committee during April 2025. While Mr. Alvarez is not an independent director, Section 5605(d)(2)(B) of the Nasdaq listing standards nonetheless permitted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SunPower and familiarity with the industry, the Board of Directors previously concluded that Mr. Alvarez’s appointment to, and membership on, the Compensation Committee prior to Mr. Alvarez’s resignation from the Compensation Committee was in the best interests of SunPower and its stockholders. Further, a majority of the members of the Compensation Committee are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Compensation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compensation of SunPower’s executive officers and senior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of Directors the compensation of SunPower’s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terms of compensatory arrangements with SunPower’s executives;</w:t>
            </w:r>
          </w:p>
        </w:tc>
      </w:tr>
    </w:tbl>
    <w:p>
      <w:pPr>
        <w:pStyle w:val="TextBody"/>
        <w:bidi w:val="0"/>
        <w:spacing w:before="0" w:after="0"/>
        <w:ind w:left="960" w:right="0" w:hanging="48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SunPower’s stock and equity incentive plans;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independent compensation consultants and assessing whether there are any conflicts of interest with any of the committee’s compensation advisors;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tc>
      </w:tr>
    </w:tbl>
    <w:p>
      <w:pPr>
        <w:pStyle w:val="TextBody"/>
        <w:bidi w:val="0"/>
        <w:spacing w:before="0" w:after="0"/>
        <w:ind w:left="960" w:right="0" w:hanging="48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establishing general policies relating to compensation and benefits of SunPower’s employees; and</w:t>
            </w:r>
          </w:p>
        </w:tc>
      </w:tr>
    </w:tbl>
    <w:p>
      <w:pPr>
        <w:pStyle w:val="TextBody"/>
        <w:bidi w:val="0"/>
        <w:spacing w:before="0" w:after="0"/>
        <w:ind w:left="960" w:right="0" w:hanging="48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SunPower’s overall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for the Compensation Committee which is available on SunPower’s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Antonio R. Alvarez, who serves as the chairperson, Ron Pasek, Tidjane Thiam, and Adam Gishen. The responsibilities of the Nominating and Corporate Governance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evaluating and selecting, or recommending that the Board of Directors approve, nominees for election to the Board of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of the Board of Directors and of individual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adequacy of SunPower’s corporate governance practices and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management succession plans;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making recommendations to the Board of Directors regarding corporate governance guidelines and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Nominating and Corporate Governance Committee which is available on SunPower’s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Ethical Business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adopted a code of ethical business conduct that applies to all of its Directors, officers and employees, including its principal executive officer, principal financial officer and principal accounting officer, and is available on SunPower’s website at https://investors.sunpower.com/corporate-governance/governance-overview. SunPower’s code of business conduct is a “code of ethics,” as defined in Item 406(b) of Regulation S-K. If we grant any waiver from a provision of the code of ethical business conduct to any executive officer or Director, we will disclose it on our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Compensation Committee was at any time during 2025, or at any other time, one of SunPower’s officers or employees, except Mr. Alvarez who previously served on the Compensation Committee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Executive Compensation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opted to comply with the executive compensation disclosure rules applicable to emerging growth companies. The scaled down disclosure rules are those applicable to “smaller reporting companies,” as such term is defined in the rules promulgated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“named executive officers.” For fiscal 2025, the Company’s named executive officers were:</w:t>
      </w:r>
    </w:p>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Thurman J. (T.J.) Rodgers, our Chief Executive Officer and Executive Chairman;</w:t>
            </w:r>
          </w:p>
        </w:tc>
      </w:tr>
    </w:tbl>
    <w:p>
      <w:pPr>
        <w:pStyle w:val="TextBody"/>
        <w:bidi w:val="0"/>
        <w:spacing w:before="0" w:after="0"/>
        <w:ind w:left="960" w:right="0" w:hanging="48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pPr>
            <w:r>
              <w:rPr/>
              <w:t>Jeanne Nguyen, our former Chief Accounting Officer and former Interim Chief Financial Officer; and</w:t>
            </w:r>
          </w:p>
        </w:tc>
      </w:tr>
    </w:tbl>
    <w:p>
      <w:pPr>
        <w:pStyle w:val="TextBody"/>
        <w:bidi w:val="0"/>
        <w:spacing w:before="0" w:after="0"/>
        <w:ind w:left="960" w:right="0" w:hanging="48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Daniel Foley, our former Chief Financial Officer.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compensation program should promote the success of our Company and align executive incentives with the long-term interests of its stockholders. Our current compensation programs reflect its startup origins in that they consist primarily of salary and equity-based awards. As SunPower’s needs evolve, we intend to continue to evaluate our philosophy and compensation programs as circumstances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Mr. Rodgers did not receive any separate compensation in his role as our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the compensation of SunPower’s named executive officers for services performed in the fiscal year ended December 28, 2025 and in the fiscal year ended December 29,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61"/>
        <w:gridCol w:w="60"/>
        <w:gridCol w:w="530"/>
        <w:gridCol w:w="60"/>
        <w:gridCol w:w="60"/>
        <w:gridCol w:w="140"/>
        <w:gridCol w:w="800"/>
        <w:gridCol w:w="60"/>
        <w:gridCol w:w="60"/>
        <w:gridCol w:w="140"/>
        <w:gridCol w:w="560"/>
        <w:gridCol w:w="60"/>
        <w:gridCol w:w="60"/>
        <w:gridCol w:w="140"/>
        <w:gridCol w:w="800"/>
        <w:gridCol w:w="214"/>
        <w:gridCol w:w="60"/>
        <w:gridCol w:w="140"/>
        <w:gridCol w:w="800"/>
        <w:gridCol w:w="214"/>
        <w:gridCol w:w="60"/>
        <w:gridCol w:w="183"/>
        <w:gridCol w:w="1052"/>
        <w:gridCol w:w="214"/>
        <w:gridCol w:w="60"/>
        <w:gridCol w:w="140"/>
        <w:gridCol w:w="800"/>
        <w:gridCol w:w="77"/>
      </w:tblGrid>
      <w:tr>
        <w:trPr/>
        <w:tc>
          <w:tcPr>
            <w:tcW w:w="2661"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12" w:space="0" w:color="000000"/>
            </w:tcBorders>
            <w:vAlign w:val="center"/>
          </w:tcPr>
          <w:p>
            <w:pPr>
              <w:pStyle w:val="TableContents"/>
              <w:bidi w:val="0"/>
              <w:spacing w:before="0" w:after="283"/>
              <w:jc w:val="center"/>
              <w:rPr>
                <w:b/>
              </w:rPr>
            </w:pPr>
            <w:r>
              <w:rPr>
                <w:b/>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position w:val="7"/>
                <w:sz w:val="16"/>
                <w:sz w:val="20"/>
              </w:rPr>
              <w:t>(1)</w:t>
            </w:r>
          </w:p>
        </w:tc>
        <w:tc>
          <w:tcPr>
            <w:tcW w:w="2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2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2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ind w:left="0" w:right="0" w:hanging="180"/>
              <w:jc w:val="left"/>
              <w:rPr/>
            </w:pPr>
            <w:r>
              <w:rPr/>
              <w:t> </w:t>
            </w:r>
          </w:p>
        </w:tc>
      </w:tr>
      <w:tr>
        <w:trPr/>
        <w:tc>
          <w:tcPr>
            <w:tcW w:w="2661" w:type="dxa"/>
            <w:tcBorders/>
            <w:shd w:fill="CCEEFF" w:val="clear"/>
            <w:tcMar>
              <w:bottom w:w="0" w:type="dxa"/>
            </w:tcMar>
            <w:vAlign w:val="center"/>
          </w:tcPr>
          <w:p>
            <w:pPr>
              <w:pStyle w:val="TableContents"/>
              <w:bidi w:val="0"/>
              <w:spacing w:before="0" w:after="283"/>
              <w:jc w:val="left"/>
              <w:rPr>
                <w:i/>
              </w:rPr>
            </w:pPr>
            <w:r>
              <w:rPr>
                <w:i/>
              </w:rPr>
              <w:t>Thurman J. (T.J.)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61"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61"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Jeanne Nguyen </w:t>
            </w:r>
            <w:r>
              <w:rPr>
                <w:rFonts w:ascii="Times New Roman;Times;Serif" w:hAnsi="Times New Roman;Times;Serif"/>
                <w:i/>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1,534</w:t>
            </w:r>
          </w:p>
        </w:tc>
        <w:tc>
          <w:tcPr>
            <w:tcW w:w="2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353,034</w:t>
            </w:r>
          </w:p>
        </w:tc>
        <w:tc>
          <w:tcPr>
            <w:tcW w:w="77"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661" w:type="dxa"/>
            <w:tcBorders/>
            <w:shd w:fill="FFFFFF" w:val="clear"/>
            <w:tcMar>
              <w:bottom w:w="0" w:type="dxa"/>
            </w:tcMar>
            <w:vAlign w:val="center"/>
          </w:tcPr>
          <w:p>
            <w:pPr>
              <w:pStyle w:val="TableContents"/>
              <w:bidi w:val="0"/>
              <w:spacing w:before="0" w:after="283"/>
              <w:jc w:val="left"/>
              <w:rPr>
                <w:i/>
              </w:rPr>
            </w:pPr>
            <w:r>
              <w:rPr>
                <w:i/>
              </w:rPr>
              <w:t>Former Chief Accounting Officer and Former Interim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58,300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237,046</w:t>
            </w:r>
          </w:p>
        </w:tc>
        <w:tc>
          <w:tcPr>
            <w:tcW w:w="2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295,346</w:t>
            </w:r>
          </w:p>
        </w:tc>
        <w:tc>
          <w:tcPr>
            <w:tcW w:w="77"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661"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Daniel Foley</w:t>
            </w:r>
            <w:r>
              <w:rPr>
                <w:rFonts w:ascii="Times New Roman;Times;Serif" w:hAnsi="Times New Roman;Times;Serif"/>
                <w:i/>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455,000</w:t>
            </w:r>
          </w:p>
        </w:tc>
        <w:tc>
          <w:tcPr>
            <w:tcW w:w="214" w:type="dxa"/>
            <w:tcBorders/>
            <w:shd w:fill="CCEE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100,000</w:t>
            </w:r>
          </w:p>
        </w:tc>
        <w:tc>
          <w:tcPr>
            <w:tcW w:w="214"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789,833</w:t>
            </w:r>
          </w:p>
        </w:tc>
        <w:tc>
          <w:tcPr>
            <w:tcW w:w="7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61" w:type="dxa"/>
            <w:tcBorders/>
            <w:shd w:fill="CCEEFF" w:val="clear"/>
            <w:tcMar>
              <w:bottom w:w="0" w:type="dxa"/>
            </w:tcMar>
            <w:vAlign w:val="center"/>
          </w:tcPr>
          <w:p>
            <w:pPr>
              <w:pStyle w:val="TableContents"/>
              <w:bidi w:val="0"/>
              <w:spacing w:before="0" w:after="283"/>
              <w:jc w:val="left"/>
              <w:rPr>
                <w:i/>
              </w:rPr>
            </w:pPr>
            <w:r>
              <w:rPr>
                <w:i/>
              </w:rPr>
              <w:t>Former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161,947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780,000</w:t>
            </w:r>
          </w:p>
        </w:tc>
        <w:tc>
          <w:tcPr>
            <w:tcW w:w="214" w:type="dxa"/>
            <w:tcBorders/>
            <w:shd w:fill="CCEEFF" w:val="clear"/>
            <w:tcMar>
              <w:bottom w:w="0" w:type="dxa"/>
            </w:tcMar>
            <w:vAlign w:val="center"/>
          </w:tcPr>
          <w:p>
            <w:pPr>
              <w:pStyle w:val="TableContents"/>
              <w:bidi w:val="0"/>
              <w:spacing w:before="0" w:after="283"/>
              <w:jc w:val="left"/>
              <w:rPr/>
            </w:pPr>
            <w:r>
              <w:rPr>
                <w:position w:val="8"/>
                <w:sz w:val="19"/>
              </w:rPr>
              <w:t>(5)</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941,947</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reported in this column do not reflect the amounts actually received by SunPower’s named executive officers. Instead, these amounts reflect the aggregate grant-date fair value of awards granted to each named executive officer, computed in accordance with the FASB ASC Topic 718, </w:t>
            </w:r>
            <w:r>
              <w:rPr>
                <w:rFonts w:ascii="Times New Roman;Times;Serif" w:hAnsi="Times New Roman;Times;Serif"/>
                <w:i/>
                <w:sz w:val="20"/>
              </w:rPr>
              <w:t>Stock-based Compensation</w:t>
            </w:r>
            <w:r>
              <w:rPr>
                <w:rFonts w:ascii="Times New Roman;Times;Serif" w:hAnsi="Times New Roman;Times;Serif"/>
                <w:sz w:val="20"/>
              </w:rPr>
              <w:t xml:space="preserve">. See “Item 8. Financial Statements and Supplementary Data - Notes to Consolidated Financial Statements - </w:t>
            </w:r>
            <w:r>
              <w:rPr>
                <w:rFonts w:ascii="Times New Roman;Times;Serif" w:hAnsi="Times New Roman;Times;Serif"/>
                <w:b/>
                <w:sz w:val="20"/>
              </w:rPr>
              <w:t>Note 15 - Stock-Based Compensation</w:t>
            </w:r>
            <w:r>
              <w:rPr>
                <w:rFonts w:ascii="Times New Roman;Times;Serif" w:hAnsi="Times New Roman;Times;Serif"/>
                <w:sz w:val="20"/>
              </w:rPr>
              <w:t>”. As required by SEC rules, the amounts shown exclude the impact of estimated forfeitures related to service-based vesting conditions. Unless otherwise noted in the footnotes below, the shares underlying these options vest in 48 equal monthly installments, subject to the named executive officer’s continued service at each vesting date.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Nguyen joined the Company in September 2024 and was appointed as our Interim Chief Financial Officer in July 2025. Ms. Nguyen’s base salary amount is pro-rated for 2024. On February 2, 2026, Ms. Nguyen resigned as the Interim Chief Financial Officer, and she now serves as our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Foley resigned as our Chief Financial Officer in July 2025. Mr. Foley’s base salary amount is pro rated for 2025, and the amount reflected as All Other Compensation comprises cash payments made in connection with his separation from the Company. In connection with Mr. Foley’s separation from the Company on July 25, 2025, the Company accelerated the vesting of 57,741 restricted stock units (equal to $100,000), in accordance with the terms of his separation agreement.</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250,000 restricted stock units issued in April 2025, of which 19,970 of the RSUs were vested at the time of Mr. Foley’s separation from the Company. Upon Mr. Foley’s separation, the remaining unvested restricted stock units were canceled.</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this option award vested on July 1, 2025. Upon Mr. Foley’s separation from the Company, the remaining unvested shares underlying this option were forfeited.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outstanding option awards and RSUs held by each of the named executive officers as of December 28,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6"/>
        <w:gridCol w:w="60"/>
        <w:gridCol w:w="575"/>
        <w:gridCol w:w="60"/>
        <w:gridCol w:w="1385"/>
        <w:gridCol w:w="60"/>
        <w:gridCol w:w="85"/>
        <w:gridCol w:w="970"/>
        <w:gridCol w:w="194"/>
        <w:gridCol w:w="60"/>
        <w:gridCol w:w="74"/>
        <w:gridCol w:w="1236"/>
        <w:gridCol w:w="194"/>
        <w:gridCol w:w="60"/>
        <w:gridCol w:w="182"/>
        <w:gridCol w:w="573"/>
        <w:gridCol w:w="60"/>
        <w:gridCol w:w="60"/>
        <w:gridCol w:w="114"/>
        <w:gridCol w:w="839"/>
        <w:gridCol w:w="60"/>
        <w:gridCol w:w="60"/>
        <w:gridCol w:w="1130"/>
        <w:gridCol w:w="60"/>
        <w:gridCol w:w="140"/>
        <w:gridCol w:w="800"/>
        <w:gridCol w:w="78"/>
      </w:tblGrid>
      <w:tr>
        <w:trPr/>
        <w:tc>
          <w:tcPr>
            <w:tcW w:w="10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41" w:type="dxa"/>
            <w:gridSpan w:val="1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Awards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208"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Awards </w:t>
            </w:r>
            <w:r>
              <w:rPr>
                <w:rFonts w:ascii="Times New Roman;Times;Serif" w:hAnsi="Times New Roman;Times;Serif"/>
                <w:b/>
                <w:position w:val="7"/>
                <w:sz w:val="16"/>
                <w:sz w:val="20"/>
              </w:rPr>
              <w:t>(1)</w:t>
            </w:r>
          </w:p>
        </w:tc>
      </w:tr>
      <w:tr>
        <w:trPr/>
        <w:tc>
          <w:tcPr>
            <w:tcW w:w="1036"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pPr>
            <w:r>
              <w:rPr/>
              <w:t> </w:t>
            </w:r>
          </w:p>
        </w:tc>
        <w:tc>
          <w:tcPr>
            <w:tcW w:w="138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Commencement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Unexerciseable</w:t>
            </w:r>
          </w:p>
        </w:tc>
        <w:tc>
          <w:tcPr>
            <w:tcW w:w="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Expiration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b/>
              </w:rPr>
            </w:pPr>
            <w:r>
              <w:rPr>
                <w:b/>
              </w:rPr>
              <w:t>Number of</w:t>
              <w:br/>
              <w:t>shares or</w:t>
              <w:br/>
              <w:t>units of</w:t>
              <w:br/>
              <w:t>stock</w:t>
              <w:br/>
              <w:t>that</w:t>
              <w:br/>
              <w:t>have</w:t>
              <w:br/>
              <w:t>not</w:t>
              <w:br/>
              <w:t>vested</w:t>
              <w:br/>
              <w:t>(#)</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br/>
              <w:t>value of</w:t>
              <w:br/>
              <w:t>shares or</w:t>
              <w:br/>
              <w:t>units of</w:t>
              <w:br/>
              <w:t>stock</w:t>
              <w:br/>
              <w:t>that</w:t>
              <w:br/>
              <w:t>have</w:t>
              <w:br/>
              <w:t>not</w:t>
              <w:br/>
              <w:t>vested</w:t>
              <w:br/>
              <w:t>(#)</w:t>
            </w:r>
          </w:p>
        </w:tc>
        <w:tc>
          <w:tcPr>
            <w:tcW w:w="78" w:type="dxa"/>
            <w:tcBorders/>
            <w:vAlign w:val="center"/>
          </w:tcPr>
          <w:p>
            <w:pPr>
              <w:pStyle w:val="TableContents"/>
              <w:bidi w:val="0"/>
              <w:spacing w:before="0" w:after="283"/>
              <w:ind w:left="0" w:right="0" w:hanging="180"/>
              <w:jc w:val="left"/>
              <w:rPr/>
            </w:pPr>
            <w:r>
              <w:rPr/>
              <w:t> </w:t>
            </w:r>
          </w:p>
        </w:tc>
      </w:tr>
      <w:tr>
        <w:trPr/>
        <w:tc>
          <w:tcPr>
            <w:tcW w:w="1036" w:type="dxa"/>
            <w:tcBorders/>
            <w:shd w:fill="CCEEFF" w:val="clear"/>
            <w:vAlign w:val="center"/>
          </w:tcPr>
          <w:p>
            <w:pPr>
              <w:pStyle w:val="TableContents"/>
              <w:bidi w:val="0"/>
              <w:spacing w:before="0" w:after="283"/>
              <w:jc w:val="left"/>
              <w:rPr/>
            </w:pPr>
            <w:r>
              <w:rPr/>
              <w:t>Thurman J. (T.J.) Rodgers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12/3/2023</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12/3/2024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37,500</w:t>
            </w:r>
          </w:p>
        </w:tc>
        <w:tc>
          <w:tcPr>
            <w:tcW w:w="194" w:type="dxa"/>
            <w:tcBorders/>
            <w:shd w:fill="CCEEFF" w:val="clear"/>
            <w:vAlign w:val="center"/>
          </w:tcPr>
          <w:p>
            <w:pPr>
              <w:pStyle w:val="TableContents"/>
              <w:bidi w:val="0"/>
              <w:spacing w:before="0" w:after="283"/>
              <w:jc w:val="left"/>
              <w:rPr/>
            </w:pPr>
            <w:r>
              <w:rPr>
                <w:position w:val="8"/>
                <w:sz w:val="19"/>
              </w:rPr>
              <w:t>(2)</w:t>
            </w: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r>
              <w:rPr/>
              <w:t>-</w:t>
            </w:r>
          </w:p>
        </w:tc>
        <w:tc>
          <w:tcPr>
            <w:tcW w:w="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12/3/2023</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12/3/2024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79,101</w:t>
            </w:r>
          </w:p>
        </w:tc>
        <w:tc>
          <w:tcPr>
            <w:tcW w:w="194" w:type="dxa"/>
            <w:tcBorders/>
            <w:shd w:fill="CCEEFF" w:val="clear"/>
            <w:vAlign w:val="center"/>
          </w:tcPr>
          <w:p>
            <w:pPr>
              <w:pStyle w:val="TableContents"/>
              <w:bidi w:val="0"/>
              <w:spacing w:before="0" w:after="283"/>
              <w:jc w:val="left"/>
              <w:rPr/>
            </w:pPr>
            <w:r>
              <w:rPr>
                <w:position w:val="8"/>
                <w:sz w:val="19"/>
              </w:rPr>
              <w:t>(2)</w:t>
            </w: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w:t>
            </w:r>
          </w:p>
        </w:tc>
        <w:tc>
          <w:tcPr>
            <w:tcW w:w="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036" w:type="dxa"/>
            <w:tcBorders/>
            <w:shd w:fill="FFFFFF" w:val="clear"/>
            <w:vAlign w:val="center"/>
          </w:tcPr>
          <w:p>
            <w:pPr>
              <w:pStyle w:val="TableContents"/>
              <w:bidi w:val="0"/>
              <w:spacing w:before="0" w:after="283"/>
              <w:jc w:val="left"/>
              <w:rPr/>
            </w:pPr>
            <w:r>
              <w:rPr/>
              <w:t>Jeanne Nguyen</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10/14/2024</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10/14/2024</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w:t>
            </w:r>
          </w:p>
        </w:tc>
        <w:tc>
          <w:tcPr>
            <w:tcW w:w="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121,968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197,588</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036" w:type="dxa"/>
            <w:tcBorders/>
            <w:shd w:fill="CCEEFF" w:val="clear"/>
            <w:vAlign w:val="center"/>
          </w:tcPr>
          <w:p>
            <w:pPr>
              <w:pStyle w:val="TableContents"/>
              <w:bidi w:val="0"/>
              <w:spacing w:before="0" w:after="283"/>
              <w:jc w:val="left"/>
              <w:rPr/>
            </w:pPr>
            <w:r>
              <w:rPr/>
              <w:t>Daniel Foley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6/11/2024</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7/1/2025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w:t>
            </w:r>
          </w:p>
        </w:tc>
        <w:tc>
          <w:tcPr>
            <w:tcW w:w="194" w:type="dxa"/>
            <w:tcBorders/>
            <w:shd w:fill="CCEEFF" w:val="clear"/>
            <w:vAlign w:val="center"/>
          </w:tcPr>
          <w:p>
            <w:pPr>
              <w:pStyle w:val="TableContents"/>
              <w:bidi w:val="0"/>
              <w:spacing w:before="0" w:after="283"/>
              <w:jc w:val="left"/>
              <w:rPr/>
            </w:pPr>
            <w:r>
              <w:rPr>
                <w:position w:val="8"/>
                <w:sz w:val="19"/>
              </w:rPr>
              <w:t>(3)</w:t>
            </w: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option awards were granted pursuant to the 2023 Plan. Market value is based on a share price of $1.62 at the close of business on December 26, 2025.</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60"/>
        <w:gridCol w:w="86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the total shares underlying the option award vested on the one-year anniversary of the grant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the option award vested on July 1, 2025. As a result of Mr. Foley’s separation from the Company, no further portion of the options are exercisable and the unvested portions of the options expired.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 with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SunPower’s named executive officers is or was an at-will employee.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Thurman J. Rodgers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Jeanne Nguyen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2024, we entered into an employment agreement with Jeanne Nguyen in connection with her appointment as Chief Accounting Officer. Pursuant to the agreement, Ms. Nguyen was entitled to an annual base salary of $350,000 and was eligible to receive an annual bonus with a target of 50% of her base salary, subject to the achievement of performance objectives and the financial condition of the Company. Her employment was at-will and she was not entitled to any severance benefits. Ms. Nguyen departed from the Company effective as of July 8, 2026.</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Daniel Foley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 7, 2024, we entered into an executive employment agreement with Mr. Foley, which became effective on July 1, 2024 (the “</w:t>
      </w:r>
      <w:r>
        <w:rPr>
          <w:rFonts w:ascii="Times New Roman;Times;Serif" w:hAnsi="Times New Roman;Times;Serif"/>
          <w:b/>
          <w:i/>
          <w:caps w:val="false"/>
          <w:smallCaps w:val="false"/>
          <w:sz w:val="20"/>
        </w:rPr>
        <w:t>Foley Agreement</w:t>
      </w:r>
      <w:r>
        <w:rPr>
          <w:rFonts w:ascii="Times New Roman;Times;Serif" w:hAnsi="Times New Roman;Times;Serif"/>
          <w:b w:val="false"/>
          <w:i w:val="false"/>
          <w:caps w:val="false"/>
          <w:smallCaps w:val="false"/>
          <w:sz w:val="20"/>
        </w:rPr>
        <w:t>”). Pursuant to the Foley Agreement. Mr. Foley was entitled to a base salary of $275,000 per year, and he was eligible for an annual bonus of 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(a) payment of Mr. Foley’s earned but unpaid base salary; (b) payment of any unpaid bonus, with respect to the fiscal year immediately preceding the fiscal year in which such termination or such resignation occurs; (c) payment of any vested benefits to which he was entitled to under any applicable plans and programs of the Company; (d) a severance payment equal to six months of Mr. Foley’s then base salary plus a pro rata portion of Mr. Foley bonus with respect to the fiscal year in which such termination or such resignation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p>
      <w:pPr>
        <w:pStyle w:val="TextBody"/>
        <w:bidi w:val="0"/>
        <w:spacing w:before="0" w:after="0"/>
        <w:ind w:left="0" w:right="0" w:hanging="0"/>
        <w:jc w:val="left"/>
        <w:rPr>
          <w:caps w:val="false"/>
          <w:smallCaps w:val="false"/>
        </w:rPr>
      </w:pPr>
      <w:r>
        <w:rPr>
          <w:caps w:val="false"/>
          <w:smallCaps w:val="false"/>
        </w:rPr>
        <w:t> </w:t>
      </w:r>
    </w:p>
    <w:tbl>
      <w:tblPr>
        <w:tblW w:w="7269" w:type="dxa"/>
        <w:jc w:val="left"/>
        <w:tblInd w:w="0" w:type="dxa"/>
        <w:tblLayout w:type="fixed"/>
        <w:tblCellMar>
          <w:top w:w="0" w:type="dxa"/>
          <w:left w:w="0" w:type="dxa"/>
          <w:bottom w:w="0" w:type="dxa"/>
          <w:right w:w="0" w:type="dxa"/>
        </w:tblCellMar>
      </w:tblPr>
      <w:tblGrid>
        <w:gridCol w:w="1985"/>
        <w:gridCol w:w="60"/>
        <w:gridCol w:w="167"/>
        <w:gridCol w:w="902"/>
        <w:gridCol w:w="60"/>
        <w:gridCol w:w="60"/>
        <w:gridCol w:w="140"/>
        <w:gridCol w:w="980"/>
        <w:gridCol w:w="305"/>
        <w:gridCol w:w="60"/>
        <w:gridCol w:w="160"/>
        <w:gridCol w:w="1075"/>
        <w:gridCol w:w="60"/>
        <w:gridCol w:w="60"/>
        <w:gridCol w:w="140"/>
        <w:gridCol w:w="980"/>
        <w:gridCol w:w="75"/>
      </w:tblGrid>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Thurman J. Rodgers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r>
              <w:rPr/>
              <w:t>-</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07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Adam Gishen</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167,091</w:t>
            </w:r>
          </w:p>
        </w:tc>
        <w:tc>
          <w:tcPr>
            <w:tcW w:w="305" w:type="dxa"/>
            <w:tcBorders/>
            <w:shd w:fill="FFFFFF" w:val="clear"/>
            <w:vAlign w:val="center"/>
          </w:tcPr>
          <w:p>
            <w:pPr>
              <w:pStyle w:val="TableContents"/>
              <w:bidi w:val="0"/>
              <w:spacing w:before="0" w:after="283"/>
              <w:jc w:val="left"/>
              <w:rPr/>
            </w:pPr>
            <w:r>
              <w:rPr>
                <w:position w:val="8"/>
                <w:sz w:val="19"/>
              </w:rPr>
              <w:t>(1)</w:t>
            </w: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167,091</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Antonio R. Alvarez</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160,901</w:t>
            </w:r>
          </w:p>
        </w:tc>
        <w:tc>
          <w:tcPr>
            <w:tcW w:w="305" w:type="dxa"/>
            <w:tcBorders/>
            <w:shd w:fill="CCEEFF" w:val="clear"/>
            <w:vAlign w:val="center"/>
          </w:tcPr>
          <w:p>
            <w:pPr>
              <w:pStyle w:val="TableContents"/>
              <w:bidi w:val="0"/>
              <w:spacing w:before="0" w:after="283"/>
              <w:jc w:val="left"/>
              <w:rPr/>
            </w:pPr>
            <w:r>
              <w:rPr>
                <w:position w:val="8"/>
                <w:sz w:val="19"/>
              </w:rPr>
              <w:t>(1)</w:t>
            </w: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160,901</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Chris Lundell</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156,776</w:t>
            </w:r>
          </w:p>
        </w:tc>
        <w:tc>
          <w:tcPr>
            <w:tcW w:w="305" w:type="dxa"/>
            <w:tcBorders/>
            <w:shd w:fill="FFFFFF" w:val="clear"/>
            <w:vAlign w:val="center"/>
          </w:tcPr>
          <w:p>
            <w:pPr>
              <w:pStyle w:val="TableContents"/>
              <w:bidi w:val="0"/>
              <w:spacing w:before="0" w:after="283"/>
              <w:jc w:val="left"/>
              <w:rPr/>
            </w:pPr>
            <w:r>
              <w:rPr>
                <w:position w:val="8"/>
                <w:sz w:val="19"/>
              </w:rPr>
              <w:t>(1)</w:t>
            </w: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156,776</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Devin Whatley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156,776</w:t>
            </w:r>
          </w:p>
        </w:tc>
        <w:tc>
          <w:tcPr>
            <w:tcW w:w="305" w:type="dxa"/>
            <w:tcBorders/>
            <w:shd w:fill="CCEEFF" w:val="clear"/>
            <w:vAlign w:val="center"/>
          </w:tcPr>
          <w:p>
            <w:pPr>
              <w:pStyle w:val="TableContents"/>
              <w:bidi w:val="0"/>
              <w:spacing w:before="0" w:after="283"/>
              <w:jc w:val="left"/>
              <w:rPr/>
            </w:pPr>
            <w:r>
              <w:rPr>
                <w:position w:val="8"/>
                <w:sz w:val="19"/>
              </w:rPr>
              <w:t>(1)</w:t>
            </w: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156,776</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Ronald Pasek</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169,153</w:t>
            </w:r>
          </w:p>
        </w:tc>
        <w:tc>
          <w:tcPr>
            <w:tcW w:w="305" w:type="dxa"/>
            <w:tcBorders/>
            <w:shd w:fill="FFFFFF" w:val="clear"/>
            <w:vAlign w:val="center"/>
          </w:tcPr>
          <w:p>
            <w:pPr>
              <w:pStyle w:val="TableContents"/>
              <w:bidi w:val="0"/>
              <w:spacing w:before="0" w:after="283"/>
              <w:jc w:val="left"/>
              <w:rPr/>
            </w:pPr>
            <w:r>
              <w:rPr>
                <w:position w:val="8"/>
                <w:sz w:val="19"/>
              </w:rPr>
              <w:t>(1)</w:t>
            </w: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169,153</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Tidjane Thiam</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160,077</w:t>
            </w:r>
          </w:p>
        </w:tc>
        <w:tc>
          <w:tcPr>
            <w:tcW w:w="305" w:type="dxa"/>
            <w:tcBorders/>
            <w:shd w:fill="CCEEFF" w:val="clear"/>
            <w:vAlign w:val="center"/>
          </w:tcPr>
          <w:p>
            <w:pPr>
              <w:pStyle w:val="TableContents"/>
              <w:bidi w:val="0"/>
              <w:spacing w:before="0" w:after="283"/>
              <w:jc w:val="left"/>
              <w:rPr/>
            </w:pPr>
            <w:r>
              <w:rPr>
                <w:position w:val="8"/>
                <w:sz w:val="19"/>
              </w:rPr>
              <w:t>(1)</w:t>
            </w: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160,077</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William J. Anderson</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214,536</w:t>
            </w:r>
          </w:p>
        </w:tc>
        <w:tc>
          <w:tcPr>
            <w:tcW w:w="305" w:type="dxa"/>
            <w:tcBorders/>
            <w:shd w:fill="FFFFFF" w:val="clear"/>
            <w:vAlign w:val="center"/>
          </w:tcPr>
          <w:p>
            <w:pPr>
              <w:pStyle w:val="TableContents"/>
              <w:bidi w:val="0"/>
              <w:spacing w:before="0" w:after="283"/>
              <w:jc w:val="left"/>
              <w:rPr/>
            </w:pPr>
            <w:r>
              <w:rPr>
                <w:position w:val="8"/>
                <w:sz w:val="19"/>
              </w:rPr>
              <w:t>(1)</w:t>
            </w: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214,536</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Lothar Maier</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367,185</w:t>
            </w:r>
          </w:p>
        </w:tc>
        <w:tc>
          <w:tcPr>
            <w:tcW w:w="305" w:type="dxa"/>
            <w:tcBorders/>
            <w:shd w:fill="CCEEFF" w:val="clear"/>
            <w:vAlign w:val="center"/>
          </w:tcPr>
          <w:p>
            <w:pPr>
              <w:pStyle w:val="TableContents"/>
              <w:bidi w:val="0"/>
              <w:spacing w:before="0" w:after="283"/>
              <w:jc w:val="left"/>
              <w:rPr/>
            </w:pPr>
            <w:r>
              <w:rPr>
                <w:position w:val="8"/>
                <w:sz w:val="19"/>
              </w:rPr>
              <w:t>(1)</w:t>
            </w: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367,185</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J. Daniel McCranie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2,217,185</w:t>
            </w:r>
          </w:p>
        </w:tc>
        <w:tc>
          <w:tcPr>
            <w:tcW w:w="305" w:type="dxa"/>
            <w:tcBorders/>
            <w:shd w:fill="FFFFFF" w:val="clear"/>
            <w:vAlign w:val="center"/>
          </w:tcPr>
          <w:p>
            <w:pPr>
              <w:pStyle w:val="TableContents"/>
              <w:bidi w:val="0"/>
              <w:spacing w:before="0" w:after="283"/>
              <w:jc w:val="left"/>
              <w:rPr/>
            </w:pPr>
            <w:r>
              <w:rPr>
                <w:position w:val="8"/>
                <w:sz w:val="19"/>
              </w:rPr>
              <w:t>(2)</w:t>
            </w: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2,217,185</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Jamie Haenggi</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Bernard Gutmann</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shares underling the RSU award were fully vested on the grant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243,169 shares under Mr. McCranie’s RSU awards were fully vested on the grant date. Mr. McCranie received a onetime grant of 1,000,000 RSUs in 2025 that vest in equal monthly installments over five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otherwise receive any benefits under, any pension or retirement plan sponsored by SunPower during fiscal 2024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Times;Serif" w:hAnsi="Times New Roman;Times;Serif"/>
          <w:b/>
          <w:i/>
          <w:caps w:val="false"/>
          <w:smallCaps w:val="false"/>
          <w:sz w:val="20"/>
        </w:rPr>
        <w:t>2023 Plan</w:t>
      </w:r>
      <w:r>
        <w:rPr>
          <w:rFonts w:ascii="Times New Roman;Times;Serif" w:hAnsi="Times New Roman;Times;Serif"/>
          <w:b w:val="false"/>
          <w:i w:val="false"/>
          <w:caps w:val="false"/>
          <w:smallCaps w:val="false"/>
          <w:sz w:val="20"/>
        </w:rPr>
        <w:t>”) and the Employee Stock Purchase Plan (the “</w:t>
      </w:r>
      <w:r>
        <w:rPr>
          <w:rFonts w:ascii="Times New Roman;Times;Serif" w:hAnsi="Times New Roman;Times;Serif"/>
          <w:b/>
          <w:i/>
          <w:caps w:val="false"/>
          <w:smallCaps w:val="false"/>
          <w:sz w:val="20"/>
        </w:rPr>
        <w:t>ESPP</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2023 Plan and the ESPP became effective immediately upon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the 2023 Plan, the ESPP, Complete Solaria’s 2022 Stock Plan (the “</w:t>
      </w:r>
      <w:r>
        <w:rPr>
          <w:rFonts w:ascii="Times New Roman;Times;Serif" w:hAnsi="Times New Roman;Times;Serif"/>
          <w:b/>
          <w:i/>
          <w:caps w:val="false"/>
          <w:smallCaps w:val="false"/>
          <w:sz w:val="20"/>
        </w:rPr>
        <w:t>2022 Plan</w:t>
      </w:r>
      <w:r>
        <w:rPr>
          <w:rFonts w:ascii="Times New Roman;Times;Serif" w:hAnsi="Times New Roman;Times;Serif"/>
          <w:b w:val="false"/>
          <w:i w:val="false"/>
          <w:caps w:val="false"/>
          <w:smallCaps w:val="false"/>
          <w:sz w:val="20"/>
        </w:rPr>
        <w:t>”), Complete Solaria’s 2011 Stock Plan (the “</w:t>
      </w:r>
      <w:r>
        <w:rPr>
          <w:rFonts w:ascii="Times New Roman;Times;Serif" w:hAnsi="Times New Roman;Times;Serif"/>
          <w:b/>
          <w:i/>
          <w:caps w:val="false"/>
          <w:smallCaps w:val="false"/>
          <w:sz w:val="20"/>
        </w:rPr>
        <w:t>2011 Plan</w:t>
      </w:r>
      <w:r>
        <w:rPr>
          <w:rFonts w:ascii="Times New Roman;Times;Serif" w:hAnsi="Times New Roman;Times;Serif"/>
          <w:b w:val="false"/>
          <w:i w:val="false"/>
          <w:caps w:val="false"/>
          <w:smallCaps w:val="false"/>
          <w:sz w:val="20"/>
        </w:rPr>
        <w:t>”), Complete Solaria’s 2016 Stock Plan (the “</w:t>
      </w:r>
      <w:r>
        <w:rPr>
          <w:rFonts w:ascii="Times New Roman;Times;Serif" w:hAnsi="Times New Roman;Times;Serif"/>
          <w:b/>
          <w:i/>
          <w:caps w:val="false"/>
          <w:smallCaps w:val="false"/>
          <w:sz w:val="20"/>
        </w:rPr>
        <w:t>2016 Plan</w:t>
      </w:r>
      <w:r>
        <w:rPr>
          <w:rFonts w:ascii="Times New Roman;Times;Serif" w:hAnsi="Times New Roman;Times;Serif"/>
          <w:b w:val="false"/>
          <w:i w:val="false"/>
          <w:caps w:val="false"/>
          <w:smallCaps w:val="false"/>
          <w:sz w:val="20"/>
        </w:rPr>
        <w:t>”) and Complete Solaria’s 2006 Stock Plan (the “</w:t>
      </w:r>
      <w:r>
        <w:rPr>
          <w:rFonts w:ascii="Times New Roman;Times;Serif" w:hAnsi="Times New Roman;Times;Serif"/>
          <w:b/>
          <w:i/>
          <w:caps w:val="false"/>
          <w:smallCaps w:val="false"/>
          <w:sz w:val="20"/>
        </w:rPr>
        <w:t>2006 Plan</w:t>
      </w:r>
      <w:r>
        <w:rPr>
          <w:rFonts w:ascii="Times New Roman;Times;Serif" w:hAnsi="Times New Roman;Times;Serif"/>
          <w:b w:val="false"/>
          <w:i w:val="false"/>
          <w:caps w:val="false"/>
          <w:smallCaps w:val="false"/>
          <w:sz w:val="20"/>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Times;Serif" w:hAnsi="Times New Roman;Times;Serif"/>
          <w:b/>
          <w:i/>
          <w:caps w:val="false"/>
          <w:smallCaps w:val="false"/>
          <w:sz w:val="20"/>
        </w:rPr>
        <w:t>Prior Transaction</w:t>
      </w:r>
      <w:r>
        <w:rPr>
          <w:rFonts w:ascii="Times New Roman;Times;Serif" w:hAnsi="Times New Roman;Times;Serif"/>
          <w:b w:val="false"/>
          <w:i w:val="false"/>
          <w:caps w:val="false"/>
          <w:smallCaps w:val="false"/>
          <w:sz w:val="20"/>
        </w:rPr>
        <w:t>”). The 2011 Plan is the 2011 Stock Plan of Legacy Complete Solaria that was assumed by Complete Solaria in the Prior Transaction. The 2022 Plan, 2016 Plan, 2011 Plan and 2006 Plan are collectively referred to as the “</w:t>
      </w:r>
      <w:r>
        <w:rPr>
          <w:rFonts w:ascii="Times New Roman;Times;Serif" w:hAnsi="Times New Roman;Times;Serif"/>
          <w:b/>
          <w:i/>
          <w:caps w:val="false"/>
          <w:smallCaps w:val="false"/>
          <w:sz w:val="20"/>
        </w:rPr>
        <w:t>Legacy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and the 2006 Plan are the stock plans of Solaria that were assumed by Complete Solaria (n/k/a SunPower) in the Prior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xml:space="preserve"> Any individual who is an employee of the Company or any of its affiliates, or any person who provides services to the Company or its affiliates, including consultants and members of the Company’s Board, is eligible to receive awards under the 2023 Plan at the discretion of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The 2023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within the meaning of Section 422 of the Code to employees, including employees of any parent or subsidiary, and for the grant of nonstatutory stock options (“</w:t>
      </w:r>
      <w:r>
        <w:rPr>
          <w:rFonts w:ascii="Times New Roman;Times;Serif" w:hAnsi="Times New Roman;Times;Serif"/>
          <w:b/>
          <w:i/>
          <w:caps w:val="false"/>
          <w:smallCaps w:val="false"/>
          <w:sz w:val="20"/>
        </w:rPr>
        <w:t>NSOs</w:t>
      </w:r>
      <w:r>
        <w:rPr>
          <w:rFonts w:ascii="Times New Roman;Times;Serif" w:hAnsi="Times New Roman;Times;Serif"/>
          <w:b w:val="false"/>
          <w:i w:val="false"/>
          <w:caps w:val="false"/>
          <w:smallCaps w:val="false"/>
          <w:sz w:val="20"/>
        </w:rPr>
        <w:t>”), stock appreciation rights, restricted stock awards, restricted stock unit awards, performance awards and other forms of awards to employees, directors and consultants, including employees and consultants of the Company’s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A maximum number of 44,573,109 shares of the Company’s common stock may be issued under the 2023 Plan (which number of 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Non-Employee Director Compensation Limit</w:t>
      </w:r>
      <w:r>
        <w:rPr>
          <w:rFonts w:ascii="Times New Roman;Times;Serif" w:hAnsi="Times New Roman;Times;Serif"/>
          <w:b w:val="false"/>
          <w:i w:val="false"/>
          <w:caps w:val="false"/>
          <w:smallCaps w:val="false"/>
          <w:sz w:val="20"/>
        </w:rPr>
        <w:t>. The aggregate value of all compensation granted or paid to any non-employee director with respect to 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SunPower’s Board, or a duly authorized committee thereof, will administer the 2023 Plan and is referred to as the “plan 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ISOs and NSOs are granted under stock option agreements adopted by the plan administrator. The plan administrator determines the 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Limitations on ISOs</w:t>
      </w:r>
      <w:r>
        <w:rPr>
          <w:rFonts w:ascii="Times New Roman;Times;Serif" w:hAnsi="Times New Roman;Times;Serif"/>
          <w:b w:val="false"/>
          <w:i w:val="false"/>
          <w:caps w:val="false"/>
          <w:smallCaps w:val="false"/>
          <w:sz w:val="20"/>
        </w:rPr>
        <w:t>. The aggregate fair market value, determined at the time of grant, of the Company’s common stock with respect to ISOs 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 Awards</w:t>
      </w:r>
      <w:r>
        <w:rPr>
          <w:rFonts w:ascii="Times New Roman;Times;Serif" w:hAnsi="Times New Roman;Times;Serif"/>
          <w:b w:val="false"/>
          <w:i w:val="false"/>
          <w:caps w:val="false"/>
          <w:smallCaps w:val="false"/>
          <w:sz w:val="20"/>
        </w:rPr>
        <w:t>. Restricted stock unit awards are granted under restricted stock unit award agreements adopted by the plan administrator. 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Awards</w:t>
      </w:r>
      <w:r>
        <w:rPr>
          <w:rFonts w:ascii="Times New Roman;Times;Serif" w:hAnsi="Times New Roman;Times;Serif"/>
          <w:b w:val="false"/>
          <w:i w:val="false"/>
          <w:caps w:val="false"/>
          <w:smallCaps w:val="false"/>
          <w:sz w:val="20"/>
        </w:rPr>
        <w:t>. 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Stock appreciation rights are granted under stock appreciation rights agreements adopted by the plan administrator. The 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Awards</w:t>
      </w:r>
      <w:r>
        <w:rPr>
          <w:rFonts w:ascii="Times New Roman;Times;Serif" w:hAnsi="Times New Roman;Times;Serif"/>
          <w:b w:val="false"/>
          <w:i w:val="false"/>
          <w:caps w:val="false"/>
          <w:smallCaps w:val="false"/>
          <w:sz w:val="20"/>
        </w:rPr>
        <w:t>. The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Awards</w:t>
      </w:r>
      <w:r>
        <w:rPr>
          <w:rFonts w:ascii="Times New Roman;Times;Serif" w:hAnsi="Times New Roman;Times;Serif"/>
          <w:b w:val="false"/>
          <w:i w:val="false"/>
          <w:caps w:val="false"/>
          <w:smallCaps w:val="false"/>
          <w:sz w:val="20"/>
        </w:rPr>
        <w:t>. The plan administrator may grant other awards based in whole or in part by reference to the Company’s common stock. The plan administrator will set the number of shares under the stock award (or cash equivalent) and all other terms and conditions of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to Capital Structure</w:t>
      </w:r>
      <w:r>
        <w:rPr>
          <w:rFonts w:ascii="Times New Roman;Times;Serif" w:hAnsi="Times New Roman;Times;Serif"/>
          <w:b w:val="false"/>
          <w:i w:val="false"/>
          <w:caps w:val="false"/>
          <w:smallCaps w:val="false"/>
          <w:sz w:val="20"/>
        </w:rPr>
        <w:t>. In the event there is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Transactions</w:t>
      </w:r>
      <w:r>
        <w:rPr>
          <w:rFonts w:ascii="Times New Roman;Times;Serif" w:hAnsi="Times New Roman;Times;Serif"/>
          <w:b w:val="false"/>
          <w:i w:val="false"/>
          <w:caps w:val="false"/>
          <w:smallCaps w:val="false"/>
          <w:sz w:val="20"/>
        </w:rPr>
        <w:t>. The following applies to stock awards under the 2023 Plan in the event of a corporate transaction (as defined in the 2023 Plan), unless otherwise provided in a participant’s stock award agreement or other written agreement with the Company or one of its affiliates or unless otherwise expressly provided by the plan administrator at the time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Amendment or Termination</w:t>
      </w:r>
      <w:r>
        <w:rPr>
          <w:rFonts w:ascii="Times New Roman;Times;Serif" w:hAnsi="Times New Roman;Times;Serif"/>
          <w:b w:val="false"/>
          <w:i w:val="false"/>
          <w:caps w:val="false"/>
          <w:smallCaps w:val="false"/>
          <w:sz w:val="20"/>
        </w:rPr>
        <w:t>. The Company’s Board has the authority to amend, suspend, or terminate the 2023 Plan at any time, provided that 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Complete Solaria 2023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Employee Stock Purchase Plan (the “</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 The ESPP became effective immediately upon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administers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Limitations. </w:t>
      </w:r>
      <w:r>
        <w:rPr>
          <w:rFonts w:ascii="Times New Roman;Times;Serif" w:hAnsi="Times New Roman;Times;Serif"/>
          <w:b w:val="false"/>
          <w:i w:val="false"/>
          <w:caps w:val="false"/>
          <w:smallCaps w:val="false"/>
          <w:sz w:val="20"/>
        </w:rPr>
        <w:t>Our employees and the employees of any of our designated affiliates, as designated by the Board of Directors, will be eligible to 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may not transfer purchase rights under the ESPP other than by will, the laws of descent and distribution, or as otherwise provided under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Payroll Deductions. </w:t>
      </w:r>
      <w:r>
        <w:rPr>
          <w:rFonts w:ascii="Times New Roman;Times;Serif" w:hAnsi="Times New Roman;Times;Serif"/>
          <w:b w:val="false"/>
          <w:i w:val="false"/>
          <w:caps w:val="false"/>
          <w:smallCaps w:val="false"/>
          <w:sz w:val="20"/>
        </w:rPr>
        <w:t>The ESPP permits participants to purchase shares of the Company’s common stock through payroll deductions. Unless otherwise 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Withdrawal. </w:t>
      </w:r>
      <w:r>
        <w:rPr>
          <w:rFonts w:ascii="Times New Roman;Times;Serif" w:hAnsi="Times New Roman;Times;Serif"/>
          <w:b w:val="false"/>
          <w:i w:val="false"/>
          <w:caps w:val="false"/>
          <w:smallCaps w:val="false"/>
          <w:sz w:val="20"/>
        </w:rPr>
        <w:t>Participants may withdraw from an offering by delivering a withdrawal form to the Company and terminating their contributions. Such 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Termination of Employment. </w:t>
      </w:r>
      <w:r>
        <w:rPr>
          <w:rFonts w:ascii="Times New Roman;Times;Serif" w:hAnsi="Times New Roman;Times;Serif"/>
          <w:b w:val="false"/>
          <w:i w:val="false"/>
          <w:caps w:val="false"/>
          <w:smallCaps w:val="false"/>
          <w:sz w:val="20"/>
        </w:rPr>
        <w:t>A participant’s rights under any offering under the ESPP will terminate immediately if the participant either (i) is no longer employed by the Company or any of its parent or subsidiary companies (subject to any post-employment participation period required by law) or (ii) is otherwise no longer eligible to participate. In such event, the Company will distribute to the participant his or her accumulated but unused contributions, without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certain specified significant corporate transactions, such as a merger or change in control, a successor 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ESPP, at any time and for any reason, 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2022 Stock Plan. </w:t>
      </w:r>
      <w:r>
        <w:rPr>
          <w:rFonts w:ascii="Times New Roman;Times;Serif" w:hAnsi="Times New Roman;Times;Serif"/>
          <w:b w:val="false"/>
          <w:i w:val="false"/>
          <w:caps w:val="false"/>
          <w:smallCaps w:val="false"/>
          <w:sz w:val="20"/>
        </w:rPr>
        <w:t>Complete Solaria’s Board of Directors adopted, and Complete Solaria’s stockholders approved, the 2022 Plan in October 2022 in connection with the Prior Transaction. The 2022 Plan amended and restated Legacy Complete Solaria’s 2021 Stock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2022 Plan and the other Legacy Plans,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Awards. </w:t>
      </w:r>
      <w:r>
        <w:rPr>
          <w:rFonts w:ascii="Times New Roman;Times;Serif" w:hAnsi="Times New Roman;Times;Serif"/>
          <w:b w:val="false"/>
          <w:i w:val="false"/>
          <w:caps w:val="false"/>
          <w:smallCaps w:val="false"/>
          <w:sz w:val="20"/>
        </w:rPr>
        <w:t>The 2022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and nonstatutory stock options to purchase shares of the Company’s common stock and restricted stock awards (collectively, “</w:t>
      </w:r>
      <w:r>
        <w:rPr>
          <w:rFonts w:ascii="Times New Roman;Times;Serif" w:hAnsi="Times New Roman;Times;Serif"/>
          <w:b/>
          <w:i/>
          <w:caps w:val="false"/>
          <w:smallCaps w:val="false"/>
          <w:sz w:val="20"/>
        </w:rPr>
        <w:t>stock awards</w:t>
      </w:r>
      <w:r>
        <w:rPr>
          <w:rFonts w:ascii="Times New Roman;Times;Serif" w:hAnsi="Times New Roman;Times;Serif"/>
          <w:b w:val="false"/>
          <w:i w:val="false"/>
          <w:caps w:val="false"/>
          <w:smallCaps w:val="false"/>
          <w:sz w:val="20"/>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has the authority to administer the 2022 Plan. The Board of Directors 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ISOs and NSOs are granted pursuant to stock option agreements adopted by the plan administrator. The plan administrator determines 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 (5) other previously owned Company shares; (6) a cashless exercise; (7) such other consideration and method of payment permitted under applicable laws; or (8) any combination of the foregoing methods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 Limitations on Incentive Stock Options. </w:t>
      </w:r>
      <w:r>
        <w:rPr>
          <w:rFonts w:ascii="Times New Roman;Times;Serif" w:hAnsi="Times New Roman;Times;Serif"/>
          <w:b w:val="false"/>
          <w:i w:val="false"/>
          <w:caps w:val="false"/>
          <w:smallCaps w:val="false"/>
          <w:sz w:val="20"/>
        </w:rPr>
        <w:t>The aggregate fair market value, determined at the time of grant, of the Company’s common stock with 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Incentive Stock Option Limit. </w:t>
      </w:r>
      <w:r>
        <w:rPr>
          <w:rFonts w:ascii="Times New Roman;Times;Serif" w:hAnsi="Times New Roman;Times;Serif"/>
          <w:b w:val="false"/>
          <w:i w:val="false"/>
          <w:caps w:val="false"/>
          <w:smallCaps w:val="false"/>
          <w:sz w:val="20"/>
        </w:rPr>
        <w:t>The maximum number of shares of the Company’s common stock that may be issued upon the exercise of ISOs under the 2022 Plan is 6,677,960 shares plus, to the extent permitted by applicable law, any shares that again become available for issuance under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Awards. </w:t>
      </w:r>
      <w:r>
        <w:rPr>
          <w:rFonts w:ascii="Times New Roman;Times;Serif" w:hAnsi="Times New Roman;Times;Serif"/>
          <w:b w:val="false"/>
          <w:i w:val="false"/>
          <w:caps w:val="false"/>
          <w:smallCaps w:val="false"/>
          <w:sz w:val="20"/>
        </w:rPr>
        <w:t>Restricted stock awards are granted pursuant to restricted stock award agreements adopted by the plan administrator. The 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Changes to Capital Structure. </w:t>
      </w:r>
      <w:r>
        <w:rPr>
          <w:rFonts w:ascii="Times New Roman;Times;Serif" w:hAnsi="Times New Roman;Times;Serif"/>
          <w:b w:val="false"/>
          <w:i w:val="false"/>
          <w:caps w:val="false"/>
          <w:smallCaps w:val="false"/>
          <w:sz w:val="20"/>
        </w:rPr>
        <w:t>In the event that there is a specified type of change in the Company’s capital structure, including without limitation a 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The 2022 Plan provides that in the event of certain specified significant corporate transactions, unless otherwise provided in 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Transferability. </w:t>
      </w:r>
      <w:r>
        <w:rPr>
          <w:rFonts w:ascii="Times New Roman;Times;Serif" w:hAnsi="Times New Roman;Times;Serif"/>
          <w:b w:val="false"/>
          <w:i w:val="false"/>
          <w:caps w:val="false"/>
          <w:smallCaps w:val="false"/>
          <w:sz w:val="20"/>
        </w:rPr>
        <w:t>A participant generally may not transfer stock awards under the 2022 Plan other than by will, the laws of descent and distribution or as otherwise provided under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2022 Plan, provided that, with certain 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2011 Stock Plan. </w:t>
      </w:r>
      <w:r>
        <w:rPr>
          <w:rFonts w:ascii="Times New Roman;Times;Serif" w:hAnsi="Times New Roman;Times;Serif"/>
          <w:b w:val="false"/>
          <w:i w:val="false"/>
          <w:caps w:val="false"/>
          <w:smallCaps w:val="false"/>
          <w:sz w:val="20"/>
        </w:rPr>
        <w:t>Legacy Complete Solaria’s Board of Directors adopted the 2011 Plan in January 2011 and was amended from to time by Legacy Complete Solaria’s Board of Directors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2011 Plan and the other Legacy Plans,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of the Board of Directors administers the 2011 Plan and the awards granted under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the Company’s common stock subject to the 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a sale of all or substantially all of our assets or our merger, consolidation or other capital reorganization or 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2011 Plan), a stock award may be subject to additional acceleration of vesting and exercisability upon or after a change in control, as may be provided in the stock award agreement or in any other written agreement between us and a participant. In the absence of such a provision, no such acceleration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2011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2016 Plan. </w:t>
      </w:r>
      <w:r>
        <w:rPr>
          <w:rFonts w:ascii="Times New Roman;Times;Serif" w:hAnsi="Times New Roman;Times;Serif"/>
          <w:b w:val="false"/>
          <w:i w:val="false"/>
          <w:caps w:val="false"/>
          <w:smallCaps w:val="false"/>
          <w:sz w:val="20"/>
        </w:rPr>
        <w:t>Solaria’s Board of Directors adopted, and Solaria’s stockholders approved, the 2016 Plan, in May 2016 and July 2016, respectively. Complete Solaria assumed the 2016 Plan in connection with the Prior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2016 Plan and the other Legacy Plans,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2016 Plan and the awards granted under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common stock subject to the 2016 Plan 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2016 Plan), our 2016 Plan provides that unless otherwise provided in a 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2016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2006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2006 Plan. </w:t>
      </w:r>
      <w:r>
        <w:rPr>
          <w:rFonts w:ascii="Times New Roman;Times;Serif" w:hAnsi="Times New Roman;Times;Serif"/>
          <w:b w:val="false"/>
          <w:i w:val="false"/>
          <w:caps w:val="false"/>
          <w:smallCaps w:val="false"/>
          <w:sz w:val="20"/>
        </w:rPr>
        <w:t>Solaria’s Board of Directors adopted, and Solaria’s stockholders approved, the 2006 Plan, in February 2006 and August 2006, respectively, and it was amended and restated from to time by Solaria’s Board of Directors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2006 Plan and the other Legacy Plans,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2006 Plan and the awards granted under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our Common Stock subject to the 2006 Plan 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2006 Plan), our 2006 Plan provides that any successor corporation (or parent 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2006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in connection with our hiring of Tom Kowalczuk as our Chief Financing Officer, we made an inducement grant to Mr. Kowalczuk as a material inducement to employment with SunPower. The inducement grant consists of time-based RSUs for a total of 1,000,000 shares of SunPower common stock, with 20% of the RSUs vesting one year after grant and the remainder vesting ratably on an annual basis over the course of the following four years, subject to the Mr. Kowalczuk’s continuous service through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Welfare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Certain Relationships and Related Party Transactions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compensation arrangements for our directors and executive officers, which are described in the section titled “Executive Compensation,” below is a description of transactions since December 30, 2024, the beginning of fiscal year 2025, to which we were a party, in which:</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involved exceeded or will exceed $120,000;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Directors, executive officers or holders of more than 5% of our capital stock, or any member of the immediate family of, or person sharing the household with, the foregoing persons, had or will have a direct or indirect material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Indebtedness Payable to the Rodgers Massey Revocable Living Trust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portion of the SCI Debt owing to the Rodgers Massey Revocable Living Trust of $1.5 million (plus accrued interest) remained outstanding as of December 28, 2025 and is outstanding as of the date of the filing date of this post-effective amendment.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 Notes Issued to Affiliates of Thurman J. Rodgers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SunPower issued a convertible promissory note in the original principal amount of $3,300,000 (the “</w:t>
      </w:r>
      <w:r>
        <w:rPr>
          <w:rFonts w:ascii="Times New Roman;Times;Serif" w:hAnsi="Times New Roman;Times;Serif"/>
          <w:b/>
          <w:i w:val="false"/>
          <w:caps w:val="false"/>
          <w:smallCaps w:val="false"/>
          <w:sz w:val="20"/>
        </w:rPr>
        <w:t>January 2026 Note</w:t>
      </w:r>
      <w:r>
        <w:rPr>
          <w:rFonts w:ascii="Times New Roman;Times;Serif" w:hAnsi="Times New Roman;Times;Serif"/>
          <w:b w:val="false"/>
          <w:i w:val="false"/>
          <w:caps w:val="false"/>
          <w:smallCaps w:val="false"/>
          <w:sz w:val="20"/>
        </w:rPr>
        <w:t>”)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note. The conversion rate shall be subject to adjustment from time to time pursuant to the terms of the January 2026 Note. We may not redeem the January 2026 Note prior to July 5, 2026. We may redeem for cash all (but not less than all) of the,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 If certain bankruptcy and insolvency- related events of default occur with respect to the Company, the principal of, and accrued and unpaid interest, if any, on, the January 2026 Note shall automatically become due and payable. If an event of default with respect to the January 2026 Note, other than certain bankruptcy and insolvency-related events of default with respect to the Company, occurs and is continuing, a holder may at its option declare the note to be immediately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SunPower issued a convertible promissory note in the original principal amount of $2,000,000 (the “</w:t>
      </w:r>
      <w:r>
        <w:rPr>
          <w:rFonts w:ascii="Times New Roman;Times;Serif" w:hAnsi="Times New Roman;Times;Serif"/>
          <w:b/>
          <w:i w:val="false"/>
          <w:caps w:val="false"/>
          <w:smallCaps w:val="false"/>
          <w:sz w:val="20"/>
        </w:rPr>
        <w:t>November 2025 Note</w:t>
      </w:r>
      <w:r>
        <w:rPr>
          <w:rFonts w:ascii="Times New Roman;Times;Serif" w:hAnsi="Times New Roman;Times;Serif"/>
          <w:b w:val="false"/>
          <w:i w:val="false"/>
          <w:caps w:val="false"/>
          <w:smallCaps w:val="false"/>
          <w:sz w:val="20"/>
        </w:rPr>
        <w:t>”) to a trust controlled by Thurman J. Rodgers. The November 2025 Note bears a 12.0% interest rate.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November 2025 Note is convertible at the option of the holder at any time prior to the payment of the principal amount of the Note in full. Upon conversion of the November 2025 Note, the Company will satisfy its conversion obligation by delivering shares of its common stock and paying cash in respect of any fractional shares. The conversion rate of the November 2025 Note is initially equal to 626.9592 shares of common stock per $1,000 principal amount due under note. The conversion rate shall be subject to adjustment from time to time pursuant to the terms of the November 2025 Note. We may not redeem the November 2025 Note prior to July 5, 2026. We may redeem for cash all (but not less than all) of the, at our option, (i) on or after July 5, 2026 and prior to July 1, 2027, if the last reported sale price of our common stock has been at least 150% of the conversion price for the November 2025 Note then in effect and (ii) on or after July 5, 2027 and prior to the maturity date for the November 2025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November 2025 Note. If we undergo a change of control (as defined in the November 2025 Note), then, subject to certain conditions and except as described in the note, the holder may require the Company to redeem for cash all (but not less than all) of the note at a price equal to 100% of the principal amount of the November 2025 Note. The November 2025 Note sets forth certain events of default after which the note may be declared immediately due and payable and sets forth certain types of bankruptcy or insolvency events of default involving the Company after which the November 2025 Note becomes automatically due and payable. If certain bankruptcy and insolvency-related events of default occur with respect to the Company, the principal of, and accrued and unpaid interest, if any, on, the November 2025 Note shall automatically become due and payable. If an event of default with respect to the November 2025 Note, other than certain bankruptcy and insolvency- related events of default with respect to the Company, occurs and is continuing, a holder may at its option declare the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we issued a convertible promissory note in the original principal amount of $5,000,000 (the “</w:t>
      </w:r>
      <w:r>
        <w:rPr>
          <w:rFonts w:ascii="Times New Roman;Times;Serif" w:hAnsi="Times New Roman;Times;Serif"/>
          <w:b/>
          <w:i w:val="false"/>
          <w:caps w:val="false"/>
          <w:smallCaps w:val="false"/>
          <w:sz w:val="20"/>
        </w:rPr>
        <w:t>July 2025 Note</w:t>
      </w:r>
      <w:r>
        <w:rPr>
          <w:rFonts w:ascii="Times New Roman;Times;Serif" w:hAnsi="Times New Roman;Times;Serif"/>
          <w:b w:val="false"/>
          <w:i w:val="false"/>
          <w:caps w:val="false"/>
          <w:smallCaps w:val="false"/>
          <w:sz w:val="20"/>
        </w:rPr>
        <w:t>”) to a trust controlled by Thurman J. Rodgers. The July 2025 Note bears a 12.0% interest rate. The July 2025 Note is a general unsecured obligation of the Company and will mature on July 1, 2029, unless earlier converted, redeemed or repurchased. Interest on the July 2025 Note accrues at a rate of 12.00% per year from July 1, 2024 and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principal amount due under the July 2025 Note. The conversion rate shall be subject to adjustment from time to time pursuant to the terms of the July 2025 Note. The Company may not redeem the July 2025 Note prior to July 5, 2026. The Company may redeem for cash all (but not less than all) of the July 2025 Note, at its option,(i) on or after July 5, 2026 and prior to July 1, 2027, if the last reported sale price of the common stock has been at least 150% of the conversion price for the July 2025 Note then in effect and (ii) on or after July 5, 2027 and prior to the maturity date for the July 2025 Note if the last reported sale price of the common stock has been at least 130% of the conversion price for the July 2025 Note then in effect, in each case of (i) and (ii),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July 2025 Note, plus accrued and unpaid interest, if any, to, but excluding, the redemption date. No sinking fund is provided for the July 2025 Note. If the Company undergoes a change of control (as defined in the July 2025 Note), then, subject to certain conditions and except as described in the July 2025 Note, the holder may require the Company to redeem for cash all (but not less than all) of July 2025 Note at a price equal to 100% of the principal amount of the July 2025 Note. The July 2025 Note sets forth certain events of default after which the July 2025 Note may be declared immediately due and payable and sets forth certain types of bankruptcy or insolvency events of default involving the Company after which the July 2025 Note becomes automatically due and payable. If certain bankruptcy and insolvency-related events of default occur with respect to the Company, the principal of, and accrued and unpaid interest, if any, on, the July 2025 Note shall automatically become due and payable. If an event of default with respect to the July 2025 Note, other than certain bankruptcy and insolvency-related events of default with respect to the Company, occurs and is continuing, a holder may at its option declare the July 2025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entered into Note Purchase Agreements and the Exchange Agreement (together the “</w:t>
      </w:r>
      <w:r>
        <w:rPr>
          <w:rFonts w:ascii="Times New Roman;Times;Serif" w:hAnsi="Times New Roman;Times;Serif"/>
          <w:b/>
          <w:i w:val="false"/>
          <w:caps w:val="false"/>
          <w:smallCaps w:val="false"/>
          <w:sz w:val="20"/>
        </w:rPr>
        <w:t>July 2024 Purchase Agreement</w:t>
      </w:r>
      <w:r>
        <w:rPr>
          <w:rFonts w:ascii="Times New Roman;Times;Serif" w:hAnsi="Times New Roman;Times;Serif"/>
          <w:b w:val="false"/>
          <w:i w:val="false"/>
          <w:caps w:val="false"/>
          <w:smallCaps w:val="false"/>
          <w:sz w:val="20"/>
        </w:rPr>
        <w:t>”), pursuant to which we issued to certain accredited investors and qualified institutional buyers approximately $50.0 million in aggregate principal amount in July 2024 Notes. A trust controlled by Thurman J. Rodgers holds $18,000,000 principal amount of the July 2024 Notes. The July 2024 Notes accrue interest at the rate of 12.0% annually, which will be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principal amount of such convertible note in full. Upon conversion of any convertible note, we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The conversion rate shall be subject to adjustment from time to time pursuant to the terms of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Senior Unsecured Convertible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we entered into note purchase agreements with certain accredited investors and qualified institutional buyers relating to the sale and issuance of our 7.0% senior unsecured convertible notes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In September 2024, the Company issued $4.0 million principal amount of the 7% Notes to the Rodgers Family and Free Markets Charitable Trust, and the Company issued $4.0 million principal amount of the 7%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7% Notes accrues at a rate of 7.00% per year from September 16, 2024 and will be payable semiannually in arrears on January 1 and July 1 of each year, beginning on January 1, 2025. The trusts affiliated with Mr. Rodgers and Mr. McCranie received such interest payments during 2025 and will be entitled to such interest payments during 2026. Holders of the 7% may convert all or any portion of their 7%Notes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5635(d)(2). As a result of this stockholder approval, we will seek approval to amend the Indenture to enable the earlier conversion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 2024 Notes was initially 467.8363 shares of common stock per $1,000 principal amount of 7% Notes. The conversion rate for the 7% Notes is subject to adjustment from time to time in accordance with the terms of the Indenture, and currently the 7%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following September 16, 2025, in connection with such a corporate event that occurs prior to the maturity date, or if the Company delivers a notice of redemption in respect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Convertible Senior Secured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relating to the private offering of $41,000,000 aggregate principal amount of the Company’s 10.00% Convertible Senior Secured Notes due 2029 (the “</w:t>
      </w:r>
      <w:r>
        <w:rPr>
          <w:rFonts w:ascii="Times New Roman;Times;Serif" w:hAnsi="Times New Roman;Times;Serif"/>
          <w:b/>
          <w:i w:val="false"/>
          <w:caps w:val="false"/>
          <w:smallCaps w:val="false"/>
          <w:sz w:val="20"/>
        </w:rPr>
        <w:t>10% Notes</w:t>
      </w:r>
      <w:r>
        <w:rPr>
          <w:rFonts w:ascii="Times New Roman;Times;Serif" w:hAnsi="Times New Roman;Times;Serif"/>
          <w:b w:val="false"/>
          <w:i w:val="false"/>
          <w:caps w:val="false"/>
          <w:smallCaps w:val="false"/>
          <w:sz w:val="20"/>
        </w:rPr>
        <w:t>”), including $6,000,000 principal amount of Notes issuable to entities affiliated with Mr. Rodgers, the Company’s Chief Executive Officer and Chairman pursuant to Note Purchase Agreements executed between the Company and such affiliated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10% Notes pursuant to the terms and conditions of an Indenture (the “</w:t>
      </w:r>
      <w:r>
        <w:rPr>
          <w:rFonts w:ascii="Times New Roman;Times;Serif" w:hAnsi="Times New Roman;Times;Serif"/>
          <w:b/>
          <w:i w:val="false"/>
          <w:caps w:val="false"/>
          <w:smallCaps w:val="false"/>
          <w:sz w:val="20"/>
        </w:rPr>
        <w:t>Secured Notes Indenture</w:t>
      </w:r>
      <w:r>
        <w:rPr>
          <w:rFonts w:ascii="Times New Roman;Times;Serif" w:hAnsi="Times New Roman;Times;Serif"/>
          <w:b w:val="false"/>
          <w:i w:val="false"/>
          <w:caps w:val="false"/>
          <w:smallCaps w:val="false"/>
          <w:sz w:val="2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as collateral agent (in such capacity, the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The 10% Notes are senior, secured obligations of the Company and will mature on May 1, 2029, unless earlier converted, redeemed, or repurchased. Interest on the 10% Notes accrues at a rate of 10.00% per year from April 23, 2026 and will be payable quarterly in arrears on April 1, July 1, October 1, and January 1 of each year, beginning on July 1, 2026. Holders of the 10% Notes may convert all or any portion of their 10% Notes at any time, in integral multiples of $1,000 principal amount, for shares of common stock at the option of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10% Notes was initially 610.3143 shares of common stock per $1,000 principal amount of 10% Notes, which is equivalent to an initial conversion price of approximately $1.64 per share of common stock. The initial conversion price of the 10% Notes represents a premium of approximately 45% above the last reported sale price of the common stock on The Nasdaq Global Select Market on April 21, 2026. The conversion rate for the 10% Notes is subject to adjustment from time to time in accordance with the terms of the Secured Notes Indenture. In addition, following certain corporate events that occur prior to the maturity date of the 10% Notes, the Company will, under certain circumstances, increase the conversion rate of the Notes for a holder who elects to convert its 10% Notes in connection with such a corporate event, subject to a maximum conversion rate of 884.9557 shares of Common Stock per $1,000 principal amount of 10% Notes. The 10% Notes are not redeemable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undergoes a Fundamental Change (as defined in the Secured Notes Indenture), then, subject to certain conditions and except as described in the Secured Notes Indenture, holders of the 10% Notes may require the Company to repurchase for cash all or any portion of their 10% Notes at a fundamental change repurchase price equal to 100% of the principal amount of the 10% Notes to be repurchased, plus accrued and unpaid interest, if any, to, but excluding, the fundamental change repurchase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Notes are fully and unconditionally guaranteed by Complete Solar, Inc., a Delaware corporation and a wholly owned subsidiary of the Company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subject to the terms of the Secured Notes Indenture. The 10% Notes and related guarantees are secured by first-priority liens on substantially all of the assets of the Company and the Guarantor, subject to certain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Agreements with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and June 30, 2026, the Company entered into separately- and privately- negotiated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with certain holders of its 12.0% Notes, 10.0% Notes and 7.0% Notes, including entities affiliated with Mr. Rodgers, the Company’s Chief Executive Officer and Chairman.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Agreements, the applicable holders of Notes agreed to exchange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approximately $10.7 million of cash interest otherwise payable on July 1, 2026, October 1, 2026 and January 1, 2027 (the “</w:t>
      </w:r>
      <w:r>
        <w:rPr>
          <w:rFonts w:ascii="Times New Roman;Times;Serif" w:hAnsi="Times New Roman;Times;Serif"/>
          <w:b/>
          <w:i w:val="false"/>
          <w:caps w:val="false"/>
          <w:smallCaps w:val="false"/>
          <w:sz w:val="20"/>
        </w:rPr>
        <w:t>Exchanged Interest Amounts</w:t>
      </w:r>
      <w:r>
        <w:rPr>
          <w:rFonts w:ascii="Times New Roman;Times;Serif" w:hAnsi="Times New Roman;Times;Serif"/>
          <w:b w:val="false"/>
          <w:i w:val="false"/>
          <w:caps w:val="false"/>
          <w:smallCaps w:val="false"/>
          <w:sz w:val="20"/>
        </w:rPr>
        <w:t>”) for 19,300,991 shares (the “</w:t>
      </w:r>
      <w:r>
        <w:rPr>
          <w:rFonts w:ascii="Times New Roman;Times;Serif" w:hAnsi="Times New Roman;Times;Serif"/>
          <w:b/>
          <w:i w:val="false"/>
          <w:caps w:val="false"/>
          <w:smallCaps w:val="false"/>
          <w:sz w:val="20"/>
        </w:rPr>
        <w:t>Exchange Shares</w:t>
      </w:r>
      <w:r>
        <w:rPr>
          <w:rFonts w:ascii="Times New Roman;Times;Serif" w:hAnsi="Times New Roman;Times;Serif"/>
          <w:b w:val="false"/>
          <w:i w:val="false"/>
          <w:caps w:val="false"/>
          <w:smallCaps w:val="false"/>
          <w:sz w:val="20"/>
        </w:rPr>
        <w:t>”) of the Company’s common stock. The transactions under the Exchange Agreements closed on, and the Exchange Shares were issued on, July 1, 2026. As a result of the Exchange, the Exchanged Interest Amounts will not be payable in cash by the Company on the applicable payment dates under the Notes. The Exchange Agreements include registration rights, representations and warranties and other covenants that are customary for such exchange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w:t>
      </w:r>
      <w:r>
        <w:rPr>
          <w:rFonts w:ascii="Times New Roman;Times;Serif" w:hAnsi="Times New Roman;Times;Serif"/>
          <w:b/>
          <w:i w:val="false"/>
          <w:caps w:val="false"/>
          <w:smallCaps w:val="false"/>
          <w:sz w:val="20"/>
        </w:rPr>
        <w:t>April 2026 SAFE</w:t>
      </w:r>
      <w:r>
        <w:rPr>
          <w:rFonts w:ascii="Times New Roman;Times;Serif" w:hAnsi="Times New Roman;Times;Serif"/>
          <w:b w:val="false"/>
          <w:i w:val="false"/>
          <w:caps w:val="false"/>
          <w:smallCaps w:val="false"/>
          <w:sz w:val="20"/>
        </w:rPr>
        <w:t>”) with a trust affiliated with Thurman J. Rodgers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in connection with the Purchaser investing $5.0 million in the Company. The April 2026 SAFE was converted and exchanged into $5.0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Simple Agreement for Future Equity (the “</w:t>
      </w:r>
      <w:r>
        <w:rPr>
          <w:rFonts w:ascii="Times New Roman;Times;Serif" w:hAnsi="Times New Roman;Times;Serif"/>
          <w:b/>
          <w:i w:val="false"/>
          <w:caps w:val="false"/>
          <w:smallCaps w:val="false"/>
          <w:sz w:val="20"/>
        </w:rPr>
        <w:t>Third SAFE</w:t>
      </w:r>
      <w:r>
        <w:rPr>
          <w:rFonts w:ascii="Times New Roman;Times;Serif" w:hAnsi="Times New Roman;Times;Serif"/>
          <w:b w:val="false"/>
          <w:i w:val="false"/>
          <w:caps w:val="false"/>
          <w:smallCaps w:val="false"/>
          <w:sz w:val="20"/>
        </w:rPr>
        <w:t>”) with the Purchaser in connection with the Purchaser investing $1.0 million in the Company.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4,166,666 and 9,722,222 shares of our common stock,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SameDay Solar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2024, we have paid SameDay Solar a total of approximately $1,065,833. Since January 1, 2024, Mr. Anderson has received approximately $15,000 of remuneration from SameDay Solar relating to its relationship with the Company. Given his equity ownership, Mr. Anderson also has a 60% interest in SameDay Solar’s profits and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employment agreements with certain of its executive officers. For more information regarding these agreements with the Company’s named executive officers, see the section titled “</w:t>
      </w:r>
      <w:r>
        <w:rPr>
          <w:rFonts w:ascii="Times New Roman;Times;Serif" w:hAnsi="Times New Roman;Times;Serif"/>
          <w:b w:val="false"/>
          <w:i/>
          <w:caps w:val="false"/>
          <w:smallCaps w:val="false"/>
          <w:sz w:val="20"/>
        </w:rPr>
        <w:t>Employment Arrangements with Named Executive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 to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its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Person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the related person in question or, in the case of transactions with a holder of more than 5% of any class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will rely on information supplied by its executive officers, Directors and certain significant stockholders. In considering a related person transaction, the Company’s Audit Committee will take into account the relevant available facts and circumstances, which may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costs, and benefits to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on a Director’s independence in the event the related person is a director, immediate family member of a director or an entity with which a director is affiliated;</w:t>
            </w:r>
          </w:p>
        </w:tc>
      </w:tr>
    </w:tbl>
    <w:p>
      <w:pPr>
        <w:pStyle w:val="TextBody"/>
        <w:bidi w:val="0"/>
        <w:spacing w:before="0" w:after="0"/>
        <w:ind w:left="960" w:right="0" w:hanging="48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of the related person’s interest in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170"/>
        <w:gridCol w:w="3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and terms of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management’s recommendation with respect to the proposed related person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other sources for comparable services or products; and</w:t>
            </w:r>
          </w:p>
        </w:tc>
      </w:tr>
    </w:tbl>
    <w:p>
      <w:pPr>
        <w:pStyle w:val="TextBody"/>
        <w:bidi w:val="0"/>
        <w:spacing w:before="0" w:after="0"/>
        <w:ind w:left="960" w:right="0" w:hanging="48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is on terms comparable to those that could be obtained in an arm’s length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 Committee will approve only those transactions that it determines are fair to us and in the Company’s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Principal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Common Stock as of July 16, 2026, by:</w:t>
      </w:r>
    </w:p>
    <w:p>
      <w:pPr>
        <w:pStyle w:val="TextBody"/>
        <w:bidi w:val="0"/>
        <w:spacing w:before="0" w:after="0"/>
        <w:ind w:left="960" w:right="0" w:hanging="48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be the beneficial owner of more than 5% of the outstanding shares of our Common Stock;</w:t>
            </w:r>
          </w:p>
        </w:tc>
      </w:tr>
    </w:tbl>
    <w:p>
      <w:pPr>
        <w:pStyle w:val="TextBody"/>
        <w:bidi w:val="0"/>
        <w:spacing w:before="0" w:after="0"/>
        <w:ind w:left="960" w:right="0" w:hanging="48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70"/>
        <w:gridCol w:w="2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executive officers; and</w:t>
            </w:r>
          </w:p>
        </w:tc>
      </w:tr>
    </w:tbl>
    <w:p>
      <w:pPr>
        <w:pStyle w:val="TextBody"/>
        <w:bidi w:val="0"/>
        <w:spacing w:before="0" w:after="0"/>
        <w:ind w:left="960" w:right="0" w:hanging="48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183,057,547 shares of Common Stock outstanding as of July 16, 2026, adjusted as required by rules promulgated by the SEC.</w:t>
      </w:r>
    </w:p>
    <w:p>
      <w:pPr>
        <w:pStyle w:val="TextBody"/>
        <w:bidi w:val="0"/>
        <w:spacing w:before="0" w:after="0"/>
        <w:ind w:left="0" w:right="0" w:hanging="0"/>
        <w:jc w:val="both"/>
        <w:rPr>
          <w:caps w:val="false"/>
          <w:smallCaps w:val="false"/>
        </w:rPr>
      </w:pPr>
      <w:r>
        <w:rPr>
          <w:caps w:val="false"/>
          <w:smallCaps w:val="false"/>
        </w:rPr>
        <w:t> </w:t>
      </w:r>
    </w:p>
    <w:tbl>
      <w:tblPr>
        <w:tblW w:w="8285" w:type="dxa"/>
        <w:jc w:val="left"/>
        <w:tblInd w:w="0" w:type="dxa"/>
        <w:tblLayout w:type="fixed"/>
        <w:tblCellMar>
          <w:top w:w="0" w:type="dxa"/>
          <w:left w:w="0" w:type="dxa"/>
          <w:bottom w:w="28" w:type="dxa"/>
          <w:right w:w="0" w:type="dxa"/>
        </w:tblCellMar>
      </w:tblPr>
      <w:tblGrid>
        <w:gridCol w:w="5585"/>
        <w:gridCol w:w="60"/>
        <w:gridCol w:w="60"/>
        <w:gridCol w:w="950"/>
        <w:gridCol w:w="60"/>
        <w:gridCol w:w="60"/>
        <w:gridCol w:w="178"/>
        <w:gridCol w:w="1132"/>
        <w:gridCol w:w="200"/>
      </w:tblGrid>
      <w:tr>
        <w:trPr/>
        <w:tc>
          <w:tcPr>
            <w:tcW w:w="55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12"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Percentage of</w:t>
            </w:r>
          </w:p>
          <w:p>
            <w:pPr>
              <w:pStyle w:val="TableContents"/>
              <w:bidi w:val="0"/>
              <w:jc w:val="center"/>
              <w:rPr>
                <w:rFonts w:ascii="Times New Roman;Times;Serif" w:hAnsi="Times New Roman;Times;Serif"/>
                <w:b/>
                <w:sz w:val="20"/>
              </w:rPr>
            </w:pPr>
            <w:r>
              <w:rPr>
                <w:rFonts w:ascii="Times New Roman;Times;Serif" w:hAnsi="Times New Roman;Times;Serif"/>
                <w:b/>
                <w:sz w:val="20"/>
              </w:rPr>
              <w:t>Common Stock</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w:t>
            </w:r>
          </w:p>
        </w:tc>
        <w:tc>
          <w:tcPr>
            <w:tcW w:w="200" w:type="dxa"/>
            <w:tcBorders/>
            <w:tcMar>
              <w:bottom w:w="0" w:type="dxa"/>
            </w:tcMar>
            <w:vAlign w:val="center"/>
          </w:tcPr>
          <w:p>
            <w:pPr>
              <w:pStyle w:val="TableContents"/>
              <w:bidi w:val="0"/>
              <w:spacing w:before="0" w:after="283"/>
              <w:jc w:val="left"/>
              <w:rPr/>
            </w:pPr>
            <w:r>
              <w:rPr/>
              <w:t> </w:t>
            </w:r>
          </w:p>
        </w:tc>
      </w:tr>
      <w:tr>
        <w:trPr/>
        <w:tc>
          <w:tcPr>
            <w:tcW w:w="558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 or Greater Stockholders:</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Integrity Fund II, L.P.</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8,399,653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4.5 </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(T.J.) Rodgers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60,084,137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Chicken Parm Pizza LLC</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19,195,754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10.0 </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Alyeska Investment Group, L.P.</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10,196,302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Officers and Incumbent Directors and Director Nominees: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J.(T.J.) Rodgers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60,084,137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2,953,083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Foley</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Whatley</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8,591,602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4.7 </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Tidjane Thiam</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292,825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864,686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Pasek</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225,459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r>
              <w:rPr>
                <w:rFonts w:ascii="Times New Roman;Times;Serif" w:hAnsi="Times New Roman;Times;Serif"/>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396,714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Lothar Maier</w:t>
            </w:r>
            <w:r>
              <w:rPr>
                <w:rFonts w:ascii="Times New Roman;Times;Serif" w:hAnsi="Times New Roman;Times;Serif"/>
                <w:position w:val="7"/>
                <w:sz w:val="16"/>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243,169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r>
              <w:rPr>
                <w:rFonts w:ascii="Times New Roman;Times;Serif" w:hAnsi="Times New Roman;Times;Serif"/>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1,775,415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Jamie Haenggi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5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 Kowalczuk</w:t>
            </w:r>
            <w:r>
              <w:rPr>
                <w:rFonts w:ascii="Times New Roman;Times;Serif" w:hAnsi="Times New Roman;Times;Serif"/>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13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5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as a group (15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76,705,560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directors and executive officers of the Company listed in the table is c/o SunPower Inc., 1403 N. Research Way, Orem, UT 84097.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5,832,054 shares held by Ecosystem Integrity Fund II, L.P., of which Mr. Devin Whatley is the managing member of the general partner, (ii) 198,346 shares held by EIF CS SPV LLC, and (iii) 2,369,253 shares issuable pursuant to warrants exercisable within 60 days of July 16, 2026. Mr. Whatley serves as a director of the Company. The business address of each of Ecosystem Integrity Fund II, L.P., EIF CS SPV LLC and Mr. Whatley is 20 Richelle Court, Lafayette, California 94549. In the case of Mr. Whatley, also includes (i) 103,825 shares of common stock issuable upon settlement of restricted stock units, and (ii) 88,124 shares issuable pursuant to stock options exercisable within 60 days of July 16,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485,562 shares held by Rodgers Capital, LLC, (ii) 8,842 shares held by Thurman J. Rodgers, (iii) 28,816,676 shares held by the Rodgers Massey Revocable Living Trust, (iv) 2,471,485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July 16, 2026, and (viii) 116,601 shares issuable pursuant to stock options and restricted stock units exercisable or settleable within 60 days of July 16,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10,346,197 shares of common stock and (ii) 8,849,557 shares of common stock issuable upon conversion of 10.0% Notes held by Chicken Parm Pizza LLC. The business address of Chicken Parm Pizza LLC is 1750 West 11400 South, Suite 110, South Jordan, Utah 84095.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8" w:type="dxa"/>
            <w:tcBorders/>
            <w:vAlign w:val="center"/>
          </w:tcPr>
          <w:p>
            <w:pPr>
              <w:pStyle w:val="TableContents"/>
              <w:bidi w:val="0"/>
              <w:spacing w:before="0" w:after="283"/>
              <w:jc w:val="both"/>
              <w:rPr/>
            </w:pPr>
            <w:r>
              <w:rPr/>
              <w:t>Consists of (i) 839,577 shares of common stock and (ii)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60"/>
        <w:gridCol w:w="10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  </w:t>
            </w:r>
          </w:p>
        </w:tc>
      </w:tr>
    </w:tbl>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60"/>
        <w:gridCol w:w="10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405,090 shares of common stock, (ii) 671,738 shares of common stock issued or issuable upon settlement of restricted stock units, (iii) 1,735,068 shares issuable pursuant to stock options exercisable within 60 days of July 16, 2026, and (iv) 141,187 shares issuable pursuant to warrants exercisable within 60 days of July 20,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106,577 shares of common stock issued or issuable upon settlement of restricted stock units and (ii) 94,452 shares issuable pursuant to stock options exercisable within 60 days of July 16, 2026.</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65"/>
        <w:gridCol w:w="336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77,441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80,245 shares of common stock and 106,011 shares of common stock issued or issuable upon settlement of restricted stock units, (ii) 12,117 shares issuable pursuant to warrants exercisable within 60 days of July 16, 2026, and (iii) 94,452 shares issuable pursuant to stock options exercisable within 60 days of July 16,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174,515 shares of common stock and 110,656 shares of common stock issued or issuable upon settlement of restricted stock units, (ii) 480,000 shares issuable pursuant to warrants exercisable within 60 days of July 16, 2026, and (iii) 99,515 shares issuable pursuant to stock options exercisable within 60 days of July 16,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112,022 shares of common stock issued or issuable upon settlement of restricted stock units and (ii) 113,437 shares issuable pursuant to stock options exercisable within 60 days of July 16,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103,825 shares of common stock issued or issuable upon settlement of restricted stock units and (ii) 292,889 shares issuable pursuant to stock options exercisable within 60 days of July 16, 2026.</w:t>
            </w:r>
          </w:p>
        </w:tc>
      </w:tr>
    </w:tbl>
    <w:p>
      <w:pPr>
        <w:pStyle w:val="TextBody"/>
        <w:bidi w:val="0"/>
        <w:spacing w:before="0" w:after="0"/>
        <w:ind w:left="0" w:right="0" w:hanging="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365"/>
        <w:gridCol w:w="822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243,169 shares of common stock issued or issuable upon settlement of restricted stock units.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93,650 shares of common stock held by the Dan and Kathy McCranie 2000 Revocable Trust, (ii) 438,596 shares of common stock issuable upon conversion of $750,000 principal amount of 7% Notes held by the Dan and Kathy McCranie 2000 Revocable Trust, and (iii)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tc>
      </w:tr>
      <w:tr>
        <w:trPr/>
        <w:tc>
          <w:tcPr>
            <w:tcW w:w="364" w:type="dxa"/>
            <w:tcBorders/>
            <w:vAlign w:val="center"/>
          </w:tcPr>
          <w:p>
            <w:pPr>
              <w:pStyle w:val="TableContents"/>
              <w:bidi w:val="0"/>
              <w:spacing w:before="0" w:after="283"/>
              <w:jc w:val="left"/>
              <w:rPr/>
            </w:pPr>
            <w:r>
              <w:rPr/>
              <w:t> </w:t>
            </w:r>
          </w:p>
        </w:tc>
        <w:tc>
          <w:tcPr>
            <w:tcW w:w="9841" w:type="dxa"/>
            <w:tcBorders/>
            <w:vAlign w:val="center"/>
          </w:tcPr>
          <w:p>
            <w:pPr>
              <w:pStyle w:val="TableContents"/>
              <w:bidi w:val="0"/>
              <w:spacing w:before="0" w:after="283"/>
              <w:jc w:val="both"/>
              <w:rPr/>
            </w:pPr>
            <w:r>
              <w:rPr/>
              <w:t> </w:t>
            </w:r>
          </w:p>
        </w:tc>
      </w:tr>
      <w:tr>
        <w:trPr/>
        <w:tc>
          <w:tcPr>
            <w:tcW w:w="364" w:type="dxa"/>
            <w:tcBorders/>
            <w:vAlign w:val="center"/>
          </w:tcPr>
          <w:p>
            <w:pPr>
              <w:pStyle w:val="TableContents"/>
              <w:bidi w:val="0"/>
              <w:spacing w:before="0" w:after="283"/>
              <w:jc w:val="left"/>
              <w:rPr/>
            </w:pPr>
            <w:r>
              <w:rPr/>
              <w:t>(17)</w:t>
            </w:r>
          </w:p>
        </w:tc>
        <w:tc>
          <w:tcPr>
            <w:tcW w:w="9841" w:type="dxa"/>
            <w:tcBorders/>
            <w:vAlign w:val="center"/>
          </w:tcPr>
          <w:p>
            <w:pPr>
              <w:pStyle w:val="TableContents"/>
              <w:bidi w:val="0"/>
              <w:spacing w:before="0" w:after="283"/>
              <w:jc w:val="both"/>
              <w:rPr/>
            </w:pPr>
            <w:r>
              <w:rPr/>
              <w:t>Includes 1,000,000 shares of common stock issued or issuable upon settlement of restricted stock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and sell, from time to time, any or all of the shares of common stock being offered for resale by this prospectus, which consists of:</w:t>
      </w:r>
    </w:p>
    <w:p>
      <w:pPr>
        <w:pStyle w:val="TextBody"/>
        <w:bidi w:val="0"/>
        <w:spacing w:before="0" w:after="0"/>
        <w:ind w:left="0" w:right="0" w:firstLine="360"/>
        <w:jc w:val="both"/>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75"/>
        <w:gridCol w:w="170"/>
        <w:gridCol w:w="8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19,300,991 shares of common stock previously issued by us pursuant to the Exchange Agreements,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17,900,462 shares of common stock issued by us pursuant to the FPA Settlement Agreements, and up to an additional 8,369,684 shares of common stock issuable pursuant to the FPA Settlement Agreements.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and successors-in-interest that receive shares in any non-sale transfer after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as of the date of this prospectus, information regarding the beneficial ownership of our common stock of each Selling Securityholder, the number of shares of common stock that may be sold by each Selling Securityholder under this prospectus and that each Selling Securityholder will beneficially own assuming all securities that may be offered pursuant to this prospectus are sold. 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7.0% Notes, 10.0% Notes and/or 12.0% Notes may not convert such notes if such holder, together with its affiliates, would beneficially own more than 9.99% (or, if elected by the holder, an amount lesser than or equal to 9.99%) of the number of shares of common stock outstanding immediately after giving effect to such conversion (the “Beneficial Ownership Limitation”). Unless otherwise noted below, the table below does not give effect to the applicable Beneficial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and includes shares of common stock with respect to which the Selling Securityholders have voting and investment power. The percentage of shares of common stock beneficially owned by the Selling Securityholders prior to the offering shown in the table below is based on an aggregate of 183,057,547 shares of our common stock outstanding on July 16, 2026. The fourth column assumes the sale of all of the shares offered by the Selling Securityholders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business address of each of the Selling Securityholders is 1403 N. Research Way, Orem, UT 84097.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Selling Securityholders’ method of distributing these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9"/>
        <w:gridCol w:w="60"/>
        <w:gridCol w:w="64"/>
        <w:gridCol w:w="1184"/>
        <w:gridCol w:w="64"/>
        <w:gridCol w:w="64"/>
        <w:gridCol w:w="93"/>
        <w:gridCol w:w="689"/>
        <w:gridCol w:w="215"/>
        <w:gridCol w:w="60"/>
        <w:gridCol w:w="69"/>
        <w:gridCol w:w="1281"/>
        <w:gridCol w:w="60"/>
        <w:gridCol w:w="60"/>
        <w:gridCol w:w="66"/>
        <w:gridCol w:w="1216"/>
        <w:gridCol w:w="66"/>
        <w:gridCol w:w="66"/>
        <w:gridCol w:w="93"/>
        <w:gridCol w:w="689"/>
        <w:gridCol w:w="237"/>
      </w:tblGrid>
      <w:tr>
        <w:trPr/>
        <w:tc>
          <w:tcPr>
            <w:tcW w:w="3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Shares of</w:t>
              <w:br/>
              <w:t xml:space="preserve">Common Stock </w:t>
              <w:br/>
              <w:t xml:space="preserve">Owned Prior to </w:t>
              <w:br/>
              <w:t>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Maximum</w:t>
              <w:br/>
              <w:t>Number of</w:t>
              <w:br/>
              <w:t>Shares of</w:t>
              <w:br/>
              <w:t xml:space="preserve">Common Stock </w:t>
              <w:br/>
              <w:t>to be Offered</w:t>
              <w:br/>
              <w:t>Pursuant to</w:t>
              <w:br/>
              <w:t>this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Shares of</w:t>
              <w:br/>
              <w:t xml:space="preserve">Common Stock </w:t>
              <w:br/>
              <w:t>Owned After Offering</w:t>
            </w:r>
          </w:p>
        </w:tc>
        <w:tc>
          <w:tcPr>
            <w:tcW w:w="237" w:type="dxa"/>
            <w:tcBorders/>
            <w:vAlign w:val="center"/>
          </w:tcPr>
          <w:p>
            <w:pPr>
              <w:pStyle w:val="TableContents"/>
              <w:bidi w:val="0"/>
              <w:spacing w:before="0" w:after="283"/>
              <w:jc w:val="left"/>
              <w:rPr/>
            </w:pPr>
            <w:r>
              <w:rPr/>
              <w:t> </w:t>
            </w:r>
          </w:p>
        </w:tc>
      </w:tr>
      <w:tr>
        <w:trPr/>
        <w:tc>
          <w:tcPr>
            <w:tcW w:w="3809"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p>
        </w:tc>
        <w:tc>
          <w:tcPr>
            <w:tcW w:w="60" w:type="dxa"/>
            <w:tcBorders/>
            <w:vAlign w:val="center"/>
          </w:tcPr>
          <w:p>
            <w:pPr>
              <w:pStyle w:val="TableContents"/>
              <w:bidi w:val="0"/>
              <w:spacing w:before="0" w:after="283"/>
              <w:jc w:val="left"/>
              <w:rPr/>
            </w:pPr>
            <w:r>
              <w:rPr/>
              <w:t> </w:t>
            </w:r>
          </w:p>
        </w:tc>
        <w:tc>
          <w:tcPr>
            <w:tcW w:w="12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r>
              <w:rPr>
                <w:rFonts w:ascii="Times New Roman;Times;Serif" w:hAnsi="Times New Roman;Times;Serif"/>
                <w:b/>
                <w:position w:val="7"/>
                <w:sz w:val="16"/>
                <w:sz w:val="20"/>
              </w:rPr>
              <w:t>(2)</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237" w:type="dxa"/>
            <w:tcBorders/>
            <w:vAlign w:val="center"/>
          </w:tcPr>
          <w:p>
            <w:pPr>
              <w:pStyle w:val="TableContents"/>
              <w:bidi w:val="0"/>
              <w:spacing w:before="0" w:after="283"/>
              <w:jc w:val="left"/>
              <w:rPr/>
            </w:pPr>
            <w:r>
              <w:rPr/>
              <w:t> </w:t>
            </w:r>
          </w:p>
        </w:tc>
      </w:tr>
      <w:tr>
        <w:trPr/>
        <w:tc>
          <w:tcPr>
            <w:tcW w:w="3809" w:type="dxa"/>
            <w:tcBorders/>
            <w:vAlign w:val="center"/>
          </w:tcPr>
          <w:p>
            <w:pPr>
              <w:pStyle w:val="TableContents"/>
              <w:bidi w:val="0"/>
              <w:spacing w:before="0" w:after="283"/>
              <w:jc w:val="left"/>
              <w:rPr>
                <w:b/>
              </w:rPr>
            </w:pPr>
            <w:r>
              <w:rPr>
                <w:b/>
              </w:rPr>
              <w:t>Exchange Agreement Holders</w:t>
            </w:r>
          </w:p>
        </w:tc>
        <w:tc>
          <w:tcPr>
            <w:tcW w:w="60" w:type="dxa"/>
            <w:tcBorders/>
            <w:vAlign w:val="center"/>
          </w:tcPr>
          <w:p>
            <w:pPr>
              <w:pStyle w:val="TableContents"/>
              <w:bidi w:val="0"/>
              <w:spacing w:before="0" w:after="283"/>
              <w:jc w:val="left"/>
              <w:rPr/>
            </w:pPr>
            <w:r>
              <w:rPr/>
              <w:t> </w:t>
            </w:r>
          </w:p>
        </w:tc>
        <w:tc>
          <w:tcPr>
            <w:tcW w:w="1248" w:type="dxa"/>
            <w:gridSpan w:val="2"/>
            <w:tcBorders/>
            <w:vAlign w:val="center"/>
          </w:tcPr>
          <w:p>
            <w:pPr>
              <w:pStyle w:val="TableContents"/>
              <w:bidi w:val="0"/>
              <w:spacing w:before="0" w:after="283"/>
              <w:jc w:val="both"/>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82" w:type="dxa"/>
            <w:gridSpan w:val="2"/>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2" w:type="dxa"/>
            <w:gridSpan w:val="2"/>
            <w:tcBorders/>
            <w:vAlign w:val="center"/>
          </w:tcPr>
          <w:p>
            <w:pPr>
              <w:pStyle w:val="TableContents"/>
              <w:bidi w:val="0"/>
              <w:spacing w:before="0" w:after="283"/>
              <w:jc w:val="both"/>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82" w:type="dxa"/>
            <w:gridSpan w:val="2"/>
            <w:tcBorders/>
            <w:vAlign w:val="center"/>
          </w:tcPr>
          <w:p>
            <w:pPr>
              <w:pStyle w:val="TableContents"/>
              <w:bidi w:val="0"/>
              <w:spacing w:before="0" w:after="283"/>
              <w:jc w:val="both"/>
              <w:rPr/>
            </w:pPr>
            <w:r>
              <w:rPr/>
              <w:t> </w:t>
            </w:r>
          </w:p>
        </w:tc>
        <w:tc>
          <w:tcPr>
            <w:tcW w:w="237" w:type="dxa"/>
            <w:tcBorders/>
            <w:vAlign w:val="center"/>
          </w:tcPr>
          <w:p>
            <w:pPr>
              <w:pStyle w:val="TableContents"/>
              <w:bidi w:val="0"/>
              <w:spacing w:before="0" w:after="283"/>
              <w:jc w:val="left"/>
              <w:rPr/>
            </w:pPr>
            <w:r>
              <w:rPr/>
              <w:t> </w:t>
            </w:r>
          </w:p>
        </w:tc>
      </w:tr>
      <w:tr>
        <w:trPr/>
        <w:tc>
          <w:tcPr>
            <w:tcW w:w="3809" w:type="dxa"/>
            <w:tcBorders/>
            <w:shd w:fill="CCEEFF" w:val="clear"/>
            <w:vAlign w:val="center"/>
          </w:tcPr>
          <w:p>
            <w:pPr>
              <w:pStyle w:val="TableContents"/>
              <w:bidi w:val="0"/>
              <w:spacing w:before="0" w:after="283"/>
              <w:jc w:val="left"/>
              <w:rPr/>
            </w:pPr>
            <w:r>
              <w:rPr/>
              <w:t>Chicken Parm Pizza LLC(3)</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19,195,754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1,337,852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17,857,902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9.3</w:t>
            </w:r>
          </w:p>
        </w:tc>
        <w:tc>
          <w:tcPr>
            <w:tcW w:w="237" w:type="dxa"/>
            <w:tcBorders/>
            <w:shd w:fill="CCEEFF" w:val="clear"/>
            <w:vAlign w:val="center"/>
          </w:tcPr>
          <w:p>
            <w:pPr>
              <w:pStyle w:val="TableContents"/>
              <w:bidi w:val="0"/>
              <w:spacing w:before="0" w:after="283"/>
              <w:jc w:val="left"/>
              <w:rPr/>
            </w:pPr>
            <w:r>
              <w:rPr/>
              <w:t>%</w:t>
            </w:r>
          </w:p>
        </w:tc>
      </w:tr>
      <w:tr>
        <w:trPr/>
        <w:tc>
          <w:tcPr>
            <w:tcW w:w="3809" w:type="dxa"/>
            <w:tcBorders/>
            <w:shd w:fill="FFFFFF" w:val="clear"/>
            <w:vAlign w:val="center"/>
          </w:tcPr>
          <w:p>
            <w:pPr>
              <w:pStyle w:val="TableContents"/>
              <w:bidi w:val="0"/>
              <w:spacing w:before="0" w:after="283"/>
              <w:jc w:val="left"/>
              <w:rPr/>
            </w:pPr>
            <w:r>
              <w:rPr/>
              <w:t>Alyeska Master Fund, LP(4)</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10,196,302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5.3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2,497,325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7,698,977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4.0</w:t>
            </w:r>
          </w:p>
        </w:tc>
        <w:tc>
          <w:tcPr>
            <w:tcW w:w="237" w:type="dxa"/>
            <w:tcBorders/>
            <w:shd w:fill="FFFFFF" w:val="clear"/>
            <w:vAlign w:val="center"/>
          </w:tcPr>
          <w:p>
            <w:pPr>
              <w:pStyle w:val="TableContents"/>
              <w:bidi w:val="0"/>
              <w:spacing w:before="0" w:after="283"/>
              <w:ind w:left="0" w:right="0" w:hanging="180"/>
              <w:jc w:val="left"/>
              <w:rPr/>
            </w:pPr>
            <w:r>
              <w:rPr/>
              <w:t>%</w:t>
            </w:r>
          </w:p>
        </w:tc>
      </w:tr>
      <w:tr>
        <w:trPr/>
        <w:tc>
          <w:tcPr>
            <w:tcW w:w="3809" w:type="dxa"/>
            <w:tcBorders/>
            <w:shd w:fill="CCEEFF" w:val="clear"/>
            <w:vAlign w:val="center"/>
          </w:tcPr>
          <w:p>
            <w:pPr>
              <w:pStyle w:val="TableContents"/>
              <w:bidi w:val="0"/>
              <w:spacing w:before="0" w:after="283"/>
              <w:jc w:val="left"/>
              <w:rPr/>
            </w:pPr>
            <w:r>
              <w:rPr/>
              <w:t>Entities Affiliated with Thurman J. Rodgers(5)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60,084,137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28.6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7,859,436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52,224,701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24.8</w:t>
            </w:r>
          </w:p>
        </w:tc>
        <w:tc>
          <w:tcPr>
            <w:tcW w:w="237" w:type="dxa"/>
            <w:tcBorders/>
            <w:shd w:fill="CCEEFF" w:val="clear"/>
            <w:vAlign w:val="center"/>
          </w:tcPr>
          <w:p>
            <w:pPr>
              <w:pStyle w:val="TableContents"/>
              <w:bidi w:val="0"/>
              <w:spacing w:before="0" w:after="283"/>
              <w:ind w:left="0" w:right="0" w:hanging="180"/>
              <w:jc w:val="left"/>
              <w:rPr/>
            </w:pPr>
            <w:r>
              <w:rPr/>
              <w:t>%</w:t>
            </w:r>
          </w:p>
        </w:tc>
      </w:tr>
      <w:tr>
        <w:trPr/>
        <w:tc>
          <w:tcPr>
            <w:tcW w:w="3809" w:type="dxa"/>
            <w:tcBorders/>
            <w:shd w:fill="FFFFFF" w:val="clear"/>
            <w:vAlign w:val="center"/>
          </w:tcPr>
          <w:p>
            <w:pPr>
              <w:pStyle w:val="TableContents"/>
              <w:bidi w:val="0"/>
              <w:spacing w:before="0" w:after="283"/>
              <w:jc w:val="left"/>
              <w:rPr/>
            </w:pPr>
            <w:r>
              <w:rPr/>
              <w:t>Entities affiliated with Carlyle Group / CRSEF Solis Holdings, L.L.C.(6)</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9,555,101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5.1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2,343,750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7,211,351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3.8</w:t>
            </w:r>
          </w:p>
        </w:tc>
        <w:tc>
          <w:tcPr>
            <w:tcW w:w="237" w:type="dxa"/>
            <w:tcBorders/>
            <w:shd w:fill="FFFFFF" w:val="clear"/>
            <w:vAlign w:val="center"/>
          </w:tcPr>
          <w:p>
            <w:pPr>
              <w:pStyle w:val="TableContents"/>
              <w:bidi w:val="0"/>
              <w:spacing w:before="0" w:after="283"/>
              <w:ind w:left="0" w:right="0" w:hanging="180"/>
              <w:jc w:val="left"/>
              <w:rPr/>
            </w:pPr>
            <w:r>
              <w:rPr/>
              <w:t>%</w:t>
            </w:r>
          </w:p>
        </w:tc>
      </w:tr>
      <w:tr>
        <w:trPr/>
        <w:tc>
          <w:tcPr>
            <w:tcW w:w="3809" w:type="dxa"/>
            <w:tcBorders/>
            <w:shd w:fill="CCEEFF" w:val="clear"/>
            <w:vAlign w:val="center"/>
          </w:tcPr>
          <w:p>
            <w:pPr>
              <w:pStyle w:val="TableContents"/>
              <w:bidi w:val="0"/>
              <w:spacing w:before="0" w:after="283"/>
              <w:jc w:val="left"/>
              <w:rPr/>
            </w:pPr>
            <w:r>
              <w:rPr/>
              <w:t>Entities affiliated with Kline Hill(7)</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9,006,310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1,706,615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7,299,695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3.9</w:t>
            </w:r>
          </w:p>
        </w:tc>
        <w:tc>
          <w:tcPr>
            <w:tcW w:w="237" w:type="dxa"/>
            <w:tcBorders/>
            <w:shd w:fill="CCEEFF" w:val="clear"/>
            <w:vAlign w:val="center"/>
          </w:tcPr>
          <w:p>
            <w:pPr>
              <w:pStyle w:val="TableContents"/>
              <w:bidi w:val="0"/>
              <w:spacing w:before="0" w:after="283"/>
              <w:ind w:left="0" w:right="0" w:hanging="180"/>
              <w:jc w:val="left"/>
              <w:rPr/>
            </w:pPr>
            <w:r>
              <w:rPr/>
              <w:t>%</w:t>
            </w:r>
          </w:p>
        </w:tc>
      </w:tr>
      <w:tr>
        <w:trPr/>
        <w:tc>
          <w:tcPr>
            <w:tcW w:w="3809" w:type="dxa"/>
            <w:tcBorders/>
            <w:shd w:fill="FFFFFF" w:val="clear"/>
            <w:vAlign w:val="center"/>
          </w:tcPr>
          <w:p>
            <w:pPr>
              <w:pStyle w:val="TableContents"/>
              <w:bidi w:val="0"/>
              <w:spacing w:before="0" w:after="283"/>
              <w:jc w:val="left"/>
              <w:rPr/>
            </w:pPr>
            <w:r>
              <w:rPr/>
              <w:t>Certain funds and accounts managed by Shaolin Capital Management LLC(8)</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8,960,212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4.8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124,867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8,835,345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4.8</w:t>
            </w:r>
          </w:p>
        </w:tc>
        <w:tc>
          <w:tcPr>
            <w:tcW w:w="237" w:type="dxa"/>
            <w:tcBorders/>
            <w:shd w:fill="FFFFFF" w:val="clear"/>
            <w:vAlign w:val="center"/>
          </w:tcPr>
          <w:p>
            <w:pPr>
              <w:pStyle w:val="TableContents"/>
              <w:bidi w:val="0"/>
              <w:spacing w:before="0" w:after="283"/>
              <w:jc w:val="left"/>
              <w:rPr/>
            </w:pPr>
            <w:r>
              <w:rPr/>
              <w:t>%</w:t>
            </w:r>
          </w:p>
        </w:tc>
      </w:tr>
      <w:tr>
        <w:trPr/>
        <w:tc>
          <w:tcPr>
            <w:tcW w:w="3809" w:type="dxa"/>
            <w:tcBorders/>
            <w:shd w:fill="CCEEFF" w:val="clear"/>
            <w:vAlign w:val="center"/>
          </w:tcPr>
          <w:p>
            <w:pPr>
              <w:pStyle w:val="TableContents"/>
              <w:bidi w:val="0"/>
              <w:spacing w:before="0" w:after="283"/>
              <w:jc w:val="left"/>
              <w:rPr/>
            </w:pPr>
            <w:r>
              <w:rPr/>
              <w:t>Enphase Energy, Inc.(9)</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4,967,631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874,064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4,093,567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2.2</w:t>
            </w:r>
          </w:p>
        </w:tc>
        <w:tc>
          <w:tcPr>
            <w:tcW w:w="237" w:type="dxa"/>
            <w:tcBorders/>
            <w:shd w:fill="CCEEFF" w:val="clear"/>
            <w:vAlign w:val="center"/>
          </w:tcPr>
          <w:p>
            <w:pPr>
              <w:pStyle w:val="TableContents"/>
              <w:bidi w:val="0"/>
              <w:spacing w:before="0" w:after="283"/>
              <w:ind w:left="0" w:right="0" w:hanging="180"/>
              <w:jc w:val="left"/>
              <w:rPr/>
            </w:pPr>
            <w:r>
              <w:rPr/>
              <w:t>%</w:t>
            </w:r>
          </w:p>
        </w:tc>
      </w:tr>
      <w:tr>
        <w:trPr/>
        <w:tc>
          <w:tcPr>
            <w:tcW w:w="3809" w:type="dxa"/>
            <w:tcBorders/>
            <w:shd w:fill="FFFFFF" w:val="clear"/>
            <w:vAlign w:val="center"/>
          </w:tcPr>
          <w:p>
            <w:pPr>
              <w:pStyle w:val="TableContents"/>
              <w:bidi w:val="0"/>
              <w:spacing w:before="0" w:after="283"/>
              <w:jc w:val="left"/>
              <w:rPr/>
            </w:pPr>
            <w:r>
              <w:rPr/>
              <w:t>Entities affiliated with Sandia Investment Management(10)</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3,248,976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187,300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3,061,676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1.7</w:t>
            </w:r>
          </w:p>
        </w:tc>
        <w:tc>
          <w:tcPr>
            <w:tcW w:w="237" w:type="dxa"/>
            <w:tcBorders/>
            <w:shd w:fill="FFFFFF" w:val="clear"/>
            <w:vAlign w:val="center"/>
          </w:tcPr>
          <w:p>
            <w:pPr>
              <w:pStyle w:val="TableContents"/>
              <w:bidi w:val="0"/>
              <w:spacing w:before="0" w:after="283"/>
              <w:jc w:val="left"/>
              <w:rPr/>
            </w:pPr>
            <w:r>
              <w:rPr/>
              <w:t>%</w:t>
            </w:r>
          </w:p>
        </w:tc>
      </w:tr>
      <w:tr>
        <w:trPr/>
        <w:tc>
          <w:tcPr>
            <w:tcW w:w="3809" w:type="dxa"/>
            <w:tcBorders/>
            <w:shd w:fill="CCEEFF" w:val="clear"/>
            <w:vAlign w:val="center"/>
          </w:tcPr>
          <w:p>
            <w:pPr>
              <w:pStyle w:val="TableContents"/>
              <w:bidi w:val="0"/>
              <w:spacing w:before="0" w:after="283"/>
              <w:jc w:val="left"/>
              <w:rPr/>
            </w:pPr>
            <w:r>
              <w:rPr/>
              <w:t>Cantor Fitzgerald &amp; Co.(11)</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1,419,322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249,732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1,169,590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3809" w:type="dxa"/>
            <w:tcBorders/>
            <w:shd w:fill="FFFFFF" w:val="clear"/>
            <w:vAlign w:val="center"/>
          </w:tcPr>
          <w:p>
            <w:pPr>
              <w:pStyle w:val="TableContents"/>
              <w:bidi w:val="0"/>
              <w:spacing w:before="0" w:after="283"/>
              <w:jc w:val="left"/>
              <w:rPr/>
            </w:pPr>
            <w:r>
              <w:rPr/>
              <w:t>Charles Edgar Haldeman, Jr.(12)</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1,064,491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187,299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877,192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ind w:left="0" w:right="0" w:hanging="180"/>
              <w:jc w:val="left"/>
              <w:rPr/>
            </w:pPr>
            <w:r>
              <w:rPr/>
              <w:t> </w:t>
            </w:r>
          </w:p>
        </w:tc>
      </w:tr>
      <w:tr>
        <w:trPr/>
        <w:tc>
          <w:tcPr>
            <w:tcW w:w="3809" w:type="dxa"/>
            <w:tcBorders/>
            <w:shd w:fill="CCEEFF" w:val="clear"/>
            <w:vAlign w:val="center"/>
          </w:tcPr>
          <w:p>
            <w:pPr>
              <w:pStyle w:val="TableContents"/>
              <w:bidi w:val="0"/>
              <w:spacing w:before="0" w:after="283"/>
              <w:jc w:val="left"/>
              <w:rPr/>
            </w:pPr>
            <w:r>
              <w:rPr/>
              <w:t>Dan and Kathy McCranie 2000 Revocable Trust(13)</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532,246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93,650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438,596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3809" w:type="dxa"/>
            <w:tcBorders/>
            <w:shd w:fill="FFFFFF" w:val="clear"/>
            <w:vAlign w:val="center"/>
          </w:tcPr>
          <w:p>
            <w:pPr>
              <w:pStyle w:val="TableContents"/>
              <w:bidi w:val="0"/>
              <w:spacing w:before="0" w:after="283"/>
              <w:jc w:val="left"/>
              <w:rPr/>
            </w:pPr>
            <w:r>
              <w:rPr/>
              <w:t>Hans van Antwerpen(14)</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354,830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62,433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283,397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ind w:left="0" w:right="0" w:hanging="180"/>
              <w:jc w:val="left"/>
              <w:rPr/>
            </w:pPr>
            <w:r>
              <w:rPr/>
              <w:t> </w:t>
            </w:r>
          </w:p>
        </w:tc>
      </w:tr>
      <w:tr>
        <w:trPr/>
        <w:tc>
          <w:tcPr>
            <w:tcW w:w="3809" w:type="dxa"/>
            <w:tcBorders/>
            <w:shd w:fill="CCEEFF" w:val="clear"/>
            <w:vAlign w:val="center"/>
          </w:tcPr>
          <w:p>
            <w:pPr>
              <w:pStyle w:val="TableContents"/>
              <w:bidi w:val="0"/>
              <w:spacing w:before="0" w:after="283"/>
              <w:jc w:val="left"/>
              <w:rPr/>
            </w:pPr>
            <w:r>
              <w:rPr/>
              <w:t>Account Managed by Madison Trust Company(15)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141,932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24,973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116,959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3809" w:type="dxa"/>
            <w:tcBorders/>
            <w:shd w:fill="FFFFFF" w:val="clear"/>
            <w:vAlign w:val="center"/>
          </w:tcPr>
          <w:p>
            <w:pPr>
              <w:pStyle w:val="TableContents"/>
              <w:bidi w:val="0"/>
              <w:spacing w:before="0" w:after="283"/>
              <w:jc w:val="left"/>
              <w:rPr/>
            </w:pPr>
            <w:r>
              <w:rPr/>
              <w:t>Richard M. Swanson(16)</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70,966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12,487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58,479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jc w:val="left"/>
              <w:rPr/>
            </w:pPr>
            <w:r>
              <w:rPr/>
              <w:t> </w:t>
            </w:r>
          </w:p>
        </w:tc>
      </w:tr>
      <w:tr>
        <w:trPr/>
        <w:tc>
          <w:tcPr>
            <w:tcW w:w="3809" w:type="dxa"/>
            <w:tcBorders/>
            <w:shd w:fill="CCEEFF" w:val="clear"/>
            <w:vAlign w:val="center"/>
          </w:tcPr>
          <w:p>
            <w:pPr>
              <w:pStyle w:val="TableContents"/>
              <w:bidi w:val="0"/>
              <w:spacing w:before="0" w:after="283"/>
              <w:jc w:val="left"/>
              <w:rPr/>
            </w:pPr>
            <w:r>
              <w:rPr/>
              <w:t>Foris Ventures LLC(17)</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5,093,705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668,926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4,424,779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2.4</w:t>
            </w:r>
          </w:p>
        </w:tc>
        <w:tc>
          <w:tcPr>
            <w:tcW w:w="237" w:type="dxa"/>
            <w:tcBorders/>
            <w:shd w:fill="CCEEFF" w:val="clear"/>
            <w:vAlign w:val="center"/>
          </w:tcPr>
          <w:p>
            <w:pPr>
              <w:pStyle w:val="TableContents"/>
              <w:bidi w:val="0"/>
              <w:spacing w:before="0" w:after="283"/>
              <w:jc w:val="left"/>
              <w:rPr/>
            </w:pPr>
            <w:r>
              <w:rPr/>
              <w:t>%</w:t>
            </w:r>
          </w:p>
        </w:tc>
      </w:tr>
      <w:tr>
        <w:trPr/>
        <w:tc>
          <w:tcPr>
            <w:tcW w:w="3809" w:type="dxa"/>
            <w:tcBorders/>
            <w:shd w:fill="FFFFFF" w:val="clear"/>
            <w:vAlign w:val="center"/>
          </w:tcPr>
          <w:p>
            <w:pPr>
              <w:pStyle w:val="TableContents"/>
              <w:bidi w:val="0"/>
              <w:spacing w:before="0" w:after="283"/>
              <w:jc w:val="left"/>
              <w:rPr/>
            </w:pPr>
            <w:r>
              <w:rPr/>
              <w:t>Star Charge Americas Corp.(18)</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7,022,663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1,070,082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5,952,381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237" w:type="dxa"/>
            <w:tcBorders/>
            <w:shd w:fill="FFFFFF" w:val="clear"/>
            <w:vAlign w:val="center"/>
          </w:tcPr>
          <w:p>
            <w:pPr>
              <w:pStyle w:val="TableContents"/>
              <w:bidi w:val="0"/>
              <w:spacing w:before="0" w:after="283"/>
              <w:jc w:val="left"/>
              <w:rPr/>
            </w:pPr>
            <w:r>
              <w:rPr/>
              <w:t>%</w:t>
            </w:r>
          </w:p>
        </w:tc>
      </w:tr>
      <w:tr>
        <w:trPr/>
        <w:tc>
          <w:tcPr>
            <w:tcW w:w="38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 </w:t>
            </w:r>
          </w:p>
        </w:tc>
        <w:tc>
          <w:tcPr>
            <w:tcW w:w="237" w:type="dxa"/>
            <w:tcBorders/>
            <w:shd w:fill="CCEEFF" w:val="clear"/>
            <w:vAlign w:val="center"/>
          </w:tcPr>
          <w:p>
            <w:pPr>
              <w:pStyle w:val="TableContents"/>
              <w:bidi w:val="0"/>
              <w:spacing w:before="0" w:after="283"/>
              <w:jc w:val="left"/>
              <w:rPr/>
            </w:pPr>
            <w:r>
              <w:rPr/>
              <w:t> </w:t>
            </w:r>
          </w:p>
        </w:tc>
      </w:tr>
      <w:tr>
        <w:trPr/>
        <w:tc>
          <w:tcPr>
            <w:tcW w:w="3809" w:type="dxa"/>
            <w:tcBorders/>
            <w:shd w:fill="FFFFFF" w:val="clear"/>
            <w:vAlign w:val="center"/>
          </w:tcPr>
          <w:p>
            <w:pPr>
              <w:pStyle w:val="TableContents"/>
              <w:bidi w:val="0"/>
              <w:spacing w:before="0" w:after="283"/>
              <w:jc w:val="left"/>
              <w:rPr>
                <w:b/>
              </w:rPr>
            </w:pPr>
            <w:r>
              <w:rPr>
                <w:b/>
              </w:rPr>
              <w:t>Holders of FPA Shares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r>
      <w:tr>
        <w:trPr/>
        <w:tc>
          <w:tcPr>
            <w:tcW w:w="3809" w:type="dxa"/>
            <w:tcBorders/>
            <w:shd w:fill="CCEEFF" w:val="clear"/>
            <w:vAlign w:val="center"/>
          </w:tcPr>
          <w:p>
            <w:pPr>
              <w:pStyle w:val="TableContents"/>
              <w:bidi w:val="0"/>
              <w:spacing w:before="0" w:after="283"/>
              <w:jc w:val="left"/>
              <w:rPr/>
            </w:pPr>
            <w:r>
              <w:rPr/>
              <w:t>Entities affiliated with Sandia Investment Management(10)</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3,248,976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1,161,093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2,087,883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1.1</w:t>
            </w:r>
          </w:p>
        </w:tc>
        <w:tc>
          <w:tcPr>
            <w:tcW w:w="237" w:type="dxa"/>
            <w:tcBorders/>
            <w:shd w:fill="CCEEFF" w:val="clear"/>
            <w:vAlign w:val="center"/>
          </w:tcPr>
          <w:p>
            <w:pPr>
              <w:pStyle w:val="TableContents"/>
              <w:bidi w:val="0"/>
              <w:spacing w:before="0" w:after="283"/>
              <w:jc w:val="left"/>
              <w:rPr/>
            </w:pPr>
            <w:r>
              <w:rPr/>
              <w:t>%</w:t>
            </w:r>
          </w:p>
        </w:tc>
      </w:tr>
      <w:tr>
        <w:trPr/>
        <w:tc>
          <w:tcPr>
            <w:tcW w:w="3809" w:type="dxa"/>
            <w:tcBorders/>
            <w:shd w:fill="FFFFFF" w:val="clear"/>
            <w:vAlign w:val="center"/>
          </w:tcPr>
          <w:p>
            <w:pPr>
              <w:pStyle w:val="TableContents"/>
              <w:bidi w:val="0"/>
              <w:spacing w:before="0" w:after="283"/>
              <w:jc w:val="left"/>
              <w:rPr/>
            </w:pPr>
            <w:r>
              <w:rPr/>
              <w:t>Polar Multi-Strategy Master Fund(19)</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8,677,773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9,882,067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2,089,728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pPr>
            <w:r>
              <w:rPr/>
              <w:t>1.1</w:t>
            </w:r>
          </w:p>
        </w:tc>
        <w:tc>
          <w:tcPr>
            <w:tcW w:w="237" w:type="dxa"/>
            <w:tcBorders/>
            <w:shd w:fill="FFFFFF" w:val="clear"/>
            <w:vAlign w:val="center"/>
          </w:tcPr>
          <w:p>
            <w:pPr>
              <w:pStyle w:val="TableContents"/>
              <w:bidi w:val="0"/>
              <w:spacing w:before="0" w:after="283"/>
              <w:jc w:val="left"/>
              <w:rPr/>
            </w:pPr>
            <w:r>
              <w:rPr/>
              <w:t>%</w:t>
            </w:r>
          </w:p>
        </w:tc>
      </w:tr>
      <w:tr>
        <w:trPr/>
        <w:tc>
          <w:tcPr>
            <w:tcW w:w="3809" w:type="dxa"/>
            <w:tcBorders/>
            <w:shd w:fill="CCEEFF" w:val="clear"/>
            <w:vAlign w:val="center"/>
          </w:tcPr>
          <w:p>
            <w:pPr>
              <w:pStyle w:val="TableContents"/>
              <w:bidi w:val="0"/>
              <w:spacing w:before="0" w:after="283"/>
              <w:jc w:val="left"/>
              <w:rPr/>
            </w:pPr>
            <w:r>
              <w:rPr/>
              <w:t>Entities affiliated with Meteora Capital, LLC(20)</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13,371,324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7.3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15,226,986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3,220,000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1.8</w:t>
            </w:r>
          </w:p>
        </w:tc>
        <w:tc>
          <w:tcPr>
            <w:tcW w:w="23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1% of the outstanding shares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260"/>
        <w:gridCol w:w="971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183,057,547 shares of our common stock outstanding as of July 16, 2026.</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60"/>
        <w:gridCol w:w="57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being offered pursuant to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10,346,197 shares of common stock and (ii) 8,849,557 shares of common stock issuable upon conversion of 10.0% Notes held by Chicken Parm Pizza LLC. The business address of Chicken Parm Pizza LLC is 1750 West 11400 South, Suite 110, South Jordan, Utah 84095.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2,497,325 shares of common stock being registered hereby and (ii)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485,562 shares held by Rodgers Capital, LLC, (ii) 8,842 shares held by Thurman J. Rodgers, (iii) 28,816,676 shares held by the Rodgers Massey Revocable Living Trust, (iv) 2,471,485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July 16, 2026, and (viii) 116,601 shares issuable pursuant to stock options and restricted stock units exercisable or settleable within 60 days of July 20,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(i) 3,602,720 shares of common stock held of record by CRSEF Solis Holdings, L.L.C. and (ii) 5,952,381 shares of common stock issuable upon the conversion of the 12% Notes held of record by CRSEF Solis Holdings,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managed by CRSEF Lux GP S.a r.l., is the managing member of CG Subsidiary Holdings L.L.C., which is the managing member of TC Group, L.L.C., which is the general partner of TC Group Sub L.P., which is the sole shareholder of CRSEF Lux GP S.a r.l., which is a general partner of Carlyle CRSEF Solis Aggregator, S.C.Sp. The Carlyle Group Inc. is also the sole member of Carlyle Holdings II GP L.L.C., which is the managing member of Carlyle Holdings II L.L.C., which, with respect to the securities managed by CRSEF Managing GP, L.P., is the managing member of CG Subsidiary Holdings L.L.C., which is the general partner of TC Group Cayman Investment Holdings, L.P., which is the general partner of TC Group Cayman Investment Holdings Sub L.P., which is the sole member of CRSEF GP, L.L.C., which is the general partner of CRSEF Managing GP, L.P., which is also a general partner of Carlyle CRSEF Solis Aggregator, S.C.Sp. Carlyle CRSEF Solis Aggregator, S.C.Sp. is the managing member of CRSEF Solis Holdings, L.L.C. Accordingly, each of the entities named above may be deemed to share beneficial ownership of the securities held of record by CRSEF Solis Holdings, L.L.C. Each of them disclaims any such beneficial ownership of such securities. The principal business office address for each of TC Group Cayman Investment Holdings, L.P. and TC Group Cayman Investment Holdings Sub L.P. is c/o Walkers Corporate Limited, 190 Elgin Avenue, George Town, Grand Cayman KY1-9008. The principal business office address for CRSEF Lux GP S.a r.l. is c/o The Carlyle Group, 2, avenue Charles de Gaulle, L-1653 Luxembourg, Luxembourg. The principal business office address for Carlyle CRSEF Solis Aggregator, S.C.Sp. is 9, rue de Bitbourg, L-1273 Luxembourg. The principal business office address for each of the remaining Reporting Persons is c/o The Carlyle Group Inc., 1001 Pennsylvania Avenue NW, Suite 220 South, Washington, DC 20004-2505.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(i) an aggregate of 4,090,149 shares of common stock held by Kline Hill Partners Fund LP (“KHP LP”), Kline Hill Partners IV SPV LLC (“KHP IV SPV”) and Kline Hill Partners Opportunity IV SPV LLC (“KHP Opportunity IV SPV”), (ii) an aggregate of 4,745,675 shares of common stock issuable upon the conversion of the outstanding convertible promissory notes held by KHP LP, KHP IV SPV and KHP Opportunity IV SPV and (iii) an aggregate of 170,486 shares of common stock issuable upon the exercise of warrants held by KHP LP, KHP IV SPV and KHP Opportunity IV SPV. KHP Fund GP is the general partner of KHP LP and may be deemed to share voting, investment and dispositive power with respect to these securities. Kline Hill Partners Fund IV LP (“KHP IV LP”) is the sole member of KHP IV SPV and may be deemed to share voting, investment and dispositive power with respect to these securities. KHP Fund IV GP is the general partner of KHP IV LP and may be deemed to share voting, investment and dispositive power with respect to these securities. KHP Opportunity IV LP is the sole member of KHP Opportunity IV SPV and may be deemed to share voting, investment and dispositive power with respect to these securities. KHP Fund IV GP is the general partner of KHP Opportunity IV LP and may be deemed to share voting, investment and dispositive power with respect to these securities. Michael Bego and Jared Barlow are the managing members of KHP Fund GP and KPH Fund IV GP and may be deemed to share voting, investment and dispositive power with respect to these securities. Other than those securities reported herein as being held directly by such securityholder, each of them disclaims any such beneficial ownership of such securities, except to the extent of their respective pecuniary interest. The business address for Kline Hill is 325 Greenwich Ave., 3rd Floor, Greenwich, CT 06830.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1000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(i)(a) 2,948,650 shares of common stock and (b) 1,020,412 shares of common stock issuable upon conversion of $1,736,000 principal amount of 7% Notes held by Shaolin Capital Partners Master Fund, Ltd., (ii)(a) 1,495,094 shares of common stock and (b) 391,979 shares of common stock issuable upon conversion of $668,000 principal amount of 7% Notes held by MAP 214 Segregated Portfolio, a segregated portfolio of LMA SPC, (iii)(a) 1,439,584 shares of common stock and (b) 546,402 shares of common stock issuable upon conversion of $928,000 principal amount of 7% Notes held by Shaolin Capital Partners SP, a segregated portfolio of PCMP SPC, (iv)(a) 719,717 shares of common stock and (b) 250,292 shares of common stock issuable upon conversion of $428,000 principal amount of 7% Notes held by Eagle Harbor Multi-Strategy Master Fund Limited, and (v)(a) 7,492 shares of common stock and (b) 140,590 shares of common stock issuable upon conversion of $240,000 principal amount of 7% Notes held by LMA SPC – MAP 204 Segregated Portfolio. Shaolin Capital Management LLC (“Shaolin Capital Management”) serves as investment manager for these entities. David Puritz and Michael Jester are the general partners of Shaolin Capital Management and serve as the sub investment advisor to these entities. They have voting and investment control over the shares held by these entities. Mr. Puritz and Mr. Jester disclaim beneficial ownership of the shares held by these entities, except to the extent of their pecuniary interest therein. The principal business address of each of these entities and Shaolin Capital Management is 230 NW 24 Street, Suite 603, Miami, Florida 33127.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874,064 shares of common stock and (b) shares of common stock issuable upon conversion of $7,000,000 principal amount of 7% Notes. The principal business address of the Selling Securityholder is 47281 Bayside Parkway, Fremont CA 94538.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584,795 shares of common stock issuable upon conversion of $1,000,000 principal amount of 7% Notes held by Sandia Investment Management, on behalf of Boothbay Absolute Return Strategies, LP, (ii)(a) 153,336 shares of common stock and (b) 1,105,847 shares of common stock issuable upon conversion of $1,891,000 principal amount of 7% Notes held by Sandia Investment Management, on behalf of Diametric True Alpha Enhanced Market Neutral Master Fund, LP, (iii)(a) 33,964 shares of common stock and (b) 209,941 shares of common stock issuable upon conversion of $359,000 principal amount of 7% Notes held by Sandia Investment Management, on behalf of Diametric True Alpha Market Neutral Master Fund, LP, and (iv) 1,161,093 shares of common stock issued pursuant to an FPA Settlement Agreement.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Boston, Massachusetts 02108.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(a) 249,732 shares of common stock and (b) shares of common stock issuable upon conversion of $2,000,000 principal amount of 7% Notes. The principal business address of the Selling Securityholder is 119 E 59th Street,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187,299 shares of common stock and (ii) shares of common stock issuable upon conversion of $1,500,000 principal amount of 7% Notes.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93,650 shares of common stock and (ii) 438,596 shares of common stock issuable upon conversion of $750,000 principal amount of 7% Notes held by the Dan and Kathy McCranie 2000 Revocable Trust. Daniel McCranie, a member of the Company’s board of directors serves as trustee of the Dan and Kathy McCranie 2000 Revocable Trust. Mr. McCranie disclaims any beneficial ownership of the reported shares other than to the extent of any pecuniary interest therein.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(i) 62,433 shares of common stock and (ii) shares of common stock issuable upon conversion of $500,000 principal amount of 7% Notes.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(i) 24,973 shares of common stock and (ii) shares of common stock issuable upon conversion of $200,000 principal amount of 7% Notes.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12,487 shares of common stock and (ii) shares of common stock issuable upon conversion of $100,000 principal amount of 7% Notes.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668,926 shares of common stock and (ii) shares of common stock issuable upon conversion of 10.0% Notes held by Foris Ventures LLC. The business address of Foris Ventures LLC is 1180 San Carlos Ave., #717, San Carlos, CA 94070.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873" w:type="dxa"/>
            <w:tcBorders/>
            <w:vAlign w:val="center"/>
          </w:tcPr>
          <w:p>
            <w:pPr>
              <w:pStyle w:val="TableContents"/>
              <w:bidi w:val="0"/>
              <w:spacing w:before="0" w:after="283"/>
              <w:jc w:val="both"/>
              <w:rPr/>
            </w:pPr>
            <w:r>
              <w:rPr/>
              <w:t xml:space="preserve">Consists of (i) 1,070,282 shares of common stock and (ii) shares of common stock issuable upon conversion of the 12.0% Notes. </w:t>
            </w:r>
            <w:r>
              <w:rPr>
                <w:rFonts w:ascii="Times New Roman;Times;Serif" w:hAnsi="Times New Roman;Times;Serif"/>
                <w:sz w:val="20"/>
              </w:rPr>
              <w:t>The business address of the selling securityholder is 46583 Fremont Blvd, Fremont, CA 94538.</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8,677,773 shares of common stock held by Polar Multi-Strategy Master Fund, including 6,588,045 FPA Shares. The Maximum Number of Shares of Common Stock Offered Pursuant to this Prospectus includes an additional 3,294,022 FPA Shares that are potentially issuable pursuant to the terms of the FPA Settlement Agreement. The business address of Polar Asset Management Partners Inc. is 16 York Street, Suite 2900, Toronto, Ontario, M5J 0EG.</w:t>
            </w:r>
          </w:p>
        </w:tc>
      </w:tr>
      <w:tr>
        <w:trPr/>
        <w:tc>
          <w:tcPr>
            <w:tcW w:w="319" w:type="dxa"/>
            <w:tcBorders/>
            <w:vAlign w:val="center"/>
          </w:tcPr>
          <w:p>
            <w:pPr>
              <w:pStyle w:val="TableContents"/>
              <w:bidi w:val="0"/>
              <w:spacing w:before="0" w:after="283"/>
              <w:jc w:val="both"/>
              <w:rPr/>
            </w:pPr>
            <w:r>
              <w:rPr/>
              <w:t> </w:t>
            </w:r>
          </w:p>
        </w:tc>
        <w:tc>
          <w:tcPr>
            <w:tcW w:w="9886" w:type="dxa"/>
            <w:tcBorders/>
            <w:vAlign w:val="center"/>
          </w:tcPr>
          <w:p>
            <w:pPr>
              <w:pStyle w:val="TableContents"/>
              <w:bidi w:val="0"/>
              <w:spacing w:before="0" w:after="283"/>
              <w:jc w:val="both"/>
              <w:rPr/>
            </w:pPr>
            <w:r>
              <w:rPr/>
              <w:t> </w:t>
            </w:r>
          </w:p>
        </w:tc>
      </w:tr>
      <w:tr>
        <w:trPr/>
        <w:tc>
          <w:tcPr>
            <w:tcW w:w="3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13,371,324 shares of common stock held by entities managed by Meteora Capital, LLC, including 10,151,324 FPA Shares. The Maximum Number of Shares of Common Stock Offered Pursuant to this Prospectus includes an additional 5,075,662 FPA Shares that are potentially issuable pursuant to the terms of the FPA Settlement Agreement. The business address of Meteora Capital, LLC is 1200 N. Federal Hwy, Ste 200, Boca Raton, FL 33432.</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SunPower’s securities does not purport to be complete and is subject to the Certificate of Incorporation, the Bylaws and the provisions of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Certificate of Incorporation authorizes the issuance of 1,010,000,000 shares, consisting of 1,000,000,000 shares of common stock, $0.0001 par value per share, and 10,000,000 shares of preferred stock, $0.0001 par value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As of June 22, 2026, there were 150,283,214 shares of common stock issued and outstanding and no preferred shares of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or as otherwise provided in any certificate of designation for any series of preferred stock, the holders of common stock possess all voting power for the election of SunPower’s directors and all other matters requiring stockholder action. Holders of common stock are entitled to one vote per share on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such dividends, if any, as may be declared from time to time by SunPower’s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SunPower’s voluntary or involuntary liquidation, dissolution, distribution of assets or winding-up, the holders of common stock will be entitled to receive an equal amount per share of all of SunPower’s assets of whatever kind available for distribution to stockholders, after the rights of the holders of preferred stock have been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preemptive rights or other subscription rights and there are no sinking fund or redemption provisions applicable to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one class of directors and each director generally serves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preferred stock could have the effect of decreasing the trading price of the common stock, restricting dividends on SunPower’s capital stock, diluting the voting power of common stock, impairing the liquidation rights of SunPower’s capital stock, or delaying or preventing a change in control of SunPower.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 and Related Common Stock Issued or Issuable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4,166,667 and 9,722,222 shares of our common stock,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the Third SAFE with the Purchaser in connection with the Purchaser’s investment of $1,000,000.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Thurman J. Rodgers is a trustee of the Purchaser, the Executive Chairman of the SunPower Board, and the Chief Executive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entered into Forward Purchase Agreements with each of the FPA Sellers. Pursuant to the terms of the original Forward Purchase Agreements, the FPA Sellers could purchase through a broker in the open market, from holders of Shares other than the Company or affiliates thereof, the shares purchasable under the Forward Purchase Agreement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While the FPA Sellers had no obligation to purchase any Shares under the Forward Purchase Agreements, the aggregate total FPA Shares that could be purchased under the original Forward Purchase Agreements was no more than 6,720,000 in aggregate. The FPA Sellers could not beneficially own greater than 9.9% of issued and outstanding Shares following the Business Combination as per the Amended and Restated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and the FPA Sellers entered into separate amendments to the Forward Purchase Agreements (the “</w:t>
      </w:r>
      <w:r>
        <w:rPr>
          <w:rFonts w:ascii="Times New Roman;Times;Serif" w:hAnsi="Times New Roman;Times;Serif"/>
          <w:b/>
          <w:i w:val="false"/>
          <w:caps w:val="false"/>
          <w:smallCaps w:val="false"/>
          <w:sz w:val="20"/>
        </w:rPr>
        <w:t>FPA Amendments</w:t>
      </w:r>
      <w:r>
        <w:rPr>
          <w:rFonts w:ascii="Times New Roman;Times;Serif" w:hAnsi="Times New Roman;Times;Serif"/>
          <w:b w:val="false"/>
          <w:i w:val="false"/>
          <w:caps w:val="false"/>
          <w:smallCaps w:val="false"/>
          <w:sz w:val="20"/>
        </w:rPr>
        <w:t>”). The FPA Amendments lower the reset floor price of each Forward Purchase Agreement from $5.00 to $3.00 and allow the Company to raise up to $10.0 million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and May 8, 2024, respectively, the Company entered into the Sandia Second Amendment and the Polar Second Amendment to the Forward Purchase Agreements. The Second Amendments lower the reset price of each Forward Purchase Agreement from $3.00 to $1.00 per share and amend the VWAP trigger event to mean an event that occurs if the VWAP price, for any 20 trading days during a 30 consecutive trading day-period, is below $1.00 per FPA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June 14, 2024, the Company entered into the Sandia Third Amendment. The Sandia Third Amendment sets the reset price of each Forward Purchase Agreement to $1.00 per share and amends the VWAP trigger event to mean an event that occurs if the VWAP price (as defined in the Forward Purchase Agreement), for any 20 trading days during a 30 consecutive trading day-period, is below $1.00 per Share. In the event either Polar or Meteora amend their Forward Purchase Agreements to include different terms from the $1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the Company entered into the third amendment to the Polar Third Amendment, pursuant to which the Company and Polar agreed that most favored nation term of the Forward Purchase Agreement is applicable to all 2,450,000 shares subject to the Forward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Times;Serif" w:hAnsi="Times New Roman;Times;Serif"/>
          <w:b/>
          <w:i w:val="false"/>
          <w:caps w:val="false"/>
          <w:smallCaps w:val="false"/>
          <w:sz w:val="20"/>
        </w:rPr>
        <w:t>Further FPA Amendments</w:t>
      </w:r>
      <w:r>
        <w:rPr>
          <w:rFonts w:ascii="Times New Roman;Times;Serif" w:hAnsi="Times New Roman;Times;Serif"/>
          <w:b w:val="false"/>
          <w:i w:val="false"/>
          <w:caps w:val="false"/>
          <w:smallCaps w:val="false"/>
          <w:sz w:val="20"/>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we entered into OTC Equity Prepaid Forward Transaction Settlement Agreements (the “FPA Settlement Agreements”) with each of the FPA Sellers. The FPA Settlement Agreements memorialize the agreements between the Company and each FPA Seller with respect to (i) the settlement amount adjustment payable by the Company under the Forward Purchase Agreements, (ii) the Company’s election to pay the settlement amount adjustments by issuing an aggregate of 17,900,462 shares of common stock on July 17, 2026, (iii) certain mechanics for determining whether any further shares of common stock are issuable as a result of the trading price of the common stock during the valuation period under the FPA Settlement Agreements and the Forward Purchase Agreements, and (iv) in the case of one FPA Seller, the obligation to make monthly cash amortization payments of $50,000 beginning on October 31, 2026 if such FPA Seller has not realized its full settlement amount adjustment through the sale of shares of common stock on or before such date. The FPA Settlement Agreements also include registration rights with respect to the shares of common stock issued or issuable pursuant to the FPA Settlement Agreements and related Forward Purchase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Merger Warrant entitles the registered holder to purchase one share of common stock at a price of $11.50 per share, subject to adjustment as discussed below. The Public Warrants will expire on July 18, 2028 at 5:00 p.m., Eastern Time or earlier upon redemption or liquidation. The Merger Warrants expire on July 18, 2028 at 5:00 p.m., Eastern Time or earlier upon redemption or liquidation. However, no Public Warrants or Merger Warrants will be exercisable for cash unless SunPower has an effective and current registration statement covering the shares of common stock issuable upon exercise of the Public Warrants and Merger Warrants and a current prospectus relating to such shares of common stock. Notwithstanding the foregoing, if a registration statement covering the shares of common stock issuable upon exercise of the Public Warrants is not effective within 60 days from the Closing, warrant holders may, until such time as there is an effective registration statement and during any period when it shall have failed to maintain an effective registration statement, exercise Public Warrants and Merger Warrants on a cashless basis pursuant to an available exemption from registration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agreements, no fractional warrants will be issued upon separation of the units and only whole warrants will trade. Upon the Closing, SunPower separated the units into shares of common stock and Public Warrants, and the Units stopped trading and were delisted from the New York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underlying the Units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Working Capital Warrants are identical to the Private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SunPower may redeem the outstanding warrants (except as described herein with respect to the Private Warrants and Working Capital Warrants):</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$0.10 per warrant upon a minimum of 30 days’ prior written notice of redemption, provided that holders will be able to exercise their warrants on a cashless basis prior to redemption and receive the number of shares determined by reference to the table set forth below based on the redemption date and the “fair market value” of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Reference Value equals or exceeds $10.00 per share (as adjusted for share sub-divisions, share capitalizations, reorganizations, recapitalizations and the like);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Reference Value is less than $18.00 per share (as adjusted for share sub-divisions, share capitalizations, reorganizations, recapitalizations and the like and as described above adjacent to the caption “Exercise Price”), the Private Warrants must also concurrently be called for redemption on the same terms as the outstanding public warrants, as described above.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Public Warrants are exercised prior to the date specified in the notice of redemption. On and after the redemption date, a record holder of a Public Warrant will have no further rights except to receive the redemption price for such holder’s warrant upon surrender of such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stock may fall below the $18.00 redemption trigger price (as adjusted for share sub-divisions, share capitalizations, reorganizations, recapitalizations and the like and as described below) as well as the $11.50 (for whole shares)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volume-weighted average price of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prices set forth in the column headings of the table below will be adjusted as of any date on which the number of shares issuable upon exercise of a warrant or the exercise price of the warrant is adjusted as set forth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firstLine="360"/>
        <w:jc w:val="both"/>
        <w:rPr>
          <w:caps w:val="false"/>
          <w:smallCaps w:val="false"/>
        </w:rPr>
      </w:pPr>
      <w:r>
        <w:rPr>
          <w:caps w:val="false"/>
          <w:smallCaps w:val="false"/>
        </w:rPr>
        <w:t> </w:t>
      </w:r>
    </w:p>
    <w:tbl>
      <w:tblPr>
        <w:tblW w:w="10460" w:type="dxa"/>
        <w:jc w:val="left"/>
        <w:tblInd w:w="0" w:type="dxa"/>
        <w:tblLayout w:type="fixed"/>
        <w:tblCellMar>
          <w:top w:w="0" w:type="dxa"/>
          <w:left w:w="0" w:type="dxa"/>
          <w:bottom w:w="0" w:type="dxa"/>
          <w:right w:w="0" w:type="dxa"/>
        </w:tblCellMar>
      </w:tblPr>
      <w:tblGrid>
        <w:gridCol w:w="3365"/>
        <w:gridCol w:w="60"/>
        <w:gridCol w:w="60"/>
        <w:gridCol w:w="560"/>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5"/>
        <w:gridCol w:w="60"/>
        <w:gridCol w:w="60"/>
        <w:gridCol w:w="60"/>
        <w:gridCol w:w="560"/>
        <w:gridCol w:w="75"/>
      </w:tblGrid>
      <w:tr>
        <w:trPr/>
        <w:tc>
          <w:tcPr>
            <w:tcW w:w="3365" w:type="dxa"/>
            <w:tcBorders/>
            <w:vAlign w:val="center"/>
          </w:tcPr>
          <w:p>
            <w:pPr>
              <w:pStyle w:val="TableContents"/>
              <w:bidi w:val="0"/>
              <w:spacing w:before="0" w:after="283"/>
              <w:jc w:val="left"/>
              <w:rPr>
                <w:b/>
              </w:rPr>
            </w:pPr>
            <w:r>
              <w:rPr>
                <w:b/>
              </w:rPr>
              <w:t>Redemption Date</w:t>
            </w:r>
          </w:p>
        </w:tc>
        <w:tc>
          <w:tcPr>
            <w:tcW w:w="60" w:type="dxa"/>
            <w:tcBorders/>
            <w:vAlign w:val="center"/>
          </w:tcPr>
          <w:p>
            <w:pPr>
              <w:pStyle w:val="TableContents"/>
              <w:bidi w:val="0"/>
              <w:spacing w:before="0" w:after="283"/>
              <w:jc w:val="left"/>
              <w:rPr/>
            </w:pPr>
            <w:r>
              <w:rPr/>
              <w:t> </w:t>
            </w:r>
          </w:p>
        </w:tc>
        <w:tc>
          <w:tcPr>
            <w:tcW w:w="6960"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Fair Market Value of Common Stock</w:t>
            </w:r>
          </w:p>
        </w:tc>
        <w:tc>
          <w:tcPr>
            <w:tcW w:w="75" w:type="dxa"/>
            <w:tcBorders/>
            <w:vAlign w:val="center"/>
          </w:tcPr>
          <w:p>
            <w:pPr>
              <w:pStyle w:val="TableContents"/>
              <w:bidi w:val="0"/>
              <w:spacing w:before="0" w:after="283"/>
              <w:jc w:val="left"/>
              <w:rPr/>
            </w:pPr>
            <w:r>
              <w:rPr/>
              <w:t> </w:t>
            </w:r>
          </w:p>
        </w:tc>
      </w:tr>
      <w:tr>
        <w:trPr/>
        <w:tc>
          <w:tcPr>
            <w:tcW w:w="3365" w:type="dxa"/>
            <w:tcBorders>
              <w:bottom w:val="single" w:sz="12" w:space="0" w:color="000000"/>
            </w:tcBorders>
            <w:tcMar>
              <w:bottom w:w="28" w:type="dxa"/>
            </w:tcMar>
            <w:vAlign w:val="center"/>
          </w:tcPr>
          <w:p>
            <w:pPr>
              <w:pStyle w:val="TableContents"/>
              <w:bidi w:val="0"/>
              <w:spacing w:before="0" w:after="283"/>
              <w:jc w:val="left"/>
              <w:rPr>
                <w:b/>
              </w:rPr>
            </w:pPr>
            <w:r>
              <w:rPr>
                <w:b/>
              </w:rPr>
              <w:t>(period to expiration of warrants)</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$18.00</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60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57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54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51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48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45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42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39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36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33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30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27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24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21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18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15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12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9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6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3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0.361</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0 months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our shares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dated February 25, 2021 between us and our Transfer Agent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we agreed to register the shares issuable upon exercise of the Warrants following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Freedom Acquisition I LLC, certain of our equity holders and certain of their respective affiliates, as applicable, and the other parties thereto, are party to an Amended and Restated Registration Rights Agreement, dated July 17, 2023 (the “</w:t>
      </w:r>
      <w:r>
        <w:rPr>
          <w:rFonts w:ascii="Times New Roman;Times;Serif" w:hAnsi="Times New Roman;Times;Serif"/>
          <w:b/>
          <w:i w:val="false"/>
          <w:caps w:val="false"/>
          <w:smallCaps w:val="false"/>
          <w:sz w:val="20"/>
        </w:rPr>
        <w:t>A&amp;R Registration Rights Agreement</w:t>
      </w:r>
      <w:r>
        <w:rPr>
          <w:rFonts w:ascii="Times New Roman;Times;Serif" w:hAnsi="Times New Roman;Times;Serif"/>
          <w:b w:val="false"/>
          <w:i w:val="false"/>
          <w:caps w:val="false"/>
          <w:smallCaps w:val="false"/>
          <w:sz w:val="20"/>
        </w:rPr>
        <w:t>”), pursuant to which we granted customary registration rights to the parties thereto, including to register for resale, pursuant to Rule 415 under the Securities Act, certain of our securities held by the parties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certain payees under certain of our outstanding indebtedness are entitled to certain registration rights relating to the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Demand Registration Rights under Forward Purchase Agreements, FPA Settlement Agreements and PIPE Subscription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Forward Purchase Agreements, dated July 13, 2023, between the Company and the FPA Sellers, within 30 days after receipt of a written request from an FPA Seller, we are required to file a registration statement with the SEC registering the resale of all shares held by the applicable FPA Seller and to cause such registration statement to be declared effective. Pursuant to the FPA Settlement Agreements, dated July 17, 2026, the Company agreed to register the shares of common stock issued or issuable pursuant to the FPA Settlement Agreements. The FPA Sellers are also parties to Subscription Agreements dated July 13, 2023 with FACT that provided registration rights with respect to the subscribed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Ayna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to purchase up to 6,000,000 shares of common stock (the “</w:t>
      </w:r>
      <w:r>
        <w:rPr>
          <w:rFonts w:ascii="Times New Roman;Times;Serif" w:hAnsi="Times New Roman;Times;Serif"/>
          <w:b/>
          <w:i w:val="false"/>
          <w:caps w:val="false"/>
          <w:smallCaps w:val="false"/>
          <w:sz w:val="20"/>
        </w:rPr>
        <w:t>Ayna Warrant</w:t>
      </w:r>
      <w:r>
        <w:rPr>
          <w:rFonts w:ascii="Times New Roman;Times;Serif" w:hAnsi="Times New Roman;Times;Serif"/>
          <w:b w:val="false"/>
          <w:i w:val="false"/>
          <w:caps w:val="false"/>
          <w:smallCaps w:val="false"/>
          <w:sz w:val="20"/>
        </w:rPr>
        <w:t>”) issued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on June 17, 2024, Ayna has piggy-back registration rights if we propose to register any of our common stock under the Securities Act in connection with a public offering of such securities solely for cash. Additionally, Ayna has Form S-3 demand registration rights if the Ayna Warrant has been exercised in full, we are eligible to use Form S-3, and Ayna requests that we file a Form S-3 registration statement with respect to all of the shares of common stock then held by Ayna. We filed such Form S-3 registration statement on December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Ayna 2026 Warrant, Ayna has demand and piggy-back registration rights with respect to the common stock issuable upon exercise of the Ayan 2026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Exchange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Agreement dated July 1, 2024 between the Company, CSEF Holdings, LLC and its affiliates (“</w:t>
      </w:r>
      <w:r>
        <w:rPr>
          <w:rFonts w:ascii="Times New Roman;Times;Serif" w:hAnsi="Times New Roman;Times;Serif"/>
          <w:b/>
          <w:i w:val="false"/>
          <w:caps w:val="false"/>
          <w:smallCaps w:val="false"/>
          <w:sz w:val="20"/>
        </w:rPr>
        <w:t>Carlyle</w:t>
      </w:r>
      <w:r>
        <w:rPr>
          <w:rFonts w:ascii="Times New Roman;Times;Serif" w:hAnsi="Times New Roman;Times;Serif"/>
          <w:b w:val="false"/>
          <w:i w:val="false"/>
          <w:caps w:val="false"/>
          <w:smallCaps w:val="false"/>
          <w:sz w:val="20"/>
        </w:rPr>
        <w:t>”) and Kline Hill, we agreed to file a registration statement with respect to resale of 1,500,000 shares of common stock issued to Kline Hill and with respect to the shares of common stock issuable upon conversion of 12.00% Notes due 2029 issued to Kline Hill and Carlyle. We filed such Form S-3 registration statement with respect to the securities held by Kline Hill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White Lion Transaction Registration Rights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we entered into the White Lion Purchase Agreement with White Lion (the “</w:t>
      </w:r>
      <w:r>
        <w:rPr>
          <w:rFonts w:ascii="Times New Roman;Times;Serif" w:hAnsi="Times New Roman;Times;Serif"/>
          <w:b/>
          <w:i w:val="false"/>
          <w:caps w:val="false"/>
          <w:smallCaps w:val="false"/>
          <w:sz w:val="20"/>
        </w:rPr>
        <w:t>White Lion Purchase Agreement</w:t>
      </w:r>
      <w:r>
        <w:rPr>
          <w:rFonts w:ascii="Times New Roman;Times;Serif" w:hAnsi="Times New Roman;Times;Serif"/>
          <w:b w:val="false"/>
          <w:i w:val="false"/>
          <w:caps w:val="false"/>
          <w:smallCaps w:val="false"/>
          <w:sz w:val="20"/>
        </w:rPr>
        <w:t>”). In connection with the White Lion Purchase Agreement, we entered into a registration rights agreement with White Lion providing for the resale of the shares purchased by White Lion under the White Lion Purchase Agreement. We completed the initial filing of such registration statement on July 24, 2024.</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Yorkville Registration Rights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the SEPA with Yorkville. In connection with the SEPA, we entered into the RRA with Yorkville providing for the resale of the shares purchased by Yorkville under the SEPA and the Commitment Shares and the Conversion Shares. On March 6, 2026, we entered into the March 2026 YA RRA with Yorkville providing for the resale of the shares of our common stock issuable upon the exercise of the YA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Note Purchase Agreements for 7.00% Notes due 2029</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7.00% Notes require SunPower to file a registration statement with the SEC to register the resale of the maximum number of shares of common stock issuable upon conversion of the 7.00% Notes due 2029 and to use commercially reasonable efforts to have such registration statement declared effective as soon as practicable after filing.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Note Purchase Agreements for 10.00% Convertible Senior Secured Notes due 2029; Registration Rights Under Exchange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10.00% Notes require SunPower to file a registration statement with the SEC to register the resale of the maximum number of shares of common stock issuable upon conversion of the 10% Notes and to use commercially reasonable efforts to have such registration statement declared effective as soon as practicable after filing. Additionally, the exchange agreements entered into by SunPower and certain holders of its 7.00% Notes require SunPower to file a registration statement with the SEC to register the resale of the common stock issued pursuant to the exchange agreements and to use commercially reasonable efforts to have such registration statement declared effective as soon as practicable after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Membership Interest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September 21, 2025 with the Company, Chicken Parm Pizza LLC and Sunder Energy LLC provides that we are required to file an initial registration statement on Form S-1 with the SEC with respect to the shares of our common stock issued and issuable as consideration for the acquisition of Sunder Energy on or before the six month anniversary of the closing date of the transactions under such Membership Interest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November 21, 2025 with Ambia Holdings, Inc. and Ambia Energy, LLC provides that we are required to file an initial registration statement on Form S-1 with the SEC with respect to the shares of our common stock issued and issuable as consideration for the acquisition of Ambia Energy within 10 calendar days after we file an amendment to our Current Report on Form 8-K to file the financial statements required to be filed by SunPower pursuant to Item 9.01(a)(3) of Current Report Form 8-K in respect of the transactions contemplated by the Ambia Membership Interest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Exchange Agreements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Agreements between the holders of certain of the 7.0% Notes, 10.0% Notes and 12.0% Notes provide that we are required to file registration statement registering the Exchange Shares on or before July 15, 2026 and to use commercially reasonable efforts to have such registration statement declared effective as soon as practicable after filing.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Governing Documents: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720" w:right="0" w:hanging="36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the authorized number of directors may be changed only by resolution of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SunPower’s stockholders may be called by the chairperson of our Board, the chief executive officer or by our Board pursuant to a resolution adopted by a majority of the total number of authorized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all of the then-outstanding capital stock entitled to vote generally in the election of directors. The combination of these provisions will make it more difficult for the existing stockholders to replace our Board as well as for another party to obtain control of SunPower by replacing our Board. Because the our Board has the power to retain and discharge its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and its policies and to discourage coercive takeover practices and inadequate takeover bids. These provisions are also designed to reduce SunPower’s vulnerability to hostile takeovers and to discourage certain tactics that may be used in proxy fights. However, such provisions could have the effect of discouraging others from making tender offers for SunPower’s shares and may have the effect of delaying changes in our control or management. As a consequence, these provisions may also inhibit fluctuations in the market price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Anti-Takeover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opted out of Section 203 of the DGCL. However, the Certificate of Incorporation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the date of the transaction, our Board approved either the business combination or the transaction which resulted in the stockholder becoming an interested stockholder;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interested stockholder owned at least 85% of our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or subsequent to the consummation of the transaction, the business combination is approved by our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our outstanding voting stock. These provisions may encourage companies interested in acquiring SunPower to negotiate in advance with our Board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the SunPower Board and may make it more difficult to accomplish transactions which stockholders may otherwise deem to be in their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w:t>
      </w:r>
    </w:p>
    <w:p>
      <w:pPr>
        <w:pStyle w:val="TextBody"/>
        <w:bidi w:val="0"/>
        <w:spacing w:before="0" w:after="0"/>
        <w:ind w:left="0" w:right="0" w:firstLine="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derivative action or proceeding brought on SunPower’s behalf;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of breach of a fiduciary duty owed by any of SunPower’s directors, officers, or other employees to SunPower or our stockholders;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arising out of or pursuant to any provision of the DGCL, the Certificate of Incorporation or the Bylaws;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to interpret, apply, enforce or determine the validity of the Certificate of Incorporation or the Bylaws (including any right, obligation, or remedy thereunder);</w:t>
            </w:r>
          </w:p>
        </w:tc>
      </w:tr>
    </w:tbl>
    <w:p>
      <w:pPr>
        <w:pStyle w:val="TextBody"/>
        <w:bidi w:val="0"/>
        <w:spacing w:before="0" w:after="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 to which the DGCL confers jurisdiction to the Court of Chancery of the State of Delaware;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that is governed by the internal affairs doctrine, in all cases to the fullest extent permitted by law and subject to the court’s having personal jurisdiction over the indispensable parties named as defendants.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 of forum provision would not apply to suits brought to enforce a duty or liability created by the Exchange Act or any other claim for which the federal courts have exclusive jurisdiction, or the Securities Act. The Certificate of Incorporation further provides that, unless SunPower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the Certificate of Incorporation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under the symbols “SPWR” and “SPWRW,” respectively.</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Material U.S. Federal Income Tax Consequences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generally applicable to the ownership and disposition of our common stock and the exercise, disposition and lapse of our Warrants. The common stock and the Warrants are referred to collectively herein as our securities. All prospective holders of our securities should consult their tax advisors with respect to the U.S. federal, state, local and non-U.S.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not a complete analysis of all potential U.S. federal income tax consequences relating to the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ownership or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S corporations, and certain former U.S. citizens or long-term residents.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and the activities of the partnership. Such partners and partnerships should consult their tax advisors regarding the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a beneficial owner of our securities (other than a partnership or an entity or arrangement treated as a partnership for U.S. federal income tax purposes)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an entity treated as a corporation for U.S. federal income tax purposes, created or organized in the United States or under the laws of the United States or of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 beneficial owner of our securities that is neither a U.S. Holder nor a partnership or an entity or arrangement treated as a partnership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or deemed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Times;Serif" w:hAnsi="Times New Roman;Times;Serif"/>
          <w:b w:val="false"/>
          <w:i/>
          <w:caps w:val="false"/>
          <w:smallCaps w:val="false"/>
          <w:sz w:val="20"/>
        </w:rPr>
        <w:t>- Tax Considerations Applicable to U.S. Holders - Gain or Loss on Sale, Taxable Exchange or Other Taxable Disposition of Common Stock</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generally will qualify for the dividends received deduction if the requisite holding period is satisfied.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or Loss on Sale, Taxable Exchange or Other Taxable Disposition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disposed of exceeds one year at the time of disposition. The amount of gain or loss recognized generally will be equal to the difference between (1) the sum of the amount of cash and the fair market value of any property received in such disposition and (2) the U.S. Holder’s adjusted tax basis in its common stock disposed of. A U.S. Holder’s adjusted tax basis in its common stock generally will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generally are eligible under current law for reduced rates of tax. If the U.S. Holder’s holding period for the common stock disposed of is one year or less at the time of disposition, any gain on a taxable disposition of our common stock would be subject to short-term capital gain treatment and would be taxed at ordinary income tax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taxable gain or loss upon the exercise of a Warrant for cash. The U.S. Holder’s initial tax basis in the shares of our common stock received upon exercise of the Warrant generally will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U.S. holders are urged to consult their tax advisors as to the consequences of an exercise of a Warrant on a cashless basis, including with respect to their holding period and tax basis in the common stock received upon exercise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Expiration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Warrant, a U.S. Holder will recognize taxable gain or loss in an amount equal to the difference between (1) the amount realized upon such disposition and (2) the U.S. Holder’s adjusted tax basis in the Warrant. A U.S. Holder’s adjusted tax basis in its Warrants generally will equal the U.S. Holder’s acquisition cost of the Warrant, increased by the amount of any constructive distributions included in income by such U.S. Holder (as described below under “</w:t>
      </w:r>
      <w:r>
        <w:rPr>
          <w:rFonts w:ascii="Times New Roman;Times;Serif" w:hAnsi="Times New Roman;Times;Serif"/>
          <w:b w:val="false"/>
          <w:i/>
          <w:caps w:val="false"/>
          <w:smallCaps w:val="false"/>
          <w:sz w:val="20"/>
        </w:rPr>
        <w:t>Tax Considerations Applicable to U.S. Holders - Possible Constructive Distributions</w:t>
      </w:r>
      <w:r>
        <w:rPr>
          <w:rFonts w:ascii="Times New Roman;Times;Serif" w:hAnsi="Times New Roman;Times;Serif"/>
          <w:b w:val="false"/>
          <w:i w:val="false"/>
          <w:caps w:val="false"/>
          <w:smallCaps w:val="false"/>
          <w:sz w:val="20"/>
        </w:rPr>
        <w:t>”). Such gain or loss generally will be treated as long-term capital gain or loss if the Warrant is held by the U.S. Holder for more than one year at the time of such disposition or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Warrant expires unexercised, a U.S. Holder generally will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Times;Serif" w:hAnsi="Times New Roman;Times;Serif"/>
          <w:b w:val="false"/>
          <w:i/>
          <w:caps w:val="false"/>
          <w:smallCaps w:val="false"/>
          <w:sz w:val="20"/>
        </w:rPr>
        <w:t>Tax Considerations Applicable to U.S. Holders - Taxation of Distributions</w:t>
      </w:r>
      <w:r>
        <w:rPr>
          <w:rFonts w:ascii="Times New Roman;Times;Serif" w:hAnsi="Times New Roman;Times;Serif"/>
          <w:b w:val="false"/>
          <w:i w:val="false"/>
          <w:caps w:val="false"/>
          <w:smallCaps w:val="false"/>
          <w:sz w:val="20"/>
        </w:rPr>
        <w:t>” in the same manner as if such 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distributions paid to a U.S. Holder and to the proceeds of the sale or other disposition of our securities,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such U.S. Holder is subject to backup withholding (and such notification has not been withdrawn). 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(including constructive distributions) we make to a non-U.S. Holder of shares on our common stock, to the extent paid or deemed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w:t>
      </w:r>
      <w:r>
        <w:rPr>
          <w:rFonts w:ascii="Times New Roman;Times;Serif" w:hAnsi="Times New Roman;Times;Serif"/>
          <w:b w:val="false"/>
          <w:i/>
          <w:caps w:val="false"/>
          <w:smallCaps w:val="false"/>
          <w:sz w:val="20"/>
        </w:rPr>
        <w:t>- Tax Considerations Applicable to Non-U.S. Holders - Possible Constructive Distributions</w:t>
      </w:r>
      <w:r>
        <w:rPr>
          <w:rFonts w:ascii="Times New Roman;Times;Serif" w:hAnsi="Times New Roman;Times;Serif"/>
          <w:b w:val="false"/>
          <w:i w:val="false"/>
          <w:caps w:val="false"/>
          <w:smallCaps w:val="false"/>
          <w:sz w:val="20"/>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In addition, if we determine that we are likely to be classified as a “United States real property holding corporation” (see the section entitled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we will withhold 15% of any distribution that exceeds our current and accumulated earnings and profits.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such non-U.S. Holder’s conduct of a trade or business within the United States (and, if a tax treaty applies, are attributable to a U.S. permanent establishment or fixed base maintained by the non-U.S. Holder) generally will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a non-U.S. Holder’s exercise of a Warrant generally will correspond to the U.S. federal income tax treatment of the exercise of a Warrant by a U.S. Holder, as described under “</w:t>
      </w:r>
      <w:r>
        <w:rPr>
          <w:rFonts w:ascii="Times New Roman;Times;Serif" w:hAnsi="Times New Roman;Times;Serif"/>
          <w:b w:val="false"/>
          <w:i/>
          <w:caps w:val="false"/>
          <w:smallCaps w:val="false"/>
          <w:sz w:val="20"/>
        </w:rPr>
        <w:t>- Tax Considerations Applicable to U.S. Holders - Exercise of a Warrant</w:t>
      </w:r>
      <w:r>
        <w:rPr>
          <w:rFonts w:ascii="Times New Roman;Times;Serif" w:hAnsi="Times New Roman;Times;Serif"/>
          <w:b w:val="false"/>
          <w:i w:val="false"/>
          <w:caps w:val="false"/>
          <w:smallCaps w:val="false"/>
          <w:sz w:val="20"/>
        </w:rPr>
        <w:t>” above, although to the extent a cashless exercise results in a taxable exchange, the tax consequences to the non-U.S. Holder would be the same as those described below in “</w:t>
      </w:r>
      <w:r>
        <w:rPr>
          <w:rFonts w:ascii="Times New Roman;Times;Serif" w:hAnsi="Times New Roman;Times;Serif"/>
          <w:b w:val="false"/>
          <w:i/>
          <w:caps w:val="false"/>
          <w:smallCaps w:val="false"/>
          <w:sz w:val="20"/>
        </w:rPr>
        <w:t>- 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Sale, Exchange or Other Taxable Disposition of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an individual who is present in the United States for 183 days or more in the taxable year of disposition and certain other conditions are met;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has owned, actually or constructively, more than 5% of our common stock at any time within the relevant period or (ii) provided that our Warrants are regularly traded on an established securities market, the non-U.S. Holder has owned, actually or constructively, more than 5% of our Warrants at any time within the within the relevant period. It is unclear how a non-U.S. Holder’s ownership of Warrants will affect the determination of whether the non-U.S. Holder owns more than 5% of our common stock. In addition, special rules may apply in the case of a disposition of warrants if our common stock is considered to be regularly traded, but our Warrants are not considered to be regularly traded. There can be no assurance that our common stock or Warrants will or will not be treated as regularly traded on an established securities market for this purpose.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generally will be subject to a flat 30% U.S. federal income tax. Non-U.S. Holders are urged to consult their tax advisors regarding possible eligibility for benefits under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that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A non-U.S. Holder would be subject to U.S. federal income tax withholding as described above under “</w:t>
      </w:r>
      <w:r>
        <w:rPr>
          <w:rFonts w:ascii="Times New Roman;Times;Serif" w:hAnsi="Times New Roman;Times;Serif"/>
          <w:b w:val="false"/>
          <w:i/>
          <w:caps w:val="false"/>
          <w:smallCaps w:val="false"/>
          <w:sz w:val="20"/>
        </w:rPr>
        <w:t>Tax Considerations Applicable to Non-U.S. Holders - Taxation of Distributions</w:t>
      </w:r>
      <w:r>
        <w:rPr>
          <w:rFonts w:ascii="Times New Roman;Times;Serif" w:hAnsi="Times New Roman;Times;Serif"/>
          <w:b w:val="false"/>
          <w:i w:val="false"/>
          <w:caps w:val="false"/>
          <w:smallCaps w:val="false"/>
          <w:sz w:val="20"/>
        </w:rPr>
        <w:t>” under that section in the same manner as if such non-U.S.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(commonly referred to as the “</w:t>
      </w:r>
      <w:r>
        <w:rPr>
          <w:rFonts w:ascii="Times New Roman;Times;Serif" w:hAnsi="Times New Roman;Times;Serif"/>
          <w:b/>
          <w:i w:val="false"/>
          <w:caps w:val="false"/>
          <w:smallCaps w:val="false"/>
          <w:sz w:val="20"/>
        </w:rPr>
        <w:t>Foreign Account Tax Compliance Act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and Treasury Regulations and administrative guidance promulgated thereunder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FATCA withholding currently applies to payments of dividends. The U.S. Treasury Department has released proposed regulations which, if finalized in their present form, would eliminate the federal withholding tax of 30% applicable to the gross proceeds of a disposition of our securities.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distributions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by the Selling Securityholders named in this prospectus, or their permitted transferees, of up to 45,571,137 shares of common stock, consisting of (i) 19,300,991 shares of common stock previously issued by us pursuant to the Exchange Agreements and (ii) a total of 26,270,146 FPA Shares, consisting of 17,900,000 shares of common stock issued pursuant to the FPA Settlement Agreements and an additional 8,369,684 shares of common stock that may be issuable pursuant to the FPA Settlement Agreements. The shares of common stock offered by this prospectus are being offered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of our common stock offered by this prospectus could be effected in one or more of the following methods:</w:t>
      </w:r>
    </w:p>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brokers’ transactions;</w:t>
            </w:r>
          </w:p>
        </w:tc>
      </w:tr>
    </w:tbl>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involving cross or block trades;</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brokers, dealers, or underwriters who may act solely as agents;</w:t>
            </w:r>
          </w:p>
        </w:tc>
      </w:tr>
    </w:tbl>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w:t>
            </w:r>
            <w:r>
              <w:rPr>
                <w:rFonts w:ascii="Times New Roman;Times;Serif" w:hAnsi="Times New Roman;Times;Serif"/>
                <w:sz w:val="20"/>
              </w:rPr>
              <w:t>at the market” into an existing market for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other ways not involving market makers or established business markets, including direct sales to purchasers or sales effected through agents;</w:t>
            </w:r>
          </w:p>
        </w:tc>
      </w:tr>
    </w:tbl>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170"/>
        <w:gridCol w:w="3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privately negotiated transactions; or</w:t>
            </w:r>
          </w:p>
        </w:tc>
      </w:tr>
    </w:tbl>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70"/>
        <w:gridCol w:w="2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combination of the foregoing.</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securities that qualify for sale pursuant to Rule 144 may be sold under Rule 144 rather than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w:t>
      </w:r>
      <w:r>
        <w:rPr>
          <w:rFonts w:ascii="Times New Roman;Times;Serif" w:hAnsi="Times New Roman;Times;Serif"/>
          <w:b w:val="false"/>
          <w:i/>
          <w:caps w:val="false"/>
          <w:smallCaps w:val="false"/>
          <w:sz w:val="20"/>
        </w:rPr>
        <w:t>pro rata </w:t>
      </w:r>
      <w:r>
        <w:rPr>
          <w:rFonts w:ascii="Times New Roman;Times;Serif" w:hAnsi="Times New Roman;Times;Serif"/>
          <w:b w:val="false"/>
          <w:i w:val="false"/>
          <w:caps w:val="false"/>
          <w:smallCaps w:val="false"/>
          <w:sz w:val="20"/>
        </w:rPr>
        <w:t>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Securityholders through this prospectus. The compensation paid to any such particular broker-dealer by any such purchasers of shares of our common stock sold by the Selling Securityholders may be less than or in excess of customary commissions. Neither we nor the Selling Securityholders can presently estimate the amount of compensation that any agent will receive from any purchasers of shares of our common stock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any of the Selling Securityholders or any other stockholder, broker, dealer, underwriter or agent relating to the sale or distribution of the shares of our common stock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Securityholders, including the names of any brokers, dealers, underwriters or agents participating in the distribution of such shares by the Selling Securityholders, any compensation paid by the Selling Securityholders to any such brokers, dealers, underwriters or agents, and any other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Securityholders against certain liabilities, including liabilities under the Securities Act and state securities laws, relating to the registration of the Offered Securities by this prospectus.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“SPWR”.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Arnold &amp; Porter Kaye Scholer LLP, New York,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SunPower Inc. (the “Company”) as of December 28, 2025 and December 29, 2024 and for the fiscal years then ended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Sunder Energy LLC as of and for the years ended December 31, 2024 and 2023 included in this prospectus and in the Registration Statement have been so included in reliance on the report of BDO USA, P.C., independent auditors, given on the authority of said firm as experts in auditing and accounting. The report on the financial statements contains an explanatory paragraph regarding Sunder Energy LLC’s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Ambia Energy, LLC as of and for the fiscal year ended December 31, 2024 included in this prospectus and in the Registration Statement have been so included in reliance upon the report of Tanner LLP, given on the authority of said firm as experts in accounting and auditing.</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SunPower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https://www.sunpower.com/, at which you may access these materials free of charge as soon as reasonably practicable after they are electronically filed with, or furnished to, the SEC. The information contained in, or that can be accessed through, our website is not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19"/>
        <w:gridCol w:w="60"/>
        <w:gridCol w:w="426"/>
      </w:tblGrid>
      <w:tr>
        <w:trPr/>
        <w:tc>
          <w:tcPr>
            <w:tcW w:w="971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1">
              <w:r>
                <w:rPr>
                  <w:rStyle w:val="InternetLink"/>
                  <w:rFonts w:ascii="Times New Roman;Times;Serif" w:hAnsi="Times New Roman;Times;Serif"/>
                  <w:b w:val="false"/>
                  <w:i w:val="false"/>
                  <w:caps w:val="false"/>
                  <w:smallCaps w:val="false"/>
                  <w:sz w:val="20"/>
                </w:rPr>
                <w:t>Unaudited Condensed Consolidated Balance Sheets as of March 29, 2026 and December 28,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2">
              <w:r>
                <w:rPr>
                  <w:rStyle w:val="InternetLink"/>
                  <w:rFonts w:ascii="Times New Roman;Times;Serif" w:hAnsi="Times New Roman;Times;Serif"/>
                  <w:b w:val="false"/>
                  <w:i w:val="false"/>
                  <w:caps w:val="false"/>
                  <w:smallCaps w:val="false"/>
                  <w:sz w:val="20"/>
                </w:rPr>
                <w:t>Unaudited Condensed Consolidated Statements of Operations and Comprehensive Income (Loss) as of March 28, 2026 and March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3">
              <w:r>
                <w:rPr>
                  <w:rStyle w:val="InternetLink"/>
                  <w:rFonts w:ascii="Times New Roman;Times;Serif" w:hAnsi="Times New Roman;Times;Serif"/>
                  <w:b w:val="false"/>
                  <w:i w:val="false"/>
                  <w:caps w:val="false"/>
                  <w:smallCaps w:val="false"/>
                  <w:sz w:val="20"/>
                </w:rPr>
                <w:t>Unaudited Condensed Consolidated Statements of Stockholders’ Deficit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4">
              <w:r>
                <w:rPr>
                  <w:rStyle w:val="InternetLink"/>
                  <w:rFonts w:ascii="Times New Roman;Times;Serif" w:hAnsi="Times New Roman;Times;Serif"/>
                  <w:b w:val="false"/>
                  <w:i w:val="false"/>
                  <w:caps w:val="false"/>
                  <w:smallCaps w:val="false"/>
                  <w:sz w:val="20"/>
                </w:rPr>
                <w:t>Unaudited Condensed Consolidated Statements of Cash Flows as of March 28, 2026 and March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b w:val="false"/>
                  <w:i w:val="false"/>
                  <w:caps w:val="false"/>
                  <w:smallCaps w:val="false"/>
                  <w:strike w:val="false"/>
                  <w:dstrike w:val="false"/>
                  <w:sz w:val="20"/>
                  <w:u w:val="none"/>
                  <w:effect w:val="none"/>
                </w:rPr>
                <w:t xml:space="preserve">Report of Independent Registered Public Accounting Firm </w:t>
              </w:r>
            </w:hyperlink>
            <w:hyperlink w:anchor="C_001">
              <w:r>
                <w:rPr>
                  <w:rStyle w:val="InternetLink"/>
                  <w:rFonts w:ascii="Times New Roman;Times;Serif" w:hAnsi="Times New Roman;Times;Serif"/>
                  <w:b w:val="false"/>
                  <w:i/>
                  <w:caps w:val="false"/>
                  <w:smallCaps w:val="false"/>
                  <w:strike w:val="false"/>
                  <w:dstrike w:val="false"/>
                  <w:sz w:val="20"/>
                  <w:u w:val="none"/>
                  <w:effect w:val="none"/>
                </w:rPr>
                <w:t>(PCAOB ID 243)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b w:val="false"/>
                  <w:i w:val="false"/>
                  <w:caps w:val="false"/>
                  <w:smallCaps w:val="false"/>
                  <w:strike w:val="false"/>
                  <w:dstrike w:val="false"/>
                  <w:sz w:val="20"/>
                  <w:u w:val="none"/>
                  <w:effect w:val="none"/>
                </w:rPr>
                <w:t>Consolidated Balance Sheets as of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Operations and Comprehensive Loss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Stockholders’ Deficit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Cash Flows for the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b w:val="false"/>
                  <w:i w:val="false"/>
                  <w:caps w:val="false"/>
                  <w:smallCaps w:val="false"/>
                  <w:strike w:val="false"/>
                  <w:dstrike w:val="false"/>
                  <w:sz w:val="20"/>
                  <w:u w:val="none"/>
                  <w:effect w:val="none"/>
                </w:rPr>
                <w:t>Notes to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2"/>
        <w:gridCol w:w="60"/>
        <w:gridCol w:w="473"/>
      </w:tblGrid>
      <w:tr>
        <w:trPr/>
        <w:tc>
          <w:tcPr>
            <w:tcW w:w="967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3"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Sunder Energy LLC (For the Years ended December 31, 2024 and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Sunder Energy LLC (as of June 30, 2025 and December 31, 2024 and the six months ended June 30, 2025 and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1">
              <w:r>
                <w:rPr>
                  <w:rStyle w:val="InternetLink"/>
                  <w:rFonts w:ascii="Times New Roman;Times;Serif" w:hAnsi="Times New Roman;Times;Serif"/>
                  <w:b w:val="false"/>
                  <w:i w:val="false"/>
                  <w:caps w:val="false"/>
                  <w:smallCaps w:val="false"/>
                  <w:strike w:val="false"/>
                  <w:dstrike w:val="false"/>
                  <w:sz w:val="20"/>
                  <w:u w:val="none"/>
                  <w:effect w:val="none"/>
                </w:rPr>
                <w:t>Balance Sheets as of June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for the six months ended June 30, 2025 and June 30,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Changes in Member’s Deficit for the six months ended June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six months ended June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86"/>
        <w:gridCol w:w="60"/>
        <w:gridCol w:w="459"/>
      </w:tblGrid>
      <w:tr>
        <w:trPr/>
        <w:tc>
          <w:tcPr>
            <w:tcW w:w="968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Ambia Energy, LLC (For the Year ended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F-148</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2">
              <w:r>
                <w:rPr>
                  <w:rStyle w:val="InternetLink"/>
                  <w:rFonts w:ascii="Times New Roman;Times;Serif" w:hAnsi="Times New Roman;Times;Serif"/>
                  <w:b w:val="false"/>
                  <w:i w:val="false"/>
                  <w:caps w:val="false"/>
                  <w:smallCaps w:val="false"/>
                  <w:sz w:val="20"/>
                </w:rPr>
                <w:t>Balance Sheets as of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F-150</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3">
              <w:r>
                <w:rPr>
                  <w:rStyle w:val="InternetLink"/>
                  <w:rFonts w:ascii="Times New Roman;Times;Serif" w:hAnsi="Times New Roman;Times;Serif"/>
                  <w:b w:val="false"/>
                  <w:i w:val="false"/>
                  <w:caps w:val="false"/>
                  <w:smallCaps w:val="false"/>
                  <w:sz w:val="20"/>
                </w:rPr>
                <w:t>Statement of Operations and Member’s Deficit for the year ended December 31, 2024</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F-151</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4">
              <w:r>
                <w:rPr>
                  <w:rStyle w:val="InternetLink"/>
                  <w:rFonts w:ascii="Times New Roman;Times;Serif" w:hAnsi="Times New Roman;Times;Serif"/>
                  <w:b w:val="false"/>
                  <w:i w:val="false"/>
                  <w:caps w:val="false"/>
                  <w:smallCaps w:val="false"/>
                  <w:strike w:val="false"/>
                  <w:dstrike w:val="false"/>
                  <w:sz w:val="20"/>
                  <w:u w:val="single"/>
                  <w:effect w:val="none"/>
                </w:rPr>
                <w:t>Statement of Cash Flows for the year ended December 31, 2024</w:t>
              </w:r>
            </w:hyperlink>
            <w:r>
              <w:rPr>
                <w:rFonts w:ascii="Times New Roman;Times;Serif" w:hAnsi="Times New Roman;Times;Serif"/>
                <w:b w:val="false"/>
                <w:i w:val="false"/>
                <w:caps w:val="false"/>
                <w:smallCaps w:val="false"/>
                <w:strike w:val="false"/>
                <w:dstrike w:val="false"/>
                <w:sz w:val="20"/>
                <w:u w:val="none"/>
                <w:effect w:val="non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F-152</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5">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F-153</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Ambia Energy, LLC (as of September 30, 2025 and December 31, 2024 and for the Nine Months Ended September 30, 2025 and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1">
              <w:r>
                <w:rPr>
                  <w:rStyle w:val="InternetLink"/>
                  <w:rFonts w:ascii="Times New Roman;Times;Serif" w:hAnsi="Times New Roman;Times;Serif"/>
                  <w:b w:val="false"/>
                  <w:i w:val="false"/>
                  <w:caps w:val="false"/>
                  <w:smallCaps w:val="false"/>
                  <w:strike w:val="false"/>
                  <w:dstrike w:val="false"/>
                  <w:sz w:val="20"/>
                  <w:u w:val="none"/>
                  <w:effect w:val="none"/>
                </w:rPr>
                <w:t>Balance Sheets as of September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F-163</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and Member’s Deficit for the nine months ended September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F-164</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nine months ended September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F-165</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4">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F-166</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combined financial statements of SunPower Inc., Sunder Energy, LLC and Ambia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Energy,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k_001">
              <w:r>
                <w:rPr>
                  <w:rStyle w:val="InternetLink"/>
                  <w:rFonts w:ascii="Times New Roman;Times;Serif" w:hAnsi="Times New Roman;Times;Serif"/>
                  <w:b w:val="false"/>
                  <w:i w:val="false"/>
                  <w:caps w:val="false"/>
                  <w:smallCaps w:val="false"/>
                  <w:strike w:val="false"/>
                  <w:dstrike w:val="false"/>
                  <w:sz w:val="20"/>
                  <w:u w:val="none"/>
                  <w:effect w:val="none"/>
                </w:rPr>
                <w:t>Unaudited pro forma combined statement of operations for the year ended december 28,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F-177</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k_002">
              <w:r>
                <w:rPr>
                  <w:rStyle w:val="InternetLink"/>
                  <w:rFonts w:ascii="Times New Roman;Times;Serif" w:hAnsi="Times New Roman;Times;Serif"/>
                  <w:b w:val="false"/>
                  <w:i w:val="false"/>
                  <w:caps w:val="false"/>
                  <w:smallCaps w:val="false"/>
                  <w:strike w:val="false"/>
                  <w:dstrike w:val="false"/>
                  <w:sz w:val="20"/>
                  <w:u w:val="none"/>
                  <w:effect w:val="none"/>
                </w:rPr>
                <w:t>Notes to Unaudited Pro Forma Combined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q_001"/>
      <w:bookmarkEnd w:id="2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0"/>
        <w:gridCol w:w="60"/>
        <w:gridCol w:w="141"/>
        <w:gridCol w:w="887"/>
        <w:gridCol w:w="95"/>
        <w:gridCol w:w="60"/>
        <w:gridCol w:w="188"/>
        <w:gridCol w:w="1182"/>
        <w:gridCol w:w="112"/>
      </w:tblGrid>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December 28,</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9,488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9,617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480" w:type="dxa"/>
            <w:tcBorders/>
            <w:shd w:fill="FFFFFF" w:val="clear"/>
            <w:vAlign w:val="center"/>
          </w:tcPr>
          <w:p>
            <w:pPr>
              <w:pStyle w:val="TableContents"/>
              <w:bidi w:val="0"/>
              <w:spacing w:before="0" w:after="283"/>
              <w:jc w:val="both"/>
              <w:rPr/>
            </w:pPr>
            <w:r>
              <w:rPr/>
              <w:t>Trade accounts receivable, net of allowance for credit losses of $5,206 and $5,206 as of March 29, 2026 and December 28, 2025, respectively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80,585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81,946</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4,375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27,852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16,913</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122,023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112,851</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3,841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4,890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4,552</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51,816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50,814</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75,607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62,630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1,609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262,086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28,348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182" w:type="dxa"/>
            <w:tcBorders/>
            <w:shd w:fill="FFFFFF" w:val="clear"/>
            <w:vAlign w:val="center"/>
          </w:tcPr>
          <w:p>
            <w:pPr>
              <w:pStyle w:val="TableContents"/>
              <w:bidi w:val="0"/>
              <w:spacing w:before="0" w:after="283"/>
              <w:jc w:val="right"/>
              <w:rPr/>
            </w:pPr>
            <w:r>
              <w:rPr/>
              <w:t>26,240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(1)</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70,006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56,977</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Short-term debt with related parties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21,500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Short-term debt with third parties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Current portion of long-term notes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2,786</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Deferred consideration, 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17,102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16,879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consideration, current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5,420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12,634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20,336</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535</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5,107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3,965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171,798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154,638</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3,059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4,361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794</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Notes payable and derivative liabilities, net of current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99,860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120,159</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Notes payable and derivative liabilities with related parties, net of 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31,921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35,130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1,300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Deferred consideration,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5,420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7,503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323,539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331,331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Commitments and contingencies (Note 11)</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480" w:type="dxa"/>
            <w:tcBorders/>
            <w:shd w:fill="CCEEFF" w:val="clear"/>
            <w:vAlign w:val="center"/>
          </w:tcPr>
          <w:p>
            <w:pPr>
              <w:pStyle w:val="TableContents"/>
              <w:bidi w:val="0"/>
              <w:spacing w:before="0" w:after="283"/>
              <w:jc w:val="both"/>
              <w:rPr/>
            </w:pPr>
            <w:r>
              <w:rPr/>
              <w:t>Common stock, $0.0001 par value; Authorized 1,000,000,000 shares as of March 29, 2026, and December 28, 2025; issued and outstanding 120,347,463 and 111,334,959 shares as of March 29, 2026, and December 28, 2025, respectively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389,849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366,408</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(451,483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(456,733</w:t>
            </w:r>
          </w:p>
        </w:tc>
        <w:tc>
          <w:tcPr>
            <w:tcW w:w="112" w:type="dxa"/>
            <w:tcBorders/>
            <w:shd w:fill="FFFFFF" w:val="clear"/>
            <w:vAlign w:val="center"/>
          </w:tcPr>
          <w:p>
            <w:pPr>
              <w:pStyle w:val="TableContents"/>
              <w:bidi w:val="0"/>
              <w:spacing w:before="0" w:after="283"/>
              <w:jc w:val="left"/>
              <w:rPr/>
            </w:pPr>
            <w:r>
              <w:rPr/>
              <w:t>)</w:t>
            </w:r>
          </w:p>
        </w:tc>
      </w:tr>
      <w:tr>
        <w:trPr/>
        <w:tc>
          <w:tcPr>
            <w:tcW w:w="7480" w:type="dxa"/>
            <w:tcBorders/>
            <w:shd w:fill="CCEEFF" w:val="clear"/>
            <w:vAlign w:val="center"/>
          </w:tcPr>
          <w:p>
            <w:pPr>
              <w:pStyle w:val="TableContents"/>
              <w:bidi w:val="0"/>
              <w:spacing w:before="0" w:after="283"/>
              <w:jc w:val="both"/>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(61,453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112" w:type="dxa"/>
            <w:tcBorders/>
            <w:shd w:fill="CCEEFF" w:val="clear"/>
            <w:vAlign w:val="center"/>
          </w:tcPr>
          <w:p>
            <w:pPr>
              <w:pStyle w:val="TableContents"/>
              <w:bidi w:val="0"/>
              <w:spacing w:before="0" w:after="283"/>
              <w:jc w:val="left"/>
              <w:rPr/>
            </w:pPr>
            <w:r>
              <w:rPr/>
              <w:t>)</w:t>
            </w:r>
          </w:p>
        </w:tc>
      </w:tr>
      <w:tr>
        <w:trPr/>
        <w:tc>
          <w:tcPr>
            <w:tcW w:w="7480" w:type="dxa"/>
            <w:tcBorders/>
            <w:shd w:fill="FFFFFF" w:val="clear"/>
            <w:vAlign w:val="center"/>
          </w:tcPr>
          <w:p>
            <w:pPr>
              <w:pStyle w:val="TableContents"/>
              <w:bidi w:val="0"/>
              <w:spacing w:before="0" w:after="283"/>
              <w:jc w:val="both"/>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262,086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accrued interest due to related parties of $2.2 million and $2.6 million as of March 29, 2026, and December 28, 2025,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investor financing deposit with related party of $5.4 million and $2.0 million as of March 29, 2026, and December 28, 2025,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q_002"/>
      <w:bookmarkEnd w:id="23"/>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70"/>
        <w:gridCol w:w="60"/>
        <w:gridCol w:w="140"/>
        <w:gridCol w:w="1220"/>
        <w:gridCol w:w="95"/>
        <w:gridCol w:w="60"/>
        <w:gridCol w:w="140"/>
        <w:gridCol w:w="1220"/>
        <w:gridCol w:w="100"/>
      </w:tblGrid>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00" w:type="dxa"/>
            <w:tcBorders/>
            <w:vAlign w:val="center"/>
          </w:tcPr>
          <w:p>
            <w:pPr>
              <w:pStyle w:val="TableContents"/>
              <w:bidi w:val="0"/>
              <w:spacing w:before="0" w:after="283"/>
              <w:jc w:val="left"/>
              <w:rPr/>
            </w:pPr>
            <w:r>
              <w:rPr/>
              <w:t> </w:t>
            </w:r>
          </w:p>
        </w:tc>
      </w:tr>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30,</w:t>
            </w:r>
          </w:p>
        </w:tc>
        <w:tc>
          <w:tcPr>
            <w:tcW w:w="100" w:type="dxa"/>
            <w:tcBorders/>
            <w:vAlign w:val="center"/>
          </w:tcPr>
          <w:p>
            <w:pPr>
              <w:pStyle w:val="TableContents"/>
              <w:bidi w:val="0"/>
              <w:spacing w:before="0" w:after="283"/>
              <w:jc w:val="left"/>
              <w:rPr/>
            </w:pPr>
            <w:r>
              <w:rPr/>
              <w:t> </w:t>
            </w:r>
          </w:p>
        </w:tc>
      </w:tr>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72,793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78,413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51,037</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44,687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27,376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7,684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8,522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30,325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14,896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63,882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31,102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(3,726</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(6,041</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non-operating income, net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14,576</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23,837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8,538</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Income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Comprehensive income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283"/>
              <w:jc w:val="left"/>
              <w:rPr/>
            </w:pPr>
            <w:r>
              <w:rPr/>
              <w:t>Net income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0.06</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Weighted-average shares used to compute net income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124,279,055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80,209,585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163,787,402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112,302,063</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Cost of revenue with SameDay Solar, a related party, was $0.5 million and $0.2 million in the thirteen weeks ended March 29, 2026 and March 30, 2025, respectively. Refer to </w:t>
            </w:r>
            <w:r>
              <w:rPr>
                <w:rFonts w:ascii="Times New Roman;Times;Serif" w:hAnsi="Times New Roman;Times;Serif"/>
                <w:b/>
                <w:sz w:val="20"/>
              </w:rPr>
              <w:t>Note 17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related party interest expense and amortization of debt issuance costs of $2.3 million and $1.4 million in the thirteen weeks ended March 29, 2026 and March 30, 2025, respectively. </w:t>
            </w:r>
          </w:p>
        </w:tc>
      </w:tr>
    </w:tbl>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3"/>
        <w:gridCol w:w="60"/>
        <w:gridCol w:w="341"/>
        <w:gridCol w:w="763"/>
        <w:gridCol w:w="132"/>
        <w:gridCol w:w="132"/>
        <w:gridCol w:w="341"/>
        <w:gridCol w:w="763"/>
        <w:gridCol w:w="80"/>
      </w:tblGrid>
      <w:tr>
        <w:trPr/>
        <w:tc>
          <w:tcPr>
            <w:tcW w:w="7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80" w:type="dxa"/>
            <w:tcBorders/>
            <w:vAlign w:val="center"/>
          </w:tcPr>
          <w:p>
            <w:pPr>
              <w:pStyle w:val="TableContents"/>
              <w:bidi w:val="0"/>
              <w:spacing w:before="0" w:after="283"/>
              <w:jc w:val="left"/>
              <w:rPr/>
            </w:pPr>
            <w:r>
              <w:rPr/>
              <w:t> </w:t>
            </w:r>
          </w:p>
        </w:tc>
      </w:tr>
      <w:tr>
        <w:trPr/>
        <w:tc>
          <w:tcPr>
            <w:tcW w:w="7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29, </w:t>
              <w:br/>
              <w:t>2026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30, </w:t>
              <w:br/>
              <w:t>2025</w:t>
            </w:r>
          </w:p>
        </w:tc>
        <w:tc>
          <w:tcPr>
            <w:tcW w:w="80" w:type="dxa"/>
            <w:tcBorders/>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remeasurement of derivative liabilities (</w:t>
            </w:r>
            <w:r>
              <w:rPr>
                <w:rFonts w:ascii="Times New Roman;Times;Serif" w:hAnsi="Times New Roman;Times;Serif"/>
                <w:b/>
                <w:sz w:val="20"/>
              </w:rPr>
              <w:t>Note 9 – Borrowings and Derivative Liabilities</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80" w:type="dxa"/>
            <w:tcBorders/>
            <w:shd w:fill="CCEEFF" w:val="clear"/>
            <w:vAlign w:val="center"/>
          </w:tcPr>
          <w:p>
            <w:pPr>
              <w:pStyle w:val="TableContents"/>
              <w:bidi w:val="0"/>
              <w:spacing w:before="0" w:after="283"/>
              <w:jc w:val="left"/>
              <w:rPr/>
            </w:pPr>
            <w:r>
              <w:rPr/>
              <w:t> </w:t>
            </w:r>
          </w:p>
        </w:tc>
      </w:tr>
      <w:tr>
        <w:trPr/>
        <w:tc>
          <w:tcPr>
            <w:tcW w:w="75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due to change in fair value of forward purchase agreements</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q_003"/>
      <w:bookmarkEnd w:id="24"/>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5"/>
        <w:gridCol w:w="60"/>
        <w:gridCol w:w="60"/>
        <w:gridCol w:w="1220"/>
        <w:gridCol w:w="60"/>
        <w:gridCol w:w="60"/>
        <w:gridCol w:w="301"/>
        <w:gridCol w:w="559"/>
        <w:gridCol w:w="60"/>
        <w:gridCol w:w="60"/>
        <w:gridCol w:w="163"/>
        <w:gridCol w:w="937"/>
        <w:gridCol w:w="60"/>
        <w:gridCol w:w="60"/>
        <w:gridCol w:w="188"/>
        <w:gridCol w:w="1182"/>
        <w:gridCol w:w="95"/>
        <w:gridCol w:w="60"/>
        <w:gridCol w:w="433"/>
        <w:gridCol w:w="1177"/>
        <w:gridCol w:w="60"/>
        <w:gridCol w:w="60"/>
        <w:gridCol w:w="209"/>
        <w:gridCol w:w="1134"/>
        <w:gridCol w:w="112"/>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8"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12"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2"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2" w:type="dxa"/>
            <w:tcBorders/>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111,334,959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366,408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(456,733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(90,144</w:t>
            </w:r>
          </w:p>
        </w:tc>
        <w:tc>
          <w:tcPr>
            <w:tcW w:w="112"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7.0% senior unsecured convertible notes for shares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1,608,769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as consideration for acquisition of businesses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issuance of shares of common stock for debt commitment fees, capitalized as debt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Sunder deferred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29,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120,347,463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(451,483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43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(61,453</w:t>
            </w:r>
          </w:p>
        </w:tc>
        <w:tc>
          <w:tcPr>
            <w:tcW w:w="11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8"/>
        <w:gridCol w:w="60"/>
        <w:gridCol w:w="60"/>
        <w:gridCol w:w="1100"/>
        <w:gridCol w:w="60"/>
        <w:gridCol w:w="60"/>
        <w:gridCol w:w="301"/>
        <w:gridCol w:w="559"/>
        <w:gridCol w:w="60"/>
        <w:gridCol w:w="60"/>
        <w:gridCol w:w="163"/>
        <w:gridCol w:w="937"/>
        <w:gridCol w:w="60"/>
        <w:gridCol w:w="60"/>
        <w:gridCol w:w="188"/>
        <w:gridCol w:w="1182"/>
        <w:gridCol w:w="95"/>
        <w:gridCol w:w="60"/>
        <w:gridCol w:w="433"/>
        <w:gridCol w:w="1177"/>
        <w:gridCol w:w="60"/>
        <w:gridCol w:w="60"/>
        <w:gridCol w:w="212"/>
        <w:gridCol w:w="1149"/>
        <w:gridCol w:w="111"/>
      </w:tblGrid>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96"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111" w:type="dxa"/>
            <w:tcBorders/>
            <w:vAlign w:val="center"/>
          </w:tcPr>
          <w:p>
            <w:pPr>
              <w:pStyle w:val="TableContents"/>
              <w:bidi w:val="0"/>
              <w:spacing w:before="0" w:after="283"/>
              <w:jc w:val="left"/>
              <w:rPr/>
            </w:pPr>
            <w:r>
              <w:rPr/>
              <w:t> </w:t>
            </w:r>
          </w:p>
        </w:tc>
      </w:tr>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1" w:type="dxa"/>
            <w:tcBorders/>
            <w:vAlign w:val="center"/>
          </w:tcPr>
          <w:p>
            <w:pPr>
              <w:pStyle w:val="TableContents"/>
              <w:bidi w:val="0"/>
              <w:spacing w:before="0" w:after="283"/>
              <w:jc w:val="left"/>
              <w:rPr/>
            </w:pPr>
            <w:r>
              <w:rPr/>
              <w:t> </w:t>
            </w:r>
          </w:p>
        </w:tc>
      </w:tr>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1" w:type="dxa"/>
            <w:tcBorders/>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73,784,645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313,661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(411,379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(97,539</w:t>
            </w:r>
          </w:p>
        </w:tc>
        <w:tc>
          <w:tcPr>
            <w:tcW w:w="111"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80,020,836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314,247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(406,567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(92,141</w:t>
            </w:r>
          </w:p>
        </w:tc>
        <w:tc>
          <w:tcPr>
            <w:tcW w:w="11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q_004"/>
      <w:bookmarkEnd w:id="25"/>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90"/>
        <w:gridCol w:w="60"/>
        <w:gridCol w:w="165"/>
        <w:gridCol w:w="897"/>
        <w:gridCol w:w="113"/>
        <w:gridCol w:w="71"/>
        <w:gridCol w:w="170"/>
        <w:gridCol w:w="925"/>
        <w:gridCol w:w="114"/>
      </w:tblGrid>
      <w:tr>
        <w:trPr/>
        <w:tc>
          <w:tcPr>
            <w:tcW w:w="7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114" w:type="dxa"/>
            <w:tcBorders/>
            <w:vAlign w:val="center"/>
          </w:tcPr>
          <w:p>
            <w:pPr>
              <w:pStyle w:val="TableContents"/>
              <w:bidi w:val="0"/>
              <w:spacing w:before="0" w:after="283"/>
              <w:jc w:val="left"/>
              <w:rPr/>
            </w:pPr>
            <w:r>
              <w:rPr/>
              <w:t> </w:t>
            </w:r>
          </w:p>
        </w:tc>
      </w:tr>
      <w:tr>
        <w:trPr/>
        <w:tc>
          <w:tcPr>
            <w:tcW w:w="769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9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5,250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4,812</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Adjustments to reconcile net income from operations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1,605</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469</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504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288</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Deferred income tax benefit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(608</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3,609</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1,583</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1,087</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SAFE Agreement – related party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44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20</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1,142</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(268</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(26,608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(15,127</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(615</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1,092</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deferred consideration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(2,943</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Change in fair value of deferred consideration with related party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(2,307</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debt obligations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320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Amortization of debt issuance costs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3,655</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Non-cash expense (income)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176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(158</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Changes in operating assets and liabilities, net of business acquisitions: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(223</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2,016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11,386</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(11,279</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(10,909</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(4,413</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(15</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14</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(1,756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6,896</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9,702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(5,525</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(12,940</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3,064</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(25,656</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(2,627</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paid for acquisition, net of cash acquired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553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553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issuance of convertible notes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10,710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200</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Proceeds from issuance of convertible notes due to related parties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1,300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Finance lease payments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(656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(515</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Principal repayment of notes payable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(1,078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6,991</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Proceeds from exercise of common stock options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57</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exercise of warrant for common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60</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Investor financing deposit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22,267</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(2,836</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(2,825</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13,458</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17,219</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pPr>
            <w:r>
              <w:rPr/>
              <w:t>10,622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5" w:type="dxa"/>
            <w:tcBorders>
              <w:bottom w:val="double" w:sz="10" w:space="0" w:color="000000"/>
            </w:tcBorders>
            <w:shd w:fill="FFFFFF" w:val="clear"/>
            <w:tcMar>
              <w:bottom w:w="28" w:type="dxa"/>
            </w:tcMar>
            <w:vAlign w:val="center"/>
          </w:tcPr>
          <w:p>
            <w:pPr>
              <w:pStyle w:val="TableContents"/>
              <w:bidi w:val="0"/>
              <w:spacing w:before="0" w:after="283"/>
              <w:jc w:val="right"/>
              <w:rPr/>
            </w:pPr>
            <w:r>
              <w:rPr/>
              <w:t>14,394</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5,263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1,388</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Supplemental disclosure of noncash financing and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Issuance of convertible note in exchange for investor deposit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2,000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Conversion of 7% unsecured notes for shares of common stock</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2,646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Issuance of common stock as partial consideration for acquisition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3,333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Deferred consideration recognized for acquisition of Cobalt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6,331</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Tax effect of Cobalt acquisition accounted for as Goodwill</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1,001</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Deferred consideration reclassified to Additional paid-in capital</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8,533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the thirteen weeks ended March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gain on remeasurement of $7.5 million and $3.7 million in the thirteen weeks ended March 29, 2026 and March 30,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amortization expense of $0.9 million and $0.7 million in the thirteen weeks ended March 29, 2026 and March 30,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245"/>
        <w:gridCol w:w="812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the thirteen weeks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q_005"/>
      <w:bookmarkEnd w:id="26"/>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 References to the Company and SunPower include the same entity under its previous name of Complete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on a 52-to-53-week fiscal year that ends on the Sunday closest to December 31. The Company’s first fiscal quarters for 2026 and 2025 in this report on Form 10-Q ended on March 29, 2026 (“Q1 2026”) and March 30, 2025 (“Q1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28, 2025, the Company completed the acquisitions of Sunder Energy, LLC (“Sunder”) and Ambia Energy LLC (“Ambia”). On February 2, 2026, the Company completed the acquisition of Cobalt Power Systems, Inc. (“Cobalt”). Each of these acquisitions was accounted for as a business combination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loss was $19.2 million in the thirteen weeks ended March 29, 2026. As of March 29, 2026, the Company had an accumulated deficit of $451.5 million, current debt of $38.0 million, and cash and cash equivalents, excluding restricted cash, of $9.5 million. The Company anticipates that operating losses and negative operating cash flows will continue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stockholders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Quarterly Report on Form 10-Q for the quarter ended September 28, 2025 or the amendment required to the Current Report originally filed on September 26, 2025, relating to the Sunder acquisition, within the timeframe required by the SEC. As a result, the Company is not currently eligible to use a registration statement on Form S-3 that would allow it to continuously incorporate by reference its SEC reports into a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condensed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unaudited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these interim unaudited condensed consolidated financial statements reflect all adjustments, consisting of normal recurring adjustments, necessary to present fairly the Company’s financial position as of March 29, 2026, and the results of operations for the thirteen weeks ended March 29, 2026 and March 30, 2025. These interim unaudited condensed consolidated financial statements and related notes should be read in conjunction with the audited consolidated financial statements and related notes for the fiscal year ended December 28, 2025, included in the Company’s Annual Report on Form 10-K filed with the SEC on April 14, 2026. The results of operations for interim periods are not necessarily indicative of the results to be expected for the full year or any other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13" w:type="dxa"/>
        <w:jc w:val="left"/>
        <w:tblInd w:w="0" w:type="dxa"/>
        <w:tblLayout w:type="fixed"/>
        <w:tblCellMar>
          <w:top w:w="0" w:type="dxa"/>
          <w:left w:w="0" w:type="dxa"/>
          <w:bottom w:w="0" w:type="dxa"/>
          <w:right w:w="0" w:type="dxa"/>
        </w:tblCellMar>
      </w:tblPr>
      <w:tblGrid>
        <w:gridCol w:w="4475"/>
        <w:gridCol w:w="60"/>
        <w:gridCol w:w="182"/>
        <w:gridCol w:w="887"/>
        <w:gridCol w:w="60"/>
        <w:gridCol w:w="60"/>
        <w:gridCol w:w="241"/>
        <w:gridCol w:w="1173"/>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br/>
              <w:t>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interim unaudited condensed consolidated financial statements requires management to make estimates and assumptions that affect reported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when control of the promised products and services is transferred to the customer and its performance obligations are satisfied. The Company’s performance obligation in its Residential Solar Installation and New Homes Business segments is to design and install a fully functioning solar energy system. The design, delivery of system components, installation, and services facilitating interconnection to the power grid are accounted for as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the amount of consideration the Company expects to be entitled to receive, net of customer incentives such as discounts or rebates, and variable consideration is estimated at each reporting date to the extent it is probable that a significant reversal will not occur. Amounts invoiced and collected in advance of performance are recorded as deferred revenue. The Company’s contracts do not contain significant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Residential Solar Installation and New Homes Business cash and financing arrangements, revenue is generally recognized over time beginning when the system is fully installed, as this is when the customer obtains control of the asset. Revenue is recognized using an input method based on direct installation costs. For New Homes Business lease arrangements, revenue is recognized at a point in time upon customer acceptance of the completed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Dealer segment, the Company earns revenue from contracts for solar installations performed by third-party installers. The Company acts as an agent in these arrangements and recognizes revenue on a net basis at the point in time when substantial completion is achieved. The Company does not provide warranty services related to Dealer contracts. During the thirteen week period ended March 29, 2026, the Company amended customer contracts and under the amended contractual terms, the point at which control transfers to the customer changed from permission to operate (“PTO”) to substantial completion of the installation. As a result, the Company recognized incremental revenue of $12.4 million in the thirteen week period ended March 29, 2026, related to the contract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Incremental costs of obtaining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and December 28, 2025, deferred commissions were $8.1 million and $5.6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 activity as of and for the periods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293" w:type="dxa"/>
        <w:jc w:val="left"/>
        <w:tblInd w:w="0" w:type="dxa"/>
        <w:tblLayout w:type="fixed"/>
        <w:tblCellMar>
          <w:top w:w="0" w:type="dxa"/>
          <w:left w:w="0" w:type="dxa"/>
          <w:bottom w:w="0" w:type="dxa"/>
          <w:right w:w="0" w:type="dxa"/>
        </w:tblCellMar>
      </w:tblPr>
      <w:tblGrid>
        <w:gridCol w:w="5750"/>
        <w:gridCol w:w="60"/>
        <w:gridCol w:w="195"/>
        <w:gridCol w:w="884"/>
        <w:gridCol w:w="132"/>
        <w:gridCol w:w="83"/>
        <w:gridCol w:w="195"/>
        <w:gridCol w:w="884"/>
        <w:gridCol w:w="110"/>
      </w:tblGrid>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7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beginning of year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Provision charged to earnings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written off, net of recoveries and other adjustments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end of period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adopted the guidance in the period ended March 29, 2026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adopted the guidance effective December 29, 2025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Cobalt Power Systems,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(the “Share Purchase Agreement”) with Cobalt and Cobalt’s stockholders (the “Cobalt Stockholders”). The Company, Cobalt and the Cobalt Stockholders completed the closing under the Share Purchase Agreement (the “Cobalt Closing”) on February 2, 2026. At the Cobalt Closing, the Company acquired all of the outstanding stock of Cobalt from the Cobalt Stockholders for: (a) 1.8 million shares (the “Closing Consideration Shares”) of the Company’s common stock and (b) an agreement to issue an additional $3.33 million of shares of the Company’s common stock on each of the 12-month and 18-month anniversaries of the Cobalt Closing (“Post-Closing Consideration Shares).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Based on the analysis of the payments made or to be made in connection with the acquisition of Cobalt under ASC 805, the Company concluded that the $2.0 million of restricted stock units is considered compensation and, therefore, this amount has been excluded from the business combination consideration. Cobalt designs and installs solar systems for residential and commercial clients.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consideration for Cobalt was $9.66 million, which consists of $3.33 million paid at the Cobalt Closing and Post-Closing Consideration Shares valued at $6.33 million. The $3.33 million fair value of the shares of common stock issued at the Cobalt Closing was derived based on the Company’s closing stock price in a 5-day volume-weighted average price (“VWAP”) immediately preceding the Cobalt Closing to determine the number of shares issued. The Post-Closing Consideration Shares are treated as a liability for financial reporting purposes and are reported within Deferred consideration, current and deferred consideration, noncurrent within the Company’s unaudited condensed consolidated balance sheet, and were valued using a Monte Carlo simulation model to capture the variability in the number and value of shares issuable at the 12- and 18-month post-closing dates. Under the terms of the agreement, the deferred obligation represents a fixed dollar amount that will be settled in a variable number of shares determined based on the 5-day VWAP immediately prior to each issuance date, resulting in an inverse relationship between share price and shares issued. The model incorporates key assumptions, including a starting VWAP of $1.69, a risk-free rate of 3.53%, expected volatility of 85.5% derived from peer company analysis and historical data, and a 1.5-year simulation horizon. For each simulated stock price path, the model calculates the resulting share issuances and corresponding payment values, discounts those amounts to present value, and averages the outcomes across simulations to estimate fair value, resulting in a concluded value of approximately $6.33 million as of the valuation date.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70"/>
        <w:gridCol w:w="60"/>
        <w:gridCol w:w="140"/>
        <w:gridCol w:w="560"/>
        <w:gridCol w:w="75"/>
      </w:tblGrid>
      <w:tr>
        <w:trPr/>
        <w:tc>
          <w:tcPr>
            <w:tcW w:w="9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shares of the Company’s common stock issued at Cobalt Closing (classified within 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75" w:type="dxa"/>
            <w:tcBorders/>
            <w:shd w:fill="CCEEFF" w:val="clear"/>
            <w:vAlign w:val="center"/>
          </w:tcPr>
          <w:p>
            <w:pPr>
              <w:pStyle w:val="TableContents"/>
              <w:bidi w:val="0"/>
              <w:spacing w:before="0" w:after="283"/>
              <w:jc w:val="left"/>
              <w:rPr/>
            </w:pPr>
            <w:r>
              <w:rPr/>
              <w:t> </w:t>
            </w:r>
          </w:p>
        </w:tc>
      </w:tr>
      <w:tr>
        <w:trPr/>
        <w:tc>
          <w:tcPr>
            <w:tcW w:w="9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Cobalt Consideration Shares (Classified within Deferred consideration, current and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75" w:type="dxa"/>
            <w:tcBorders/>
            <w:shd w:fill="FFFFFF" w:val="clear"/>
            <w:vAlign w:val="center"/>
          </w:tcPr>
          <w:p>
            <w:pPr>
              <w:pStyle w:val="TableContents"/>
              <w:bidi w:val="0"/>
              <w:spacing w:before="0" w:after="283"/>
              <w:jc w:val="left"/>
              <w:rPr/>
            </w:pPr>
            <w:r>
              <w:rPr/>
              <w:t> </w:t>
            </w:r>
          </w:p>
        </w:tc>
      </w:tr>
      <w:tr>
        <w:trPr/>
        <w:tc>
          <w:tcPr>
            <w:tcW w:w="9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Cobalt Closing. The purchase price accounting remains open for the valuation of intangibles, certain liabilities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994" w:type="dxa"/>
        <w:jc w:val="left"/>
        <w:tblInd w:w="0" w:type="dxa"/>
        <w:tblLayout w:type="fixed"/>
        <w:tblCellMar>
          <w:top w:w="0" w:type="dxa"/>
          <w:left w:w="0" w:type="dxa"/>
          <w:bottom w:w="0" w:type="dxa"/>
          <w:right w:w="0" w:type="dxa"/>
        </w:tblCellMar>
      </w:tblPr>
      <w:tblGrid>
        <w:gridCol w:w="6290"/>
        <w:gridCol w:w="60"/>
        <w:gridCol w:w="262"/>
        <w:gridCol w:w="1272"/>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Cobalt Closing</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b/>
              </w:rPr>
            </w:pPr>
            <w:r>
              <w:rPr>
                <w:b/>
              </w:rPr>
              <w:t>Net assets acquired:</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Cash and cash equivalents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553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Trade accounts receivable, net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3,642</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Inventories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1,739</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Prepaid expenses and other current assets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Property and equipment, net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485</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Intangible assets, net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3,871</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Operating lease right-of-use assets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1,277</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Accounts payable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(3,864</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xml:space="preserve">Accrued expenses and other current liabilities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(1,002</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xml:space="preserve">Short-term debt with third parties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(2,706</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both"/>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xml:space="preserve">Contract liabilities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(5,238</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(1,001</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xml:space="preserve">Fair value of the excess of liabilities assumed over assets acquired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(3,313</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xml:space="preserve">Fair value of common stock issued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3,333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Fair value of Deferred Cobalt Consideration Shares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6,331</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Consideration transferred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9,664</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Goodwill recognized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double" w:sz="10" w:space="0" w:color="000000"/>
            </w:tcBorders>
            <w:shd w:fill="FFFFFF" w:val="clear"/>
            <w:tcMar>
              <w:bottom w:w="28" w:type="dxa"/>
            </w:tcMar>
            <w:vAlign w:val="center"/>
          </w:tcPr>
          <w:p>
            <w:pPr>
              <w:pStyle w:val="TableContents"/>
              <w:bidi w:val="0"/>
              <w:spacing w:before="0" w:after="283"/>
              <w:jc w:val="right"/>
              <w:rPr/>
            </w:pPr>
            <w:r>
              <w:rPr/>
              <w:t>12,977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4535"/>
        <w:gridCol w:w="60"/>
        <w:gridCol w:w="1040"/>
        <w:gridCol w:w="60"/>
        <w:gridCol w:w="307"/>
        <w:gridCol w:w="1228"/>
        <w:gridCol w:w="75"/>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 xml:space="preserve">as of the </w:t>
              <w:br/>
              <w:t>Cobalt Closing</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 months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 name – Cobalt</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Building lease intangible asset – favorable lease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backlog was estimated using the excess earnings method, an income-based approach, under which value is determined based on the present value of the cash flows attributable specifically to the backlog after deducting appropriate returns for contributory assets. Projected revenues were based on the contractual backlog existing as of the valuation date, and operating expenses were estimated as a percentage of revenue, with an adjustment to exclude sales and marketing expenses. Based on management’s estimates, substantially all sales and marketing efforts relate to acquiring new customers and are not required to fulfill the existing backlog. Contributory asset charges were applied for the use of working capital, fixed assets, assembled workforce, and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name’s fair value was estimated using the relief-from-royalty method, which measures the present value of avoided royalty payments. The valuation considered qualitative factors such as Cobalt’s long operating history since 2003, strong reputation for affordable and reliable solar solutions, and established market presence with over 2,400 installations. It assumed the trade name supports all revenues and applied a 1.0% royalty rate based on profit-split analysis and market data. The trade name was assigned a 10-year useful life, reflecting expected continued use and brand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building lease was estimated using an income approach, specifically a discounted cash flow model, reflecting the present value of the difference between contractual rent and estimated market rent over the remaining lease term. Key assumptions include a market rent derived from comparable properties, a 2.0% annual rental growth rate, and an 8.50% discount rate consistent with market participant return expectations and leasehold-specific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Cobalt contributed $5.0 million and $0.3 million in revenue and income before income taxes from operations, respectively, for the period from the acquisition date to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Sunder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(“CPP”),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 million shares of the Company’s common stock issued at the Sunder Closing and (ii) subject to approval of such issuances by the Company’s stockholders, (x) 3.3 million shares of the Company’s common stock to be issued on the 12-month anniversary of the Sunder Closing and (y) 3.3 million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six-month anniversary of the date on which the applicable Deferred Sunder Consideration Shares are otherwise issuable. The shares of the Company’s common stock issued and expected to be issued were valued at aggregate of $17.1 million at the Sunder Closing. The common stock issued at the Sunder Closing was valued at $5.7 million and accounted for within Additional paid-in-capital on the Company’s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an amended and restated Seller Note that, following certain payoffs under the prior Seller Note, has an amended principal amount of $7.0 million (the “A&amp;R Seller Note”).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25, 2026, the Company’s stockholders approved the issuance of the Deferred Sunder Consideration Shares, and the Company’s option to pay the Cash in Lieu Amount expired. Accordingly, the value of the Deferred Sunder Consideration Shares became fixed on that date. The fair value of the 6.7 million Deferred Sunder Consideration Shares was $8.5 million as of March 25, 2026.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 all of the substantive contingencies have been resolved and only remaining condition is the passage of time, the obligation met the criteria for equity classification. As such, the Company reclassified the Deferred Sunder Consideration Shares obligation from liability to equity as of March 29, 2026. Pursuant to an Amendment and Agreement dated as of March 5, 2026 between CPP and the Company, the Company agreed to issue all of the Deferred Sunder Consideration Shares following receipt of approval by the Company’s stockholders, and the Deferred Sunder Consideration Shares were subsequently issued on April 8, 2026.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since the sellers joined the Company and represent members of management, they have a level of influence that is not insignificant; therefore, they are related parties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initially paid and remaining payable as of the date of the Sunder Closing is summarized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10"/>
        <w:gridCol w:w="60"/>
        <w:gridCol w:w="249"/>
        <w:gridCol w:w="1211"/>
        <w:gridCol w:w="75"/>
      </w:tblGrid>
      <w:tr>
        <w:trPr/>
        <w:tc>
          <w:tcPr>
            <w:tcW w:w="86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Consideration</w:t>
            </w:r>
          </w:p>
        </w:tc>
        <w:tc>
          <w:tcPr>
            <w:tcW w:w="75" w:type="dxa"/>
            <w:tcBorders/>
            <w:vAlign w:val="center"/>
          </w:tcPr>
          <w:p>
            <w:pPr>
              <w:pStyle w:val="TableContents"/>
              <w:bidi w:val="0"/>
              <w:spacing w:before="0" w:after="283"/>
              <w:ind w:left="0" w:right="0" w:hanging="180"/>
              <w:jc w:val="left"/>
              <w:rPr/>
            </w:pPr>
            <w:r>
              <w:rPr/>
              <w:t> </w:t>
            </w:r>
          </w:p>
        </w:tc>
      </w:tr>
      <w:tr>
        <w:trPr/>
        <w:tc>
          <w:tcPr>
            <w:tcW w:w="86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Paid at Sunder Closing</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Seller note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3.3 million shares of the Company’s common stock</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 subsequent to Sunder Closing</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Sunder Consideration Shares (fair value of 6.7 million shares of the Company’s common stock at Sunder Closing)</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 at Sunder Closing</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Seller Note in the original principal amount of $20.0 million, which has been amended by the A&amp;R Seller Note in the principal amount of $7.0 million subsequent to March 29, 2026. Refer to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18 – Subsequent Events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provisional fair value of identifiable assets acquired and liabilities assumed. No measurement period adjustments were recorded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tbl>
      <w:tblPr>
        <w:tblW w:w="5714" w:type="dxa"/>
        <w:jc w:val="left"/>
        <w:tblInd w:w="0" w:type="dxa"/>
        <w:tblLayout w:type="fixed"/>
        <w:tblCellMar>
          <w:top w:w="0" w:type="dxa"/>
          <w:left w:w="0" w:type="dxa"/>
          <w:bottom w:w="28" w:type="dxa"/>
          <w:right w:w="0" w:type="dxa"/>
        </w:tblCellMar>
      </w:tblPr>
      <w:tblGrid>
        <w:gridCol w:w="4325"/>
        <w:gridCol w:w="60"/>
        <w:gridCol w:w="190"/>
        <w:gridCol w:w="1029"/>
        <w:gridCol w:w="110"/>
      </w:tblGrid>
      <w:tr>
        <w:trPr/>
        <w:tc>
          <w:tcPr>
            <w:tcW w:w="4325" w:type="dxa"/>
            <w:tcBorders>
              <w:bottom w:val="single" w:sz="12" w:space="0" w:color="000000"/>
            </w:tcBorders>
            <w:vAlign w:val="center"/>
          </w:tcPr>
          <w:p>
            <w:pPr>
              <w:pStyle w:val="TableContents"/>
              <w:bidi w:val="0"/>
              <w:jc w:val="both"/>
              <w:rPr/>
            </w:pPr>
            <w:r>
              <w:rPr/>
              <w:t> </w:t>
            </w:r>
          </w:p>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w:t>
            </w:r>
            <w:r>
              <w:rPr>
                <w:rFonts w:ascii="Times New Roman;Times;Serif" w:hAnsi="Times New Roman;Times;Serif"/>
                <w:i/>
              </w:rPr>
              <w:t>in thousands</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110" w:type="dxa"/>
            <w:tcBorders/>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2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2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and estimated useful lives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564" w:type="dxa"/>
        <w:jc w:val="left"/>
        <w:tblInd w:w="0" w:type="dxa"/>
        <w:tblLayout w:type="fixed"/>
        <w:tblCellMar>
          <w:top w:w="0" w:type="dxa"/>
          <w:left w:w="0" w:type="dxa"/>
          <w:bottom w:w="0" w:type="dxa"/>
          <w:right w:w="0" w:type="dxa"/>
        </w:tblCellMar>
      </w:tblPr>
      <w:tblGrid>
        <w:gridCol w:w="3050"/>
        <w:gridCol w:w="60"/>
        <w:gridCol w:w="1040"/>
        <w:gridCol w:w="60"/>
        <w:gridCol w:w="60"/>
        <w:gridCol w:w="208"/>
        <w:gridCol w:w="1011"/>
        <w:gridCol w:w="75"/>
      </w:tblGrid>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30,600</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 - Sunder</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6,100</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 - Sunder</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in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Ambia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 Ambia is a residential solar energy system installer and operates in various markets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 On March 25, 2026, the Company’s stockholders approved the issuance of the 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600" w:type="dxa"/>
        <w:jc w:val="left"/>
        <w:tblInd w:w="0" w:type="dxa"/>
        <w:tblLayout w:type="fixed"/>
        <w:tblCellMar>
          <w:top w:w="0" w:type="dxa"/>
          <w:left w:w="0" w:type="dxa"/>
          <w:bottom w:w="0" w:type="dxa"/>
          <w:right w:w="0" w:type="dxa"/>
        </w:tblCellMar>
      </w:tblPr>
      <w:tblGrid>
        <w:gridCol w:w="8645"/>
        <w:gridCol w:w="60"/>
        <w:gridCol w:w="140"/>
        <w:gridCol w:w="680"/>
        <w:gridCol w:w="75"/>
      </w:tblGrid>
      <w:tr>
        <w:trPr/>
        <w:tc>
          <w:tcPr>
            <w:tcW w:w="86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Fair value of 10,243,924 shares of the Company’s common stock issued at Ambia Closing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75" w:type="dxa"/>
            <w:tcBorders/>
            <w:shd w:fill="CCEEFF" w:val="clear"/>
            <w:vAlign w:val="center"/>
          </w:tcPr>
          <w:p>
            <w:pPr>
              <w:pStyle w:val="TableContents"/>
              <w:bidi w:val="0"/>
              <w:spacing w:before="0" w:after="283"/>
              <w:jc w:val="left"/>
              <w:rPr/>
            </w:pPr>
            <w:r>
              <w:rPr/>
              <w:t> </w:t>
            </w:r>
          </w:p>
        </w:tc>
      </w:tr>
      <w:tr>
        <w:trPr/>
        <w:tc>
          <w:tcPr>
            <w:tcW w:w="8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Deferred Ambia Consideration Shares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75" w:type="dxa"/>
            <w:tcBorders/>
            <w:shd w:fill="FFFFFF" w:val="clear"/>
            <w:vAlign w:val="center"/>
          </w:tcPr>
          <w:p>
            <w:pPr>
              <w:pStyle w:val="TableContents"/>
              <w:bidi w:val="0"/>
              <w:spacing w:before="0" w:after="283"/>
              <w:jc w:val="left"/>
              <w:rPr/>
            </w:pPr>
            <w:r>
              <w:rPr/>
              <w:t> </w:t>
            </w:r>
          </w:p>
        </w:tc>
      </w:tr>
      <w:tr>
        <w:trPr/>
        <w:tc>
          <w:tcPr>
            <w:tcW w:w="8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no measurement period adjustments since the Ambia Closing. 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99" w:type="dxa"/>
        <w:jc w:val="left"/>
        <w:tblInd w:w="0" w:type="dxa"/>
        <w:tblLayout w:type="fixed"/>
        <w:tblCellMar>
          <w:top w:w="0" w:type="dxa"/>
          <w:left w:w="0" w:type="dxa"/>
          <w:bottom w:w="0" w:type="dxa"/>
          <w:right w:w="0" w:type="dxa"/>
        </w:tblCellMar>
      </w:tblPr>
      <w:tblGrid>
        <w:gridCol w:w="4910"/>
        <w:gridCol w:w="60"/>
        <w:gridCol w:w="208"/>
        <w:gridCol w:w="1011"/>
        <w:gridCol w:w="110"/>
      </w:tblGrid>
      <w:tr>
        <w:trPr/>
        <w:tc>
          <w:tcPr>
            <w:tcW w:w="4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assets - unbilled receivables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Finance lease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common stock issued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Deferred Ambia Consideration Shares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Ambia Closing,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3200"/>
        <w:gridCol w:w="60"/>
        <w:gridCol w:w="1040"/>
        <w:gridCol w:w="60"/>
        <w:gridCol w:w="244"/>
        <w:gridCol w:w="976"/>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 - Ambia</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 year</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9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7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Useful life is based upon customer consumption, expected to occur within one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wherein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 for sales and marketing expenses, upon which management estimates that 100% of Ambia’s sales and marketing expenses are directed at acquiring new customers and are not required to support the backlog; (iv) charges were taken for the use of working capital, fixed assets, workforce and trademarks; and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thirteen week periods presented, as if Sunder and Ambia were acquired on January 1, 2024 and Cobalt was acquired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013" w:type="dxa"/>
        <w:jc w:val="left"/>
        <w:tblInd w:w="0" w:type="dxa"/>
        <w:tblLayout w:type="fixed"/>
        <w:tblCellMar>
          <w:top w:w="0" w:type="dxa"/>
          <w:left w:w="0" w:type="dxa"/>
          <w:bottom w:w="0" w:type="dxa"/>
          <w:right w:w="0" w:type="dxa"/>
        </w:tblCellMar>
      </w:tblPr>
      <w:tblGrid>
        <w:gridCol w:w="3620"/>
        <w:gridCol w:w="60"/>
        <w:gridCol w:w="159"/>
        <w:gridCol w:w="910"/>
        <w:gridCol w:w="60"/>
        <w:gridCol w:w="60"/>
        <w:gridCol w:w="159"/>
        <w:gridCol w:w="910"/>
        <w:gridCol w:w="75"/>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revenue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101,190</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net income from operations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table below for the Company’s revenue recognized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6463" w:type="dxa"/>
        <w:jc w:val="left"/>
        <w:tblInd w:w="0" w:type="dxa"/>
        <w:tblLayout w:type="fixed"/>
        <w:tblCellMar>
          <w:top w:w="0" w:type="dxa"/>
          <w:left w:w="0" w:type="dxa"/>
          <w:bottom w:w="0" w:type="dxa"/>
          <w:right w:w="0" w:type="dxa"/>
        </w:tblCellMar>
      </w:tblPr>
      <w:tblGrid>
        <w:gridCol w:w="4070"/>
        <w:gridCol w:w="60"/>
        <w:gridCol w:w="182"/>
        <w:gridCol w:w="887"/>
        <w:gridCol w:w="60"/>
        <w:gridCol w:w="60"/>
        <w:gridCol w:w="182"/>
        <w:gridCol w:w="887"/>
        <w:gridCol w:w="7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br/>
              <w:t>2025</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 Solar Installation</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Residential Solar Installation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Homes Business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15,466</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New Homes Business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41,909</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Dealer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Dealer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78,413</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over time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51,970</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was generated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623" w:type="dxa"/>
        <w:jc w:val="left"/>
        <w:tblInd w:w="0" w:type="dxa"/>
        <w:tblLayout w:type="fixed"/>
        <w:tblCellMar>
          <w:top w:w="0" w:type="dxa"/>
          <w:left w:w="0" w:type="dxa"/>
          <w:bottom w:w="0" w:type="dxa"/>
          <w:right w:w="0" w:type="dxa"/>
        </w:tblCellMar>
      </w:tblPr>
      <w:tblGrid>
        <w:gridCol w:w="2885"/>
        <w:gridCol w:w="60"/>
        <w:gridCol w:w="182"/>
        <w:gridCol w:w="887"/>
        <w:gridCol w:w="60"/>
        <w:gridCol w:w="60"/>
        <w:gridCol w:w="241"/>
        <w:gridCol w:w="1173"/>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current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20,336</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contract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recognized in the current period from contract liabilities as of December 28, 2025 was $18.5 million in the thirteen week period ended March 29,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914" w:type="dxa"/>
        <w:jc w:val="left"/>
        <w:tblInd w:w="0" w:type="dxa"/>
        <w:tblLayout w:type="fixed"/>
        <w:tblCellMar>
          <w:top w:w="0" w:type="dxa"/>
          <w:left w:w="0" w:type="dxa"/>
          <w:bottom w:w="0" w:type="dxa"/>
          <w:right w:w="0" w:type="dxa"/>
        </w:tblCellMar>
      </w:tblPr>
      <w:tblGrid>
        <w:gridCol w:w="5030"/>
        <w:gridCol w:w="60"/>
        <w:gridCol w:w="151"/>
        <w:gridCol w:w="604"/>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49"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Cobalt Consideration Shares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5030"/>
        <w:gridCol w:w="60"/>
        <w:gridCol w:w="140"/>
        <w:gridCol w:w="680"/>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Sunder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“November 2025 Note” and “January 2026 Note”) all of which are defined in </w:t>
            </w:r>
            <w:r>
              <w:rPr>
                <w:rFonts w:ascii="Times New Roman;Times;Serif" w:hAnsi="Times New Roman;Times;Serif"/>
                <w:b/>
                <w:sz w:val="20"/>
              </w:rPr>
              <w:t>Note 9 – Borrowings and Derivative Liabilities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335" w:type="dxa"/>
        <w:jc w:val="left"/>
        <w:tblInd w:w="0" w:type="dxa"/>
        <w:tblLayout w:type="fixed"/>
        <w:tblCellMar>
          <w:top w:w="0" w:type="dxa"/>
          <w:left w:w="0" w:type="dxa"/>
          <w:bottom w:w="0" w:type="dxa"/>
          <w:right w:w="0" w:type="dxa"/>
        </w:tblCellMar>
      </w:tblPr>
      <w:tblGrid>
        <w:gridCol w:w="1355"/>
        <w:gridCol w:w="60"/>
        <w:gridCol w:w="167"/>
        <w:gridCol w:w="903"/>
        <w:gridCol w:w="95"/>
        <w:gridCol w:w="60"/>
        <w:gridCol w:w="208"/>
        <w:gridCol w:w="1012"/>
        <w:gridCol w:w="60"/>
        <w:gridCol w:w="60"/>
        <w:gridCol w:w="235"/>
        <w:gridCol w:w="940"/>
        <w:gridCol w:w="60"/>
        <w:gridCol w:w="60"/>
        <w:gridCol w:w="332"/>
        <w:gridCol w:w="903"/>
        <w:gridCol w:w="60"/>
        <w:gridCol w:w="60"/>
        <w:gridCol w:w="184"/>
        <w:gridCol w:w="736"/>
        <w:gridCol w:w="95"/>
        <w:gridCol w:w="60"/>
        <w:gridCol w:w="249"/>
        <w:gridCol w:w="1211"/>
        <w:gridCol w:w="95"/>
        <w:gridCol w:w="60"/>
        <w:gridCol w:w="140"/>
        <w:gridCol w:w="800"/>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Convertible</w:t>
              <w:br/>
              <w:t>debt at 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Deferred</w:t>
              <w:br/>
              <w:t>Consideration</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(28,255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29, 2026</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9"/>
        <w:gridCol w:w="60"/>
        <w:gridCol w:w="167"/>
        <w:gridCol w:w="903"/>
        <w:gridCol w:w="95"/>
        <w:gridCol w:w="60"/>
        <w:gridCol w:w="235"/>
        <w:gridCol w:w="940"/>
        <w:gridCol w:w="95"/>
        <w:gridCol w:w="60"/>
        <w:gridCol w:w="332"/>
        <w:gridCol w:w="903"/>
        <w:gridCol w:w="60"/>
        <w:gridCol w:w="60"/>
        <w:gridCol w:w="184"/>
        <w:gridCol w:w="736"/>
        <w:gridCol w:w="60"/>
        <w:gridCol w:w="60"/>
        <w:gridCol w:w="140"/>
        <w:gridCol w:w="800"/>
        <w:gridCol w:w="86"/>
      </w:tblGrid>
      <w:tr>
        <w:trPr/>
        <w:tc>
          <w:tcPr>
            <w:tcW w:w="4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0"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86" w:type="dxa"/>
            <w:tcBorders/>
            <w:vAlign w:val="center"/>
          </w:tcPr>
          <w:p>
            <w:pPr>
              <w:pStyle w:val="TableContents"/>
              <w:bidi w:val="0"/>
              <w:spacing w:before="0" w:after="283"/>
              <w:jc w:val="left"/>
              <w:rPr/>
            </w:pPr>
            <w:r>
              <w:rPr/>
              <w:t> </w:t>
            </w:r>
          </w:p>
        </w:tc>
      </w:tr>
      <w:tr>
        <w:trPr/>
        <w:tc>
          <w:tcPr>
            <w:tcW w:w="41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86" w:type="dxa"/>
            <w:tcBorders/>
            <w:vAlign w:val="center"/>
          </w:tcPr>
          <w:p>
            <w:pPr>
              <w:pStyle w:val="TableContents"/>
              <w:bidi w:val="0"/>
              <w:spacing w:before="0" w:after="283"/>
              <w:ind w:left="0" w:right="0" w:hanging="180"/>
              <w:jc w:val="left"/>
              <w:rPr/>
            </w:pPr>
            <w:r>
              <w:rPr/>
              <w:t> </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101,699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(14,887</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30, 2025</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86,812</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issuance, changes in the fair value of the derivative liabilities, liability classified warrants, forward purchase agreements and SAFEs are recorded within Other non-operating income, net in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(refer to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March 29, 2026 and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March 29, 2026 were as follows:</w:t>
      </w:r>
    </w:p>
    <w:p>
      <w:pPr>
        <w:pStyle w:val="TextBody"/>
        <w:bidi w:val="0"/>
        <w:spacing w:before="0" w:after="0"/>
        <w:ind w:left="0" w:right="0" w:hanging="0"/>
        <w:jc w:val="both"/>
        <w:rPr>
          <w:caps w:val="false"/>
          <w:smallCaps w:val="false"/>
        </w:rPr>
      </w:pPr>
      <w:r>
        <w:rPr>
          <w:caps w:val="false"/>
          <w:smallCaps w:val="false"/>
        </w:rPr>
        <w:t> </w:t>
      </w:r>
    </w:p>
    <w:tbl>
      <w:tblPr>
        <w:tblW w:w="9935" w:type="dxa"/>
        <w:jc w:val="left"/>
        <w:tblInd w:w="0" w:type="dxa"/>
        <w:tblLayout w:type="fixed"/>
        <w:tblCellMar>
          <w:top w:w="0" w:type="dxa"/>
          <w:left w:w="0" w:type="dxa"/>
          <w:bottom w:w="0" w:type="dxa"/>
          <w:right w:w="0" w:type="dxa"/>
        </w:tblCellMar>
      </w:tblPr>
      <w:tblGrid>
        <w:gridCol w:w="2195"/>
        <w:gridCol w:w="60"/>
        <w:gridCol w:w="153"/>
        <w:gridCol w:w="746"/>
        <w:gridCol w:w="235"/>
        <w:gridCol w:w="65"/>
        <w:gridCol w:w="153"/>
        <w:gridCol w:w="746"/>
        <w:gridCol w:w="235"/>
        <w:gridCol w:w="65"/>
        <w:gridCol w:w="195"/>
        <w:gridCol w:w="950"/>
        <w:gridCol w:w="235"/>
        <w:gridCol w:w="65"/>
        <w:gridCol w:w="153"/>
        <w:gridCol w:w="746"/>
        <w:gridCol w:w="215"/>
        <w:gridCol w:w="60"/>
        <w:gridCol w:w="178"/>
        <w:gridCol w:w="864"/>
        <w:gridCol w:w="273"/>
        <w:gridCol w:w="76"/>
        <w:gridCol w:w="178"/>
        <w:gridCol w:w="864"/>
        <w:gridCol w:w="23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2" w:type="dxa"/>
            <w:gridSpan w:val="14"/>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12.0% Senior Unsecured Convertible Notes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3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w:t>
              <w:br/>
              <w:t>2024</w:t>
              <w:br/>
              <w:t>Notes</w:t>
            </w:r>
            <w:r>
              <w:rPr>
                <w:rFonts w:ascii="Times New Roman;Times;Serif" w:hAnsi="Times New Roman;Times;Serif"/>
                <w:b/>
                <w:position w:val="7"/>
                <w:sz w:val="16"/>
                <w:sz w:val="20"/>
              </w:rPr>
              <w:t>(1)</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November</w:t>
              <w:br/>
              <w:t xml:space="preserve">2025 </w:t>
              <w:br/>
              <w:t>Note</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w:t>
              <w:br/>
              <w:t xml:space="preserve">2026 </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7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3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7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2195"/>
        <w:gridCol w:w="60"/>
        <w:gridCol w:w="206"/>
        <w:gridCol w:w="1004"/>
        <w:gridCol w:w="317"/>
        <w:gridCol w:w="88"/>
        <w:gridCol w:w="206"/>
        <w:gridCol w:w="1004"/>
        <w:gridCol w:w="317"/>
        <w:gridCol w:w="88"/>
        <w:gridCol w:w="206"/>
        <w:gridCol w:w="1004"/>
        <w:gridCol w:w="215"/>
        <w:gridCol w:w="60"/>
        <w:gridCol w:w="178"/>
        <w:gridCol w:w="864"/>
        <w:gridCol w:w="273"/>
        <w:gridCol w:w="76"/>
        <w:gridCol w:w="178"/>
        <w:gridCol w:w="864"/>
        <w:gridCol w:w="23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12.0% Senior Unsecured Convertible Notes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3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July </w:t>
              <w:br/>
              <w:t>2024</w:t>
              <w:br/>
              <w:t>Notes</w:t>
            </w:r>
            <w:r>
              <w:rPr>
                <w:rFonts w:ascii="Times New Roman;Times;Serif" w:hAnsi="Times New Roman;Times;Serif"/>
                <w:b/>
                <w:position w:val="7"/>
                <w:sz w:val="16"/>
                <w:sz w:val="20"/>
              </w:rPr>
              <w:t>(1)</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November</w:t>
              <w:br/>
              <w:t>2025</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7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3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7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w:t>
            </w:r>
          </w:p>
        </w:tc>
        <w:tc>
          <w:tcPr>
            <w:tcW w:w="3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3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conversion option is derived based upon the above assumptions plus a make-whole provision which is based upon changes in the Company’s stock price and the conversion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 Million Note and 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$1.9 Million Note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issued on January 27, 2026 in connection with the Standby Equity Purchase Agreement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and the March 2026 Bridge Note (as defined in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issued on March 6, 2026. The $1.9 Million Note and March 2026 Bridge Note were measured at fair value on a recurring basis and classified as a Level 3 liability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each obligation using a Monte Carlo simulation model, which captures the economic characteristics of the instrument, including its variable conversion price feature that is dependent on future market prices of the Company’s common stock. The Company utilized a “Bond plus Option” approach, where the value of upside plus amortization was determined in a simulation and the value related to principal repayment was calculated as a single payment of principal at maturity. The Company simulated its stock price from the valuation date to maturity date, at a daily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$1.9 Million Note, on each of the simulated paths, the Company (i) tested for an amortization trigger as applicable; and (ii) assumed that the maturity date will not be extended. Once the payoffs for all simulation paths were determined according to above, they were discounted back to the valuation date at the risk-free rate in case the $1.9 Million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March 2026 Bridge Note, on each of the simulated paths, the Company determined the maximum payoff on each installment date based on conversion price. Once the payoffs for all simulation paths were determined according to above, they were discounted back to the valuation date at the risk-free rate in case the March 2026 Bridge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obligations was each calculated as the average present value across all simulation paths plus present value of debt component. The model was calibrated to transaction proceeds by varying credit risk-adjusted rate in the model. The change in yields between the valuation dates was applied to the credit risk-adjusted rate to account for market changes. Thus, these obligations are classified within Level 3 of the fair value hierarchy as the fair values are based upon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for the simulation include stock price, simulation period and volatility of the Company’s common stock and were as follows as of March 29, 2026:</w:t>
      </w:r>
    </w:p>
    <w:p>
      <w:pPr>
        <w:pStyle w:val="TextBody"/>
        <w:bidi w:val="0"/>
        <w:spacing w:before="0" w:after="0"/>
        <w:ind w:left="0" w:right="0" w:hanging="0"/>
        <w:jc w:val="both"/>
        <w:rPr>
          <w:caps w:val="false"/>
          <w:smallCaps w:val="false"/>
        </w:rPr>
      </w:pPr>
      <w:r>
        <w:rPr>
          <w:caps w:val="false"/>
          <w:smallCaps w:val="false"/>
        </w:rPr>
        <w:t> </w:t>
      </w:r>
    </w:p>
    <w:tbl>
      <w:tblPr>
        <w:tblW w:w="5318" w:type="dxa"/>
        <w:jc w:val="left"/>
        <w:tblInd w:w="0" w:type="dxa"/>
        <w:tblLayout w:type="fixed"/>
        <w:tblCellMar>
          <w:top w:w="0" w:type="dxa"/>
          <w:left w:w="0" w:type="dxa"/>
          <w:bottom w:w="0" w:type="dxa"/>
          <w:right w:w="0" w:type="dxa"/>
        </w:tblCellMar>
      </w:tblPr>
      <w:tblGrid>
        <w:gridCol w:w="2285"/>
        <w:gridCol w:w="60"/>
        <w:gridCol w:w="173"/>
        <w:gridCol w:w="1046"/>
        <w:gridCol w:w="215"/>
        <w:gridCol w:w="60"/>
        <w:gridCol w:w="177"/>
        <w:gridCol w:w="1072"/>
        <w:gridCol w:w="230"/>
      </w:tblGrid>
      <w:tr>
        <w:trPr/>
        <w:tc>
          <w:tcPr>
            <w:tcW w:w="2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$1.9 Million</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2026</w:t>
              <w:br/>
              <w:t>Bridge Note</w:t>
            </w:r>
          </w:p>
        </w:tc>
        <w:tc>
          <w:tcPr>
            <w:tcW w:w="23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VWAP stock price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30"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Simulation period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0.83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0.94 years</w:t>
            </w:r>
          </w:p>
        </w:tc>
        <w:tc>
          <w:tcPr>
            <w:tcW w:w="23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risk-adjusted rate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reflects a probability-weighted assessment of settlement outcomes, including conversion into equity versus cash repayment scenarios, and captures the optionality inherent in the instrument. Changes in these assumptions, particularly stock price volatility, credit spread, and the likelihood of conversion, can result in significant fluctuations in the estimated fair value. Changes in fair value are recognized in operating results within “Other non-operating income, net,” in the Company’s unaudited condensed consolidated statements of operations and comprehensive income, and no separate interest expense is recorded, as the fair value measurement incorporates the economic cost of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379" w:type="dxa"/>
        <w:jc w:val="left"/>
        <w:tblInd w:w="0" w:type="dxa"/>
        <w:tblLayout w:type="fixed"/>
        <w:tblCellMar>
          <w:top w:w="0" w:type="dxa"/>
          <w:left w:w="0" w:type="dxa"/>
          <w:bottom w:w="0" w:type="dxa"/>
          <w:right w:w="0" w:type="dxa"/>
        </w:tblCellMar>
      </w:tblPr>
      <w:tblGrid>
        <w:gridCol w:w="2330"/>
        <w:gridCol w:w="60"/>
        <w:gridCol w:w="152"/>
        <w:gridCol w:w="917"/>
        <w:gridCol w:w="215"/>
        <w:gridCol w:w="60"/>
        <w:gridCol w:w="283"/>
        <w:gridCol w:w="1132"/>
        <w:gridCol w:w="230"/>
      </w:tblGrid>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5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term</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price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March 29, 2026 and December 28, 2025.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(“FPA”)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883" w:type="dxa"/>
        <w:jc w:val="left"/>
        <w:tblInd w:w="0" w:type="dxa"/>
        <w:tblLayout w:type="fixed"/>
        <w:tblCellMar>
          <w:top w:w="0" w:type="dxa"/>
          <w:left w:w="0" w:type="dxa"/>
          <w:bottom w:w="0" w:type="dxa"/>
          <w:right w:w="0" w:type="dxa"/>
        </w:tblCellMar>
      </w:tblPr>
      <w:tblGrid>
        <w:gridCol w:w="1835"/>
        <w:gridCol w:w="60"/>
        <w:gridCol w:w="152"/>
        <w:gridCol w:w="917"/>
        <w:gridCol w:w="215"/>
        <w:gridCol w:w="60"/>
        <w:gridCol w:w="341"/>
        <w:gridCol w:w="1073"/>
        <w:gridCol w:w="230"/>
      </w:tblGrid>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3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3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VWAP stock price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23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Simulation period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3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March 29, 2026 and December 28, 2025.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March 29, 2026 and December 28, 2025.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Ambia consideration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deferred consideration shares using a Turnbull–Wakeman closed-form approximation for arithmetic average-rate options, with Black-Scholes values used as an upper bound. The valuation as of March 29, 2026, was based on a stock price of $1.25 and key assumptions including expected volatility of approximately 52% to 72%, risk-free rates of approximately 3.74% to 3.76%, zero dividend yield, and defined averaging periods over the contractual terms. The resulting fair values reflect per-unit option values of approximately $0.26 to $0.38 corresponding to total estimated value of $13.9 million. The fair value of the deferred consideration shares as of December 28, 2025 of $16.9 million was estimated using the Company’s closing share price for its common stock of $1.61 at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was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 not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tables set forth the Company’s financial liabilities that are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26,724</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17,086</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45,830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53,291</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18,793</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33,165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54,369</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5,641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(42,211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59,425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68,305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24,227</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$9.6 million and $10.8 million as of March 29, 2026, and December 28, 2025,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333" w:type="dxa"/>
        <w:jc w:val="left"/>
        <w:tblInd w:w="0" w:type="dxa"/>
        <w:tblLayout w:type="fixed"/>
        <w:tblCellMar>
          <w:top w:w="0" w:type="dxa"/>
          <w:left w:w="0" w:type="dxa"/>
          <w:bottom w:w="0" w:type="dxa"/>
          <w:right w:w="0" w:type="dxa"/>
        </w:tblCellMar>
      </w:tblPr>
      <w:tblGrid>
        <w:gridCol w:w="4595"/>
        <w:gridCol w:w="60"/>
        <w:gridCol w:w="182"/>
        <w:gridCol w:w="887"/>
        <w:gridCol w:w="60"/>
        <w:gridCol w:w="60"/>
        <w:gridCol w:w="241"/>
        <w:gridCol w:w="1173"/>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Costs to obtain contracts and costs to fulfill contracts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7,361</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9,552</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43" w:type="dxa"/>
        <w:jc w:val="left"/>
        <w:tblInd w:w="0" w:type="dxa"/>
        <w:tblLayout w:type="fixed"/>
        <w:tblCellMar>
          <w:top w:w="0" w:type="dxa"/>
          <w:left w:w="0" w:type="dxa"/>
          <w:bottom w:w="0" w:type="dxa"/>
          <w:right w:w="0" w:type="dxa"/>
        </w:tblCellMar>
      </w:tblPr>
      <w:tblGrid>
        <w:gridCol w:w="4805"/>
        <w:gridCol w:w="60"/>
        <w:gridCol w:w="182"/>
        <w:gridCol w:w="887"/>
        <w:gridCol w:w="60"/>
        <w:gridCol w:w="60"/>
        <w:gridCol w:w="241"/>
        <w:gridCol w:w="1173"/>
        <w:gridCol w:w="7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settlements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rebates and credits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fees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financing deposits with related parties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6,301</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$2.2 million and $2.6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Goodwill and Other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the Company completed the acquisition of Cobalt and assigned provisional goodwill of $9.3 million to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March 29, 2026 and December 28, 2025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4220"/>
        <w:gridCol w:w="60"/>
        <w:gridCol w:w="205"/>
        <w:gridCol w:w="999"/>
        <w:gridCol w:w="60"/>
        <w:gridCol w:w="60"/>
        <w:gridCol w:w="210"/>
        <w:gridCol w:w="1024"/>
        <w:gridCol w:w="60"/>
        <w:gridCol w:w="60"/>
        <w:gridCol w:w="140"/>
        <w:gridCol w:w="680"/>
        <w:gridCol w:w="60"/>
        <w:gridCol w:w="60"/>
        <w:gridCol w:w="140"/>
        <w:gridCol w:w="680"/>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Residential </w:t>
              <w:br/>
              <w:t xml:space="preserve">Solar </w:t>
              <w:br/>
              <w:t>Installation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Balance as of December 28, 2025</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62,630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62,630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Goodwill acquired in business combinations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12,977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Balance as of March 29, 2026</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75,607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9" w:type="dxa"/>
            <w:tcBorders>
              <w:bottom w:val="double" w:sz="10" w:space="0" w:color="000000"/>
            </w:tcBorders>
            <w:shd w:fill="CCEEFF" w:val="clear"/>
            <w:tcMar>
              <w:bottom w:w="28" w:type="dxa"/>
            </w:tcM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75,607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March 29, 2026 and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March 29, 2026</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 intangible asset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FFFFFF" w:val="clear"/>
            <w:vAlign w:val="center"/>
          </w:tcPr>
          <w:p>
            <w:pPr>
              <w:pStyle w:val="TableContents"/>
              <w:bidi w:val="0"/>
              <w:spacing w:before="0" w:after="283"/>
              <w:jc w:val="left"/>
              <w:rPr/>
            </w:pPr>
            <w:r>
              <w:rPr/>
              <w:t> </w:t>
            </w:r>
          </w:p>
        </w:tc>
        <w:tc>
          <w:tcPr>
            <w:tcW w:w="75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FFFFFF" w:val="clear"/>
            <w:vAlign w:val="center"/>
          </w:tcPr>
          <w:p>
            <w:pPr>
              <w:pStyle w:val="TableContents"/>
              <w:bidi w:val="0"/>
              <w:spacing w:before="0" w:after="283"/>
              <w:jc w:val="left"/>
              <w:rPr/>
            </w:pPr>
            <w:r>
              <w:rPr/>
              <w:t> </w:t>
            </w:r>
          </w:p>
        </w:tc>
        <w:tc>
          <w:tcPr>
            <w:tcW w:w="112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FFFFFF" w:val="clear"/>
            <w:vAlign w:val="center"/>
          </w:tcPr>
          <w:p>
            <w:pPr>
              <w:pStyle w:val="TableContents"/>
              <w:bidi w:val="0"/>
              <w:spacing w:before="0" w:after="283"/>
              <w:jc w:val="left"/>
              <w:rPr/>
            </w:pPr>
            <w:r>
              <w:rPr/>
              <w:t> </w:t>
            </w:r>
          </w:p>
        </w:tc>
        <w:tc>
          <w:tcPr>
            <w:tcW w:w="812"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December 28, 2025</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12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81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$2.9 million and $0.7 million in the thirteen week periods ended March 29, 2026 and March 30, 2025, respectively. Amortization expense for developed technology is classified in cost of revenues and all other amortization expense is classified in general and administrative expenses on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SAFE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Rodgers Massey Freedom and Free Markets Charitable Trust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$0.6 million and $0.5 million as of March 29, 2026 and December 28, 2025, respectively. Refer to </w:t>
      </w:r>
      <w:r>
        <w:rPr>
          <w:rFonts w:ascii="Times New Roman;Times;Serif" w:hAnsi="Times New Roman;Times;Serif"/>
          <w:b/>
          <w:i w:val="false"/>
          <w:caps w:val="false"/>
          <w:smallCaps w:val="false"/>
          <w:sz w:val="20"/>
        </w:rPr>
        <w:t xml:space="preserve">Note 5 – Fair Value Measurements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SAFE was converted and exchanged into $1.0 million principal amount of the Company’s 10.0% convertible secured notes due 2029.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5"/>
        <w:gridCol w:w="60"/>
        <w:gridCol w:w="155"/>
        <w:gridCol w:w="887"/>
        <w:gridCol w:w="95"/>
        <w:gridCol w:w="60"/>
        <w:gridCol w:w="207"/>
        <w:gridCol w:w="1194"/>
        <w:gridCol w:w="112"/>
      </w:tblGrid>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(including current portion of long-term debt):</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Cobalt Loan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Total Short-term debt with third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13,736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and current portion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with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Note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Loan with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with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12.0% senior unsecured convertible notes and related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32,219</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derivative liability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12.0%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79,487</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 –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43,800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 derivative liability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78,588</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notes payable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senior unsecured convertible notes payable and derivative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sheet classification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120,159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with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 including net of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Short-term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(“YA”). Pursuant to the SEPA, YA agreed to advance up to $20.0 million (the “Pre-Paid Advances”) to the Company in the form of convertible promissory notes (each “Promissory Note”), subject to the terms and conditions of the SEPA. Each Promissory Note bears interest at 0% per annum, which increases to 18% per annum upon the occurrence and continuance of an Event of Default (as defined in the Promissory Notes) for so long as such event remains uncured. Each tranche is funded at a 10% discount to its principal amount. The Promissory Notes are initially convertible into 540.5405 shares of the Company’s common stock per $1,000 principal amount,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also provides the Company the right, subject to certain conditions, to require YA to purchase up to $25.0 million of the Company’s common stock (“Commitment Amount”) through January 27,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SEPA, the Company paid YA total fees of $0.4 million consisting of $0.05 million of cash and 175,000 shares of the Company’s common stock, with a fair value of $0.3 million, as a due diligence, structuring and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the Company under the SEPA the Commitment Amount in full. The Company may terminate the SEPA at any time upon five trading days’ prior written notice to YA, provided that there are no outstanding advance notices under which the Company is yet to issue shares of its common stock, there are no amounts outstanding under the Promissory Notes, and provided that the Company has paid all amounts owed to YA pursuant to the SEPA. The Company and YA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and the Company received net proceeds of $1.71 million after the contractual discount. The $1.9 Million Note matures on January 27, 2027, which may be extended at YA’s option. The Company’s rights for further Pre-Paid Advances under the SEPA terminated pursuant to the terms of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for the $1.9 Million Note. Accordingly, the $1.9 Million Note is recorded at fair value upon issuance and are subsequently remeasured at fair value at each reporting date, with changes in fair value recognized 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$1.9 Million Note. The $1.9 Million Note is classified as a Level 3 liability within the fair value hierarchy established by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due to the use of significant unobservable inputs in the valuation.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 description of the inputs and assumptions used in the valuation of the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$1.9 Million Note was recorded at its estimated fair value of $1.7 million on the issuance date. As of March 29, 2026, the $1.9 Million Note had a fair value of $1.5 million. The change in the fair value of the $1.9 Million Note was included in “Other non-operating income, net” within the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purchase agreement (“Purchase Agreement”) with YA pursuant to which the Company issued a convertible debenture in the principal amount of $10.0 million (the “March 2026 Bridge Note” and collectively with the $1.9 Million Note, the “Yorkville Notes”). The Company received net proceeds of $9.0 million at issuance, after deducting fees payable under the Purchase Agreement. The March 2026 Bridge Note matures on March 6, 2027, unless extended at YA’s option. The March 2026 Bridge Note bears interest at 0% per annum; however, upon the occurrence and continuance of an event of default, the interest rate increases to 18%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March 2026 Bridge Note. As a result, the March 2026 Bridge Note is carried at fair value, with changes in fair value recognized in earnings within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the March 2026 Bridge Note. The March 2026 Bridge Note is classified as a Level 3 liability within the fair value hierarchy established by ASC 820 due to the use of significant unobservable inputs in the valuation. See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additional information regarding the valuation of the March 2026 Bridge Note, including key assumptions and valuation methodologies.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March 2026 Bridge Note was recorded at its estimated fair value of $9.0 million on the issuance date. As of March 29, 2026, the March 2026 Bridge Note had a fair value of $9.5 million. The change in the fair value of the March 2026 Bridge Note was included in “Other non-operating income, net” within the Company’s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March 2026 Bridge Note required installment payments on May 6, 2026, June 6, 2026, July 6, 2026, August 6, 2026, and September 6, 2026 (each, an “Installment Date”). On each Installment Date, the Company was required to pay an amount equal to (i) $2.0 million of principal, (ii) a payment premium of $0.06 million, and (iii) any accrued and unpaid interest (collectively, the “Installment Amount”). The Company may satisfy each Installment Amount, at its option, (a) in cash, (b) by submitting an advance notice pursuant to the SEPA, or (c) through a combination of cash and such advance notice. On April 21, 2026, the Company and YA agreed to amend the Installment Dates in connection with a $5.0 million prepayment of the March 2026 Bridge Note. As amended, on each of May 5, 2026, June 5, 2026, July 5, 2026 and August 5, 2026, the Company is required to pay an amount equal to (i) $1.25 million of principal, (ii) a payment premium of $0.0375 million, and (iii) any accrued and unpaid interest.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CPP (“Seller Note”) in connection with the Company’s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was initially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providing that if the terms of the SEPA would restrict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CPP agreed that the interest rate applicable to the Seller Note will increase to 10.0% per annum if the principal amount of the Seller Note remains outstanding after May 15, 2026. As an inducement to CPP’s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CPP pursuant to the Sunder MIPA. On April 8, 2026, the Company issued the remaining 6.7 million shares of the Company’s common stock due under the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the A&amp;R Seller Note with a revised principal amount of $7.0 million.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$0.4 million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loan with a principal balance of $1.5 million owed to the Rodgers Revocable Trust, a related party. This loan has an annual interest rate equal to the greater of 7.75% or Prime plus 4.5%.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$0.1 million in each of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Cobalt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Cobalt, the Company assumed a loan (“Cobalt Loan”). Cobalt originally entered into the loan on July 1, 2024, with Santa Cruz County Bank. The principal amount of the Cobalt Loan was $3.0 million and has a final maturity on June 5, 2034. The Cobalt Loan is secured by all of Cobalt’s business assets pursuant to a blanket lien as well as additional collateral, including limited guarantees secured with a third deed of trust on certain real estate properties and other assets of the former owners of Cobalt. The interest rate on the Cobalt loan is Prime plus 2.75%.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Cobalt Loan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12.0% Senior Unsecured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issued $46.0 million of senior unsecured convertible notes (“July 2024 Notes”) consisting of $28.0 million in cash proceeds. The remaining $18.0 million of the July 2024 Notes arose from an exchange of debt accounted for as a troubled debt restructuring (“Debt Exchange”). Refer to the Company’s Annual Report on Form 10-K for the fiscal year ended December 28, 2025 for details regarding $18.0 million of debt arising from the Debt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proceeds of $28.0 million included $18.0 million from the Rodgers Revocable Trust, a related party and $10.0 million of the debt exchanged was issued to Carlyle, also a related party. Carlyle was no longer deemed a related party to the Company subsequent to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March 29. 2026. Coupon interest, default interest and failure to file interest on the $18.0 million Debt Exchange were capitalized as part of the July 2024 Notes. Accordingly, the effective interest rate on the $18.0 million arising from the Debt Exchange is nil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53" w:type="dxa"/>
        <w:jc w:val="left"/>
        <w:tblInd w:w="0" w:type="dxa"/>
        <w:tblLayout w:type="fixed"/>
        <w:tblCellMar>
          <w:top w:w="0" w:type="dxa"/>
          <w:left w:w="0" w:type="dxa"/>
          <w:bottom w:w="0" w:type="dxa"/>
          <w:right w:w="0" w:type="dxa"/>
        </w:tblCellMar>
      </w:tblPr>
      <w:tblGrid>
        <w:gridCol w:w="3845"/>
        <w:gridCol w:w="60"/>
        <w:gridCol w:w="167"/>
        <w:gridCol w:w="902"/>
        <w:gridCol w:w="95"/>
        <w:gridCol w:w="60"/>
        <w:gridCol w:w="220"/>
        <w:gridCol w:w="1194"/>
        <w:gridCol w:w="110"/>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principal amount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56,801</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capitalized coupon interest of $7.5 million and $8.6 million as of March 29, 2026 and December 28, 2025, respectively, and capitalized contingent interest of $2.0 million and $2.2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$1.3 million and $1.1 million, respectively, with coupon interest expense of $0.8 million in each period, and debt discount and issuance costs of $0.5 million and $0.3 million in the thirteen week periods ended March 29, 2026 and March 30, 2025, respectively. Of the coupon interest expense, related party interest expense was $0.5 million in each period. Related party amortization expense was $0.3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55"/>
        <w:gridCol w:w="60"/>
        <w:gridCol w:w="193"/>
        <w:gridCol w:w="876"/>
        <w:gridCol w:w="95"/>
        <w:gridCol w:w="60"/>
        <w:gridCol w:w="254"/>
        <w:gridCol w:w="1160"/>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2025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week period ended March 29, 2026, the total interest expense was $0.2 million with coupon interest expense $0.15 million and debt discount and issuance costs of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78" w:type="dxa"/>
        <w:jc w:val="left"/>
        <w:tblInd w:w="0" w:type="dxa"/>
        <w:tblLayout w:type="fixed"/>
        <w:tblCellMar>
          <w:top w:w="0" w:type="dxa"/>
          <w:left w:w="0" w:type="dxa"/>
          <w:bottom w:w="0" w:type="dxa"/>
          <w:right w:w="0" w:type="dxa"/>
        </w:tblCellMar>
      </w:tblPr>
      <w:tblGrid>
        <w:gridCol w:w="4370"/>
        <w:gridCol w:w="60"/>
        <w:gridCol w:w="193"/>
        <w:gridCol w:w="876"/>
        <w:gridCol w:w="95"/>
        <w:gridCol w:w="60"/>
        <w:gridCol w:w="254"/>
        <w:gridCol w:w="1160"/>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November 2025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less than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January 2026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 The January 2026 Note has an effective interest rate of 61%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January 2026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339" w:type="dxa"/>
        <w:jc w:val="left"/>
        <w:tblInd w:w="0" w:type="dxa"/>
        <w:tblLayout w:type="fixed"/>
        <w:tblCellMar>
          <w:top w:w="0" w:type="dxa"/>
          <w:left w:w="0" w:type="dxa"/>
          <w:bottom w:w="0" w:type="dxa"/>
          <w:right w:w="0" w:type="dxa"/>
        </w:tblCellMar>
      </w:tblPr>
      <w:tblGrid>
        <w:gridCol w:w="4100"/>
        <w:gridCol w:w="60"/>
        <w:gridCol w:w="193"/>
        <w:gridCol w:w="876"/>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29,</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both"/>
              <w:rPr/>
            </w:pPr>
            <w:r>
              <w:rPr/>
              <w:t>January 2026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3,300</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both"/>
              <w:rPr/>
            </w:pPr>
            <w:r>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(2,262</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both"/>
              <w:rPr/>
            </w:pPr>
            <w:r>
              <w:rPr/>
              <w:t>Net carrying amount of January 2026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pPr>
            <w:r>
              <w:rPr/>
              <w:t>1,038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were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As the $66.8 million of notes were issued with a debt discount in excess of the principal amount, the initial net carrying amount of the September 2024 Notes was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thirteen week period ended March 29, 2025 $2.8 million of the September 2024 Notes were converted into 1.6 million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4460"/>
        <w:gridCol w:w="60"/>
        <w:gridCol w:w="167"/>
        <w:gridCol w:w="902"/>
        <w:gridCol w:w="95"/>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$5.9 million and $5.0 million with coupon interest expense of $1.1 million and $1.4 million, respectively, and debt discount and issuance costs of $4.8 million and $3.6 million, respectively. Of the coupon interest expense, related party interest expense was $0.2 million and $0.1 million in the thirteen week periods ended March 29, 2026 and March 30, 2025, respectively. Related party amortization expense was $0.5 million and $0.5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$3.6 million debt discount and issuance costs in connection with the September 2025 Notes. The debt issuance costs include an estimate of the value of a warrant issued in the second quarter of fiscal 2026 to the entity that arranged the financing. The effective interest rate on the September 2025 Notes approximated 78% as of March 29, 2026.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4460"/>
        <w:gridCol w:w="60"/>
        <w:gridCol w:w="167"/>
        <w:gridCol w:w="902"/>
        <w:gridCol w:w="95"/>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total interest expense was $0.6 million with coupon interest expense of $0.4 million and debt discount and issuance costs of $0.2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separately- and privately- negotiated exchange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xml:space="preserve">”) with certain holders of the 7.0% Notes to repurchase $21.25 million aggregate principal amount of outstanding 7.0% Notes in exchange for (i) an aggregate of 18.8 million shares of the Company’s common stock and (ii) approximately $0.5 of accrued interest payable under the exchanged 7.0% Notes.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Principal payments due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contingent interest in connection with the July 2024 Notes, is as follows:</w:t>
      </w:r>
    </w:p>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420"/>
        <w:gridCol w:w="60"/>
        <w:gridCol w:w="141"/>
        <w:gridCol w:w="809"/>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w:t>
              <w:br/>
              <w:t>payment</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 ending</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Remainder of fiscal 2026</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35,284</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141,894</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6"/>
        <w:gridCol w:w="60"/>
        <w:gridCol w:w="185"/>
        <w:gridCol w:w="893"/>
        <w:gridCol w:w="122"/>
        <w:gridCol w:w="77"/>
        <w:gridCol w:w="185"/>
        <w:gridCol w:w="893"/>
        <w:gridCol w:w="114"/>
      </w:tblGrid>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March 29,</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March 30,</w:t>
            </w:r>
          </w:p>
        </w:tc>
        <w:tc>
          <w:tcPr>
            <w:tcW w:w="114" w:type="dxa"/>
            <w:tcBorders/>
            <w:vAlign w:val="center"/>
          </w:tcPr>
          <w:p>
            <w:pPr>
              <w:pStyle w:val="TableContents"/>
              <w:bidi w:val="0"/>
              <w:spacing w:before="0" w:after="283"/>
              <w:jc w:val="left"/>
              <w:rPr/>
            </w:pPr>
            <w:r>
              <w:rPr/>
              <w:t> </w:t>
            </w:r>
          </w:p>
        </w:tc>
      </w:tr>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on remeasurement of derivative liabilities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26,608</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15,127</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(1,142</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269</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Change in fair value of SAFE Agreement with related party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(44</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(20</w:t>
            </w:r>
          </w:p>
        </w:tc>
        <w:tc>
          <w:tcPr>
            <w:tcW w:w="114" w:type="dxa"/>
            <w:tcBorders/>
            <w:shd w:fill="CCEEFF" w:val="clear"/>
            <w:vAlign w:val="center"/>
          </w:tcPr>
          <w:p>
            <w:pPr>
              <w:pStyle w:val="TableContents"/>
              <w:bidi w:val="0"/>
              <w:spacing w:before="0" w:after="283"/>
              <w:jc w:val="left"/>
              <w:rPr/>
            </w:pPr>
            <w:r>
              <w:rPr/>
              <w:t>)</w:t>
            </w:r>
          </w:p>
        </w:tc>
      </w:tr>
      <w:tr>
        <w:trPr/>
        <w:tc>
          <w:tcPr>
            <w:tcW w:w="7676" w:type="dxa"/>
            <w:tcBorders/>
            <w:shd w:fill="FFFFFF" w:val="clear"/>
            <w:vAlign w:val="center"/>
          </w:tcPr>
          <w:p>
            <w:pPr>
              <w:pStyle w:val="TableContents"/>
              <w:bidi w:val="0"/>
              <w:spacing w:before="0" w:after="283"/>
              <w:jc w:val="both"/>
              <w:rPr/>
            </w:pPr>
            <w:r>
              <w:rPr/>
              <w:t>Change in fair value of FACT public, private placement and working capital warrants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615</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(1,092</w:t>
            </w:r>
          </w:p>
        </w:tc>
        <w:tc>
          <w:tcPr>
            <w:tcW w:w="114" w:type="dxa"/>
            <w:tcBorders/>
            <w:shd w:fill="FFFFFF" w:val="clear"/>
            <w:vAlign w:val="center"/>
          </w:tcPr>
          <w:p>
            <w:pPr>
              <w:pStyle w:val="TableContents"/>
              <w:bidi w:val="0"/>
              <w:spacing w:before="0" w:after="283"/>
              <w:jc w:val="left"/>
              <w:rPr/>
            </w:pPr>
            <w:r>
              <w:rPr/>
              <w:t>)</w:t>
            </w:r>
          </w:p>
        </w:tc>
      </w:tr>
      <w:tr>
        <w:trPr/>
        <w:tc>
          <w:tcPr>
            <w:tcW w:w="7676" w:type="dxa"/>
            <w:tcBorders/>
            <w:shd w:fill="CCEEFF" w:val="clear"/>
            <w:vAlign w:val="center"/>
          </w:tcPr>
          <w:p>
            <w:pPr>
              <w:pStyle w:val="TableContents"/>
              <w:bidi w:val="0"/>
              <w:spacing w:before="0" w:after="283"/>
              <w:jc w:val="both"/>
              <w:rPr/>
            </w:pPr>
            <w:r>
              <w:rPr/>
              <w:t>Change in fair value of Notes valued at fair value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(320</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pPr>
            <w:r>
              <w:rPr/>
              <w:t>Change in fair value of Deferred Sunder Consideration with related party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2,306</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Change in fair value of Deferred Ambia Consideration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2,943</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(205</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292</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Total Other non-operating income, net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30,761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14,576</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$7.5 million and $3.7 million on the change in the fair value of derivative liabilities with related parties in the thirteen weeks ended March 29, 2026 and March 30, 2025, respectively. Refer to </w:t>
            </w:r>
            <w:r>
              <w:rPr>
                <w:rFonts w:ascii="Times New Roman;Times;Serif" w:hAnsi="Times New Roman;Times;Serif"/>
                <w:b/>
                <w:sz w:val="20"/>
              </w:rPr>
              <w:t>Note 9 – Borrowings and Derivative Liabilities</w:t>
            </w:r>
            <w:r>
              <w:rPr>
                <w:rFonts w:ascii="Times New Roman;Times;Serif" w:hAnsi="Times New Roman;Times;Serif"/>
                <w:sz w:val="20"/>
              </w:rPr>
              <w:t xml:space="preserve"> for details.</w:t>
            </w:r>
          </w:p>
        </w:tc>
      </w:tr>
    </w:tbl>
    <w:p>
      <w:pPr>
        <w:pStyle w:val="TextBody"/>
        <w:bidi w:val="0"/>
        <w:spacing w:before="0" w:after="0"/>
        <w:ind w:left="360" w:right="0" w:hanging="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income of $0.1 million due to related parties for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260"/>
        <w:gridCol w:w="830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$0.1 million income due to related parties in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9"/>
        <w:gridCol w:w="60"/>
        <w:gridCol w:w="213"/>
        <w:gridCol w:w="853"/>
        <w:gridCol w:w="90"/>
        <w:gridCol w:w="90"/>
        <w:gridCol w:w="213"/>
        <w:gridCol w:w="853"/>
        <w:gridCol w:w="114"/>
      </w:tblGrid>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center"/>
              <w:rPr>
                <w:b/>
              </w:rPr>
            </w:pPr>
            <w:r>
              <w:rPr>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center"/>
              <w:rPr>
                <w:b/>
              </w:rPr>
            </w:pPr>
            <w:r>
              <w:rPr>
                <w:b/>
              </w:rPr>
              <w:t>March 30,</w:t>
            </w:r>
          </w:p>
        </w:tc>
        <w:tc>
          <w:tcPr>
            <w:tcW w:w="114" w:type="dxa"/>
            <w:tcBorders/>
            <w:vAlign w:val="center"/>
          </w:tcPr>
          <w:p>
            <w:pPr>
              <w:pStyle w:val="TableContents"/>
              <w:bidi w:val="0"/>
              <w:spacing w:before="0" w:after="283"/>
              <w:jc w:val="left"/>
              <w:rPr/>
            </w:pPr>
            <w:r>
              <w:rPr/>
              <w:t> </w:t>
            </w:r>
          </w:p>
        </w:tc>
      </w:tr>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4,653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5,968</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Accruals for new warranties issued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236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526</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Settlements and other</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114" w:type="dxa"/>
            <w:tcBorders/>
            <w:shd w:fill="CCEEFF" w:val="clear"/>
            <w:vAlign w:val="center"/>
          </w:tcPr>
          <w:p>
            <w:pPr>
              <w:pStyle w:val="TableContents"/>
              <w:bidi w:val="0"/>
              <w:spacing w:before="0" w:after="283"/>
              <w:jc w:val="left"/>
              <w:rPr/>
            </w:pPr>
            <w:r>
              <w:rPr/>
              <w:t>)</w:t>
            </w:r>
          </w:p>
        </w:tc>
      </w:tr>
      <w:tr>
        <w:trPr/>
        <w:tc>
          <w:tcPr>
            <w:tcW w:w="7719" w:type="dxa"/>
            <w:tcBorders/>
            <w:shd w:fill="FFFFFF" w:val="clear"/>
            <w:vAlign w:val="center"/>
          </w:tcPr>
          <w:p>
            <w:pPr>
              <w:pStyle w:val="TableContents"/>
              <w:bidi w:val="0"/>
              <w:spacing w:before="0" w:after="283"/>
              <w:jc w:val="left"/>
              <w:rPr/>
            </w:pPr>
            <w:r>
              <w:rPr/>
              <w:t>Warranty provision, end of period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4,889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6,456</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Balance sheet classification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Accrued warranty current (Classified in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1,830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3,019</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Total warranty liability</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4,889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6,456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recorded within accrued expenses and other current liabilities on its consolidated balance sheets as of March 29, 2026, and December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heard argument regarding the Company’s partial motion to dismiss on February 12, 2026. On April 8, 2026, the Court granted-in-part and denied-in-part the Company’s partial motion to dismiss. The Court denied the Company’s motion as to the breach of contract claim and granted the motion as to fraudulent inducement, tortious interference, and injunctive relief. The Court dismissed the tortious interference and injunctive relief claims with prejudice but granted SolarPark’s leave to amend its fraudulent inducement claim. On April 28, 2026, SolarPark filed a notice stating that it did not intend to amend its complaint to refile a fraudulent inducement claim. SolarPark now intends to proceed only on the surviving claims (misappropriation of trade secrets and breach of contract). On April 29, 2026, the Court set a case management conference for June 4, 2026, and a deadline for filing a joint case management statement by May 28, 2026. The Company intends to answer the complaint and file counterclaims.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(collectively, the “Fundraise Provision”).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$1.1 million and $3.5 million of outstanding letters of credit as of March 29, 2026 and December 28, 2025, respectively.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$1.1 million and $3.8 million at each of March 29, 2026 and December 28,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for interim periods is computed using an estimated annual effective tax rate applied to year-to-date ordinary income or loss, adjusted for the tax effects of discrete items recognized in the period in which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$0.6 million and nil in the thirteen week periods ended March 29, 2026, and March 30,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10.4% and nil for the thirteen week periods ended March 29, 2026, and March 30, 2025, respectively. The effective tax rate for the thirteen week period ended March 29, 2026 differs from the U.S. statutory rate of 21.0% primarily because of permanent differences due to fair value adjustments and the valuation allowance against most of the deferred tax assets. The effective tax rate for the thirteen week period ended March 30, 2025 differs from the U.S. statutory rate of 21.0% primarily because of permanent differences due to fair value adjustments, share-based compensation related to stock options, non-deductible meals and entertainment, and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history of net operating losses, the Company has provided a full valuation allowance against its deferred tax assets. During the thirteen week period ended March 29, 2026, the Company recorded a $0.8 million decrease in its valuation allowance primarily related to recognition of deferred tax liabilities in connection with the Cobalt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thirteen week periods ended March 29, 2026 and March 30, 2025, the Company had no unrecognized tax benefits. The Company recognizes interest and penalties related to unrecognized tax benefits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Common Stock and 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March 29, 2026. No preferred stock has been issued and none are outstanding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 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Company issued an aggregate of 4.6 million shares of the Company’s common stock for total proceeds of $7.0 million. As of March 29, 2026, the Company has issued an aggregate of 11.5 million shares of the Company’s common stock for total proceeds of $20.4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219" w:type="dxa"/>
        <w:jc w:val="left"/>
        <w:tblInd w:w="0" w:type="dxa"/>
        <w:tblLayout w:type="fixed"/>
        <w:tblCellMar>
          <w:top w:w="0" w:type="dxa"/>
          <w:left w:w="0" w:type="dxa"/>
          <w:bottom w:w="0" w:type="dxa"/>
          <w:right w:w="0" w:type="dxa"/>
        </w:tblCellMar>
      </w:tblPr>
      <w:tblGrid>
        <w:gridCol w:w="5270"/>
        <w:gridCol w:w="60"/>
        <w:gridCol w:w="60"/>
        <w:gridCol w:w="1220"/>
        <w:gridCol w:w="60"/>
        <w:gridCol w:w="60"/>
        <w:gridCol w:w="65"/>
        <w:gridCol w:w="1349"/>
        <w:gridCol w:w="75"/>
      </w:tblGrid>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19,164,660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authorized for future issuance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82,635,442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82,460,428</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purchase price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4,973,840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11,640,506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shares reserved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155,827,049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163,183,801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4"/>
        <w:gridCol w:w="60"/>
        <w:gridCol w:w="66"/>
        <w:gridCol w:w="1223"/>
        <w:gridCol w:w="66"/>
        <w:gridCol w:w="66"/>
        <w:gridCol w:w="69"/>
        <w:gridCol w:w="1225"/>
        <w:gridCol w:w="60"/>
        <w:gridCol w:w="60"/>
        <w:gridCol w:w="183"/>
        <w:gridCol w:w="735"/>
        <w:gridCol w:w="60"/>
        <w:gridCol w:w="60"/>
        <w:gridCol w:w="1507"/>
        <w:gridCol w:w="81"/>
      </w:tblGrid>
      <w:tr>
        <w:trPr/>
        <w:tc>
          <w:tcPr>
            <w:tcW w:w="46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Potential shares of common</w:t>
              <w:br/>
              <w:t>stock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29,</w:t>
              <w:br/>
              <w:t xml:space="preserve">2026 </w:t>
            </w:r>
            <w:r>
              <w:rPr>
                <w:rFonts w:ascii="Times New Roman;Times;Serif" w:hAnsi="Times New Roman;Times;Serif"/>
                <w:b/>
                <w:position w:val="7"/>
                <w:sz w:val="16"/>
                <w:sz w:val="20"/>
              </w:rPr>
              <w:t>(1)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81" w:type="dxa"/>
            <w:tcBorders/>
            <w:vAlign w:val="center"/>
          </w:tcPr>
          <w:p>
            <w:pPr>
              <w:pStyle w:val="TableContents"/>
              <w:bidi w:val="0"/>
              <w:spacing w:before="0" w:after="283"/>
              <w:jc w:val="left"/>
              <w:rPr/>
            </w:pPr>
            <w:r>
              <w:rPr/>
              <w:t> </w:t>
            </w:r>
          </w:p>
        </w:tc>
      </w:tr>
      <w:tr>
        <w:trPr/>
        <w:tc>
          <w:tcPr>
            <w:tcW w:w="4684"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Liability classified warrants</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CCEEFF" w:val="clear"/>
            <w:vAlign w:val="center"/>
          </w:tcPr>
          <w:p>
            <w:pPr>
              <w:pStyle w:val="TableContents"/>
              <w:bidi w:val="0"/>
              <w:spacing w:before="0" w:after="283"/>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liability classified warrants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classified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2026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 Warrants (converted to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C-1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2030</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Promissory Note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2031</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2023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2028</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 Issued in 2023 (“Merger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2033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Cantor Warrant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equity classified warrants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potential shares of common stock</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which was not issued as of March 29, 2026.</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9609" w:type="dxa"/>
        <w:jc w:val="left"/>
        <w:tblInd w:w="0" w:type="dxa"/>
        <w:tblLayout w:type="fixed"/>
        <w:tblCellMar>
          <w:top w:w="0" w:type="dxa"/>
          <w:left w:w="0" w:type="dxa"/>
          <w:bottom w:w="0" w:type="dxa"/>
          <w:right w:w="0" w:type="dxa"/>
        </w:tblCellMar>
      </w:tblPr>
      <w:tblGrid>
        <w:gridCol w:w="4550"/>
        <w:gridCol w:w="60"/>
        <w:gridCol w:w="65"/>
        <w:gridCol w:w="1064"/>
        <w:gridCol w:w="60"/>
        <w:gridCol w:w="60"/>
        <w:gridCol w:w="240"/>
        <w:gridCol w:w="755"/>
        <w:gridCol w:w="60"/>
        <w:gridCol w:w="60"/>
        <w:gridCol w:w="150"/>
        <w:gridCol w:w="1100"/>
        <w:gridCol w:w="60"/>
        <w:gridCol w:w="60"/>
        <w:gridCol w:w="238"/>
        <w:gridCol w:w="952"/>
        <w:gridCol w:w="75"/>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Outstanding—December 28, 2025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4,930,300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1,903</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Outstanding—March 29,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1,376</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Vested and expected to vest — March 29,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4,930,300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1,376</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Vested and exercisable — March 29,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1,781,378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in the thirteen week periods ended March 29, 2026, and March 30, 2025 were $1.3 million and $3.8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5779" w:type="dxa"/>
        <w:jc w:val="left"/>
        <w:tblInd w:w="0" w:type="dxa"/>
        <w:tblLayout w:type="fixed"/>
        <w:tblCellMar>
          <w:top w:w="0" w:type="dxa"/>
          <w:left w:w="0" w:type="dxa"/>
          <w:bottom w:w="0" w:type="dxa"/>
          <w:right w:w="0" w:type="dxa"/>
        </w:tblCellMar>
      </w:tblPr>
      <w:tblGrid>
        <w:gridCol w:w="3095"/>
        <w:gridCol w:w="60"/>
        <w:gridCol w:w="60"/>
        <w:gridCol w:w="1100"/>
        <w:gridCol w:w="95"/>
        <w:gridCol w:w="60"/>
        <w:gridCol w:w="297"/>
        <w:gridCol w:w="937"/>
        <w:gridCol w:w="7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14,234,360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and released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Cancelled or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March 29,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13,369,260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in the thirteen week periods ended March 29, 2026 and March 30, 2025 were $1.5 million and $0.5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there was a total of $0.9 million and $21.3 million of unrecognized stock-based compensation costs related to service-based options and RSUs, respectively. Such compensation cost is expected to be recognized over a weighted-average period of approximately 2.3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46" w:type="dxa"/>
        <w:jc w:val="left"/>
        <w:tblInd w:w="0" w:type="dxa"/>
        <w:tblLayout w:type="fixed"/>
        <w:tblCellMar>
          <w:top w:w="0" w:type="dxa"/>
          <w:left w:w="0" w:type="dxa"/>
          <w:bottom w:w="0" w:type="dxa"/>
          <w:right w:w="0" w:type="dxa"/>
        </w:tblCellMar>
      </w:tblPr>
      <w:tblGrid>
        <w:gridCol w:w="3890"/>
        <w:gridCol w:w="60"/>
        <w:gridCol w:w="248"/>
        <w:gridCol w:w="992"/>
        <w:gridCol w:w="106"/>
        <w:gridCol w:w="106"/>
        <w:gridCol w:w="288"/>
        <w:gridCol w:w="781"/>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4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Basic and Diluted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income per share. No dividends were declared or paid in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Company’s basic and diluted net income per share attributable to common stockholders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9350" w:type="dxa"/>
        <w:jc w:val="left"/>
        <w:tblInd w:w="0" w:type="dxa"/>
        <w:tblLayout w:type="fixed"/>
        <w:tblCellMar>
          <w:top w:w="0" w:type="dxa"/>
          <w:left w:w="0" w:type="dxa"/>
          <w:bottom w:w="0" w:type="dxa"/>
          <w:right w:w="0" w:type="dxa"/>
        </w:tblCellMar>
      </w:tblPr>
      <w:tblGrid>
        <w:gridCol w:w="6305"/>
        <w:gridCol w:w="60"/>
        <w:gridCol w:w="140"/>
        <w:gridCol w:w="1220"/>
        <w:gridCol w:w="95"/>
        <w:gridCol w:w="60"/>
        <w:gridCol w:w="140"/>
        <w:gridCol w:w="1220"/>
        <w:gridCol w:w="110"/>
      </w:tblGrid>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30,</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both"/>
              <w:rPr>
                <w:b/>
              </w:rPr>
            </w:pPr>
            <w:r>
              <w:rPr>
                <w:b/>
              </w:rPr>
              <w:t>Numerator for basic income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4,812</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b/>
              </w:rPr>
            </w:pPr>
            <w:r>
              <w:rPr>
                <w:b/>
              </w:rPr>
              <w:t>Numerator for diluted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July 2024 Notes derivative liability and interest expense, net of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(3,138</w:t>
            </w:r>
          </w:p>
        </w:tc>
        <w:tc>
          <w:tcPr>
            <w:tcW w:w="110" w:type="dxa"/>
            <w:tcBorders/>
            <w:shd w:fill="FFFFFF" w:val="clear"/>
            <w:vAlign w:val="center"/>
          </w:tcPr>
          <w:p>
            <w:pPr>
              <w:pStyle w:val="TableContents"/>
              <w:bidi w:val="0"/>
              <w:spacing w:before="0" w:after="283"/>
              <w:jc w:val="left"/>
              <w:rPr/>
            </w:pPr>
            <w:r>
              <w:rPr/>
              <w:t>)</w:t>
            </w:r>
          </w:p>
        </w:tc>
      </w:tr>
      <w:tr>
        <w:trPr/>
        <w:tc>
          <w:tcPr>
            <w:tcW w:w="6305" w:type="dxa"/>
            <w:tcBorders/>
            <w:shd w:fill="CCEEFF" w:val="clear"/>
            <w:vAlign w:val="center"/>
          </w:tcPr>
          <w:p>
            <w:pPr>
              <w:pStyle w:val="TableContents"/>
              <w:bidi w:val="0"/>
              <w:spacing w:before="0" w:after="283"/>
              <w:jc w:val="both"/>
              <w:rPr/>
            </w:pPr>
            <w:r>
              <w:rPr/>
              <w:t>Third SAFE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Net income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1,694</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Weighted average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Denominator for basic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124,279,055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80,209,585</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16,912,704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27,364,717</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Third SAFE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2,750,000</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14,705,403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1,489,794</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487,794</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Deferred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4,973,840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Denominator for diluted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163,787,462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112,302,063</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b/>
              </w:rPr>
            </w:pPr>
            <w:r>
              <w:rPr>
                <w:b/>
              </w:rPr>
              <w:t>Net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calculation of  the weighted average shares outstanding is inclusive of 234,610 warrants with an insignificant exercise price (which assumes that the warrants were outstanding as of the beginning of the period or the date of the grant, whichever is earlier) for the thirteen week period ended March 29,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6740"/>
        <w:gridCol w:w="60"/>
        <w:gridCol w:w="60"/>
        <w:gridCol w:w="1100"/>
        <w:gridCol w:w="60"/>
        <w:gridCol w:w="60"/>
        <w:gridCol w:w="60"/>
        <w:gridCol w:w="1100"/>
        <w:gridCol w:w="75"/>
      </w:tblGrid>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75"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30,</w:t>
              <w:br/>
              <w:t>2025</w:t>
            </w:r>
          </w:p>
        </w:tc>
        <w:tc>
          <w:tcPr>
            <w:tcW w:w="75"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65,722,738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37,333,318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40" w:type="dxa"/>
            <w:tcBorders/>
            <w:shd w:fill="FFFFFF" w:val="clear"/>
            <w:vAlign w:val="center"/>
          </w:tcPr>
          <w:p>
            <w:pPr>
              <w:pStyle w:val="TableContents"/>
              <w:bidi w:val="0"/>
              <w:spacing w:before="0" w:after="283"/>
              <w:jc w:val="left"/>
              <w:rPr/>
            </w:pPr>
            <w:r>
              <w:rPr/>
              <w:t>Total potential common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65,722,738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37,333,318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by segment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76"/>
        <w:gridCol w:w="60"/>
        <w:gridCol w:w="181"/>
        <w:gridCol w:w="979"/>
        <w:gridCol w:w="97"/>
        <w:gridCol w:w="61"/>
        <w:gridCol w:w="151"/>
        <w:gridCol w:w="739"/>
        <w:gridCol w:w="97"/>
        <w:gridCol w:w="61"/>
        <w:gridCol w:w="143"/>
        <w:gridCol w:w="701"/>
        <w:gridCol w:w="61"/>
        <w:gridCol w:w="61"/>
        <w:gridCol w:w="143"/>
        <w:gridCol w:w="778"/>
        <w:gridCol w:w="116"/>
      </w:tblGrid>
      <w:tr>
        <w:trPr/>
        <w:tc>
          <w:tcPr>
            <w:tcW w:w="5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16" w:type="dxa"/>
            <w:tcBorders/>
            <w:vAlign w:val="center"/>
          </w:tcPr>
          <w:p>
            <w:pPr>
              <w:pStyle w:val="TableContents"/>
              <w:bidi w:val="0"/>
              <w:spacing w:before="0" w:after="283"/>
              <w:jc w:val="left"/>
              <w:rPr/>
            </w:pPr>
            <w:r>
              <w:rPr/>
              <w:t> </w:t>
            </w:r>
          </w:p>
        </w:tc>
      </w:tr>
      <w:tr>
        <w:trPr/>
        <w:tc>
          <w:tcPr>
            <w:tcW w:w="577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New </w:t>
              <w:br/>
              <w:t xml:space="preserve">Homes </w:t>
              <w:br/>
              <w:t>Business</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6" w:type="dxa"/>
            <w:tcBorders/>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revenues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31,541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15,833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(12,395</w:t>
            </w:r>
          </w:p>
        </w:tc>
        <w:tc>
          <w:tcPr>
            <w:tcW w:w="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(8,923</w:t>
            </w:r>
          </w:p>
        </w:tc>
        <w:tc>
          <w:tcPr>
            <w:tcW w:w="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(19,195</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of segment income (loss)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Unallocated amounts: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(6,924</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income,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 before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4,642</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245"/>
        <w:gridCol w:w="960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29, 2026 was as follows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4115"/>
        <w:gridCol w:w="60"/>
        <w:gridCol w:w="353"/>
        <w:gridCol w:w="807"/>
        <w:gridCol w:w="60"/>
        <w:gridCol w:w="60"/>
        <w:gridCol w:w="270"/>
        <w:gridCol w:w="620"/>
        <w:gridCol w:w="60"/>
        <w:gridCol w:w="60"/>
        <w:gridCol w:w="211"/>
        <w:gridCol w:w="484"/>
        <w:gridCol w:w="60"/>
        <w:gridCol w:w="60"/>
        <w:gridCol w:w="170"/>
        <w:gridCol w:w="390"/>
        <w:gridCol w:w="75"/>
      </w:tblGrid>
      <w:tr>
        <w:trPr/>
        <w:tc>
          <w:tcPr>
            <w:tcW w:w="411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bottom w:val="single" w:sz="12" w:space="0" w:color="000000"/>
            </w:tcBorders>
            <w:shd w:fill="FFFFFF" w:val="clear"/>
            <w:vAlign w:val="center"/>
          </w:tcPr>
          <w:p>
            <w:pPr>
              <w:pStyle w:val="TableContents"/>
              <w:bidi w:val="0"/>
              <w:spacing w:before="0" w:after="283"/>
              <w:jc w:val="left"/>
              <w:rPr/>
            </w:pPr>
            <w:r>
              <w:rPr/>
              <w:t> </w:t>
            </w:r>
          </w:p>
        </w:tc>
        <w:tc>
          <w:tcPr>
            <w:tcW w:w="80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bottom w:val="single" w:sz="12" w:space="0" w:color="000000"/>
            </w:tcBorders>
            <w:shd w:fill="FFFFFF" w:val="clear"/>
            <w:vAlign w:val="center"/>
          </w:tcPr>
          <w:p>
            <w:pPr>
              <w:pStyle w:val="TableContents"/>
              <w:bidi w:val="0"/>
              <w:spacing w:before="0" w:after="283"/>
              <w:jc w:val="left"/>
              <w:rPr/>
            </w:pPr>
            <w:r>
              <w:rPr/>
              <w:t> </w:t>
            </w:r>
          </w:p>
        </w:tc>
        <w:tc>
          <w:tcPr>
            <w:tcW w:w="62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484"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8"/>
        <w:gridCol w:w="60"/>
        <w:gridCol w:w="181"/>
        <w:gridCol w:w="979"/>
        <w:gridCol w:w="108"/>
        <w:gridCol w:w="68"/>
        <w:gridCol w:w="169"/>
        <w:gridCol w:w="794"/>
        <w:gridCol w:w="68"/>
        <w:gridCol w:w="68"/>
        <w:gridCol w:w="243"/>
        <w:gridCol w:w="452"/>
        <w:gridCol w:w="68"/>
        <w:gridCol w:w="68"/>
        <w:gridCol w:w="161"/>
        <w:gridCol w:w="783"/>
        <w:gridCol w:w="117"/>
      </w:tblGrid>
      <w:tr>
        <w:trPr/>
        <w:tc>
          <w:tcPr>
            <w:tcW w:w="5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Thirteen Weeks Ended March 30, 2025</w:t>
            </w:r>
          </w:p>
        </w:tc>
        <w:tc>
          <w:tcPr>
            <w:tcW w:w="117" w:type="dxa"/>
            <w:tcBorders/>
            <w:vAlign w:val="center"/>
          </w:tcPr>
          <w:p>
            <w:pPr>
              <w:pStyle w:val="TableContents"/>
              <w:bidi w:val="0"/>
              <w:spacing w:before="0" w:after="283"/>
              <w:jc w:val="left"/>
              <w:rPr/>
            </w:pPr>
            <w:r>
              <w:rPr/>
              <w:t> </w:t>
            </w:r>
          </w:p>
        </w:tc>
      </w:tr>
      <w:tr>
        <w:trPr/>
        <w:tc>
          <w:tcPr>
            <w:tcW w:w="5818"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w:t>
              <w:br/>
              <w:t xml:space="preserve">Homes </w:t>
              <w:br/>
              <w:t>Business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7" w:type="dxa"/>
            <w:tcBorders/>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36,504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41,909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78,413</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22,615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28,422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6,667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1,017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8,522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10,440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CCEEFF" w:val="clear"/>
            <w:tcMar>
              <w:bottom w:w="28" w:type="dxa"/>
            </w:tcMar>
            <w:vAlign w:val="center"/>
          </w:tcPr>
          <w:p>
            <w:pPr>
              <w:pStyle w:val="TableContents"/>
              <w:bidi w:val="0"/>
              <w:spacing w:before="0" w:after="283"/>
              <w:jc w:val="right"/>
              <w:rPr/>
            </w:pPr>
            <w:r>
              <w:rPr/>
              <w:t>4,456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FFFFFF" w:val="clear"/>
            <w:tcMar>
              <w:bottom w:w="28" w:type="dxa"/>
            </w:tcMar>
            <w:vAlign w:val="center"/>
          </w:tcPr>
          <w:p>
            <w:pPr>
              <w:pStyle w:val="TableContents"/>
              <w:bidi w:val="0"/>
              <w:spacing w:before="0" w:after="283"/>
              <w:jc w:val="right"/>
              <w:rPr/>
            </w:pPr>
            <w:r>
              <w:rPr/>
              <w:t>(11,740</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FFFFFF" w:val="clear"/>
            <w:tcMar>
              <w:bottom w:w="28" w:type="dxa"/>
            </w:tcMar>
            <w:vAlign w:val="center"/>
          </w:tcPr>
          <w:p>
            <w:pPr>
              <w:pStyle w:val="TableContents"/>
              <w:bidi w:val="0"/>
              <w:spacing w:before="0" w:after="283"/>
              <w:jc w:val="right"/>
              <w:rPr/>
            </w:pPr>
            <w:r>
              <w:rPr/>
              <w:t>8,014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(3,726</w:t>
            </w:r>
          </w:p>
        </w:tc>
        <w:tc>
          <w:tcPr>
            <w:tcW w:w="117" w:type="dxa"/>
            <w:tcBorders/>
            <w:shd w:fill="FFFFFF" w:val="clear"/>
            <w:vAlign w:val="center"/>
          </w:tcPr>
          <w:p>
            <w:pPr>
              <w:pStyle w:val="TableContents"/>
              <w:bidi w:val="0"/>
              <w:spacing w:before="0" w:after="283"/>
              <w:jc w:val="left"/>
              <w:rPr/>
            </w:pPr>
            <w:r>
              <w:rPr/>
              <w:t>)</w:t>
            </w:r>
          </w:p>
        </w:tc>
      </w:tr>
      <w:tr>
        <w:trPr/>
        <w:tc>
          <w:tcPr>
            <w:tcW w:w="5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ind w:left="0" w:right="0" w:hanging="180"/>
              <w:jc w:val="left"/>
              <w:rPr/>
            </w:pPr>
            <w:r>
              <w:rPr/>
              <w:t> </w:t>
            </w:r>
          </w:p>
        </w:tc>
      </w:tr>
      <w:tr>
        <w:trPr/>
        <w:tc>
          <w:tcPr>
            <w:tcW w:w="5818" w:type="dxa"/>
            <w:tcBorders/>
            <w:shd w:fill="FFFFFF" w:val="clear"/>
            <w:vAlign w:val="center"/>
          </w:tcPr>
          <w:p>
            <w:pPr>
              <w:pStyle w:val="TableContents"/>
              <w:bidi w:val="0"/>
              <w:spacing w:before="0" w:after="283"/>
              <w:jc w:val="left"/>
              <w:rPr>
                <w:i/>
              </w:rPr>
            </w:pPr>
            <w:r>
              <w:rPr>
                <w:i/>
              </w:rPr>
              <w:t>Reconciliation of segment income (loss)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ind w:left="0" w:right="0" w:hanging="180"/>
              <w:jc w:val="left"/>
              <w:rPr/>
            </w:pPr>
            <w:r>
              <w:rPr/>
              <w:t> </w:t>
            </w:r>
          </w:p>
        </w:tc>
      </w:tr>
      <w:tr>
        <w:trPr/>
        <w:tc>
          <w:tcPr>
            <w:tcW w:w="5818"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(6,041</w:t>
            </w:r>
          </w:p>
        </w:tc>
        <w:tc>
          <w:tcPr>
            <w:tcW w:w="117" w:type="dxa"/>
            <w:tcBorders/>
            <w:shd w:fill="FFFFFF" w:val="clear"/>
            <w:vAlign w:val="center"/>
          </w:tcPr>
          <w:p>
            <w:pPr>
              <w:pStyle w:val="TableContents"/>
              <w:bidi w:val="0"/>
              <w:spacing w:before="0" w:after="283"/>
              <w:jc w:val="left"/>
              <w:rPr/>
            </w:pPr>
            <w:r>
              <w:rPr/>
              <w:t>)</w:t>
            </w:r>
          </w:p>
        </w:tc>
      </w:tr>
      <w:tr>
        <w:trPr/>
        <w:tc>
          <w:tcPr>
            <w:tcW w:w="5818"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14,576</w:t>
            </w:r>
          </w:p>
        </w:tc>
        <w:tc>
          <w:tcPr>
            <w:tcW w:w="117" w:type="dxa"/>
            <w:tcBorders/>
            <w:shd w:fill="FFFFFF" w:val="clear"/>
            <w:vAlign w:val="center"/>
          </w:tcPr>
          <w:p>
            <w:pPr>
              <w:pStyle w:val="TableContents"/>
              <w:bidi w:val="0"/>
              <w:spacing w:before="0" w:after="283"/>
              <w:ind w:left="0" w:right="0" w:hanging="180"/>
              <w:jc w:val="left"/>
              <w:rPr/>
            </w:pPr>
            <w:r>
              <w:rPr/>
              <w:t> </w:t>
            </w:r>
          </w:p>
        </w:tc>
      </w:tr>
      <w:tr>
        <w:trPr/>
        <w:tc>
          <w:tcPr>
            <w:tcW w:w="5818" w:type="dxa"/>
            <w:tcBorders/>
            <w:shd w:fill="CCEEFF" w:val="clear"/>
            <w:vAlign w:val="center"/>
          </w:tcPr>
          <w:p>
            <w:pPr>
              <w:pStyle w:val="TableContents"/>
              <w:bidi w:val="0"/>
              <w:spacing w:before="0" w:after="283"/>
              <w:jc w:val="left"/>
              <w:rPr/>
            </w:pPr>
            <w:r>
              <w:rPr/>
              <w:t>Loss from operations before taxes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3" w:type="dxa"/>
            <w:tcBorders>
              <w:bottom w:val="double" w:sz="10" w:space="0" w:color="000000"/>
            </w:tcBorders>
            <w:shd w:fill="CCEEFF" w:val="clear"/>
            <w:tcMar>
              <w:bottom w:w="28" w:type="dxa"/>
            </w:tcMar>
            <w:vAlign w:val="center"/>
          </w:tcPr>
          <w:p>
            <w:pPr>
              <w:pStyle w:val="TableContents"/>
              <w:bidi w:val="0"/>
              <w:spacing w:before="0" w:after="283"/>
              <w:jc w:val="right"/>
              <w:rPr/>
            </w:pPr>
            <w:r>
              <w:rPr/>
              <w:t>4,812</w:t>
            </w:r>
          </w:p>
        </w:tc>
        <w:tc>
          <w:tcPr>
            <w:tcW w:w="11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245"/>
        <w:gridCol w:w="965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30, 2025 was as follows (</w:t>
            </w:r>
            <w:r>
              <w:rPr>
                <w:rFonts w:ascii="Times New Roman;Times;Serif" w:hAnsi="Times New Roman;Times;Serif"/>
                <w:i/>
                <w:sz w:val="20"/>
              </w:rPr>
              <w:t>in millions</w:t>
            </w:r>
            <w:r>
              <w:rPr>
                <w:rFonts w:ascii="Times New Roman;Times;Serif" w:hAnsi="Times New Roman;Times;Serif"/>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4115"/>
        <w:gridCol w:w="60"/>
        <w:gridCol w:w="353"/>
        <w:gridCol w:w="807"/>
        <w:gridCol w:w="60"/>
        <w:gridCol w:w="60"/>
        <w:gridCol w:w="270"/>
        <w:gridCol w:w="620"/>
        <w:gridCol w:w="60"/>
        <w:gridCol w:w="60"/>
        <w:gridCol w:w="243"/>
        <w:gridCol w:w="452"/>
        <w:gridCol w:w="60"/>
        <w:gridCol w:w="60"/>
        <w:gridCol w:w="170"/>
        <w:gridCol w:w="390"/>
        <w:gridCol w:w="75"/>
      </w:tblGrid>
      <w:tr>
        <w:trPr/>
        <w:tc>
          <w:tcPr>
            <w:tcW w:w="411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bottom w:val="single" w:sz="12" w:space="0" w:color="000000"/>
            </w:tcBorders>
            <w:shd w:fill="FFFFFF" w:val="clear"/>
            <w:vAlign w:val="center"/>
          </w:tcPr>
          <w:p>
            <w:pPr>
              <w:pStyle w:val="TableContents"/>
              <w:bidi w:val="0"/>
              <w:spacing w:before="0" w:after="283"/>
              <w:jc w:val="left"/>
              <w:rPr/>
            </w:pPr>
            <w:r>
              <w:rPr/>
              <w:t> </w:t>
            </w:r>
          </w:p>
        </w:tc>
        <w:tc>
          <w:tcPr>
            <w:tcW w:w="80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bottom w:val="single" w:sz="12" w:space="0" w:color="000000"/>
            </w:tcBorders>
            <w:shd w:fill="FFFFFF" w:val="clear"/>
            <w:vAlign w:val="center"/>
          </w:tcPr>
          <w:p>
            <w:pPr>
              <w:pStyle w:val="TableContents"/>
              <w:bidi w:val="0"/>
              <w:spacing w:before="0" w:after="283"/>
              <w:jc w:val="left"/>
              <w:rPr/>
            </w:pPr>
            <w:r>
              <w:rPr/>
              <w:t> </w:t>
            </w:r>
          </w:p>
        </w:tc>
        <w:tc>
          <w:tcPr>
            <w:tcW w:w="62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12" w:space="0" w:color="000000"/>
            </w:tcBorders>
            <w:shd w:fill="FFFFFF" w:val="clear"/>
            <w:vAlign w:val="center"/>
          </w:tcPr>
          <w:p>
            <w:pPr>
              <w:pStyle w:val="TableContents"/>
              <w:bidi w:val="0"/>
              <w:spacing w:before="0" w:after="283"/>
              <w:jc w:val="left"/>
              <w:rPr/>
            </w:pPr>
            <w:r>
              <w:rPr/>
              <w:t> </w:t>
            </w:r>
          </w:p>
        </w:tc>
        <w:tc>
          <w:tcPr>
            <w:tcW w:w="45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bottom w:val="double" w:sz="10"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following notes to the Company’s unaudited condensed consolidated financial statements for details regarding the related party transactions entered into by the Company; </w:t>
      </w:r>
      <w:r>
        <w:rPr>
          <w:rFonts w:ascii="Times New Roman;Times;Serif" w:hAnsi="Times New Roman;Times;Serif"/>
          <w:b/>
          <w:i w:val="false"/>
          <w:caps w:val="false"/>
          <w:smallCaps w:val="false"/>
          <w:sz w:val="20"/>
        </w:rPr>
        <w:t>Note 2 – Basis of Presentation and Summary of Significant Accounting Policies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6 Supplemental Balance Sheet Information; Note 8 – SAFE Agreements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All other related party transactions are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with SameDay Solar was $0.5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Control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Wendell Laidley Resignation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Wendell Laidley resigned from his position as Chief Financial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Deposit by a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(“Fourth SAFE”) with the Rodgers Revocable Trust in exchange for the $5.0 million received. The Fourth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as an inducement to the Member’s agreement to the Amendment of the Seller Note,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Convertible Senior Secured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ended March 29, 2026, on April 21, 2026, the Company entered into note purchase agreements in connection with a private offering of $41.0 million aggregate principal amount of 10.0% Convertible Senior Secured Notes due 2029 (the “10% Senior Secured Notes”). The offering included (i) $25.0 million of 10.0% Senior Secured Notes issued to institutional investors, (ii) $6.0 million of 10% Senior Secured Notes issued to an affiliate of the Company’s Chief Executive Officer in exchange for amounts previously advanced under the Third SAFE and Fourth SAFE, and (iii) $10.0 million of 10.0% Senior Secured Notes issued in connection with the exchange of the Seller Note and execution of the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mature on May 1, 2029 and bear interest at 10.00% per annum, payable quarterly in arrears beginning July 1, 2026. The 10% Senior Secured Notes are senior secured obligations of the Company and are fully and unconditionally guaranteed by a wholly owned subsidiary. The notes and guarantees are secured by first-priority liens on substantially all of the assets of the Company and the guarantor, subject to permitted liens and specified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are convertible at the option of the holders into shares of the Company’s common stock at an initial conversion price of approximately $1.64 per share (610.3143 shares of common stock per $1,000 principal amount of the 10% Senior Secured Notes). In addition, following certain corporate events that occur prior to the maturity date of the 10% Senior Secured Notes, the Company will, under certain circumstances, increase the conversion rate of the 10% Senior Secured Notes for a holder who elects to convert its 10% Senior Secured Notes in connection with such a corporate event, subject to a maximum conversion rate of $1.13 per share (884.9557 shares of the Company’s common stock per $1,000 principal amount of 10% Senior Secured Notes). The 10% Senior Secured Notes are not redeemable by the Company and include customary covenants, events of default, and change-of-control repurchase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offering of the 10% Senior Secured Notes were used to: (i) prepay $5.0 million principal amount of the March 2026 Bridge Note; (ii) pay $4.75 million pursuant to the Company’s settlement agreement with Siemens (as amended, the “Siemens Settlement”); (iii) pay $4.0 million to CPP in connection with the transactions under the CPP Note Purchase Agreement (as defined below); and (iv) pay approximately $1.5 million of fees and expenses incurred in connection with the Offering. The net proceeds of the Offering, after making the foregoing payments, were approximately $9.75 million. The Company intends to use the net proceeds of the Offering for working capital and general corporate purposes, including the payoff of the remaining outstanding balance of the YA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YA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offering of the 10% Senior Secured Notes, the Company and YA entered into a letter agreement (the “YA Letter”). Pursuant to the YA Letter, the Company agreed to voluntarily prepay $5.0 million of the outstanding principal amount of March 2026 Bridge Note, resulting in a revised outstanding principal balance under the March 2026 Bridge Note of $5.0 million. The Company further agreed to repay the remaining principal balance and accrued interest under the YA Debenture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CPP Note Purchase Agreement and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a Note Purchase Agreement with CPP (the “CPP Note Purchase Agreement”) that provides for the following in exchange for the outstanding Seller Note (in addition to the issuance of $10.0 million principal amount of 10% Senior Secured Notes to CPP as summarized above): (i) the Company’s payment of $4.0 million in cash to CPP at the closing under the CPP Note Purchase Agreement and (ii) delivery of the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Siemens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Siemens and the Company amended the Settlement Agreement. Among other changes, the key terms of the amendment included (i) SunPower’s commitment to pay $4.75 million of the $9.5 million settlement amount by the end of April 2026, (ii) changing the threshold of the Fundraise Provision from $1.0 million to $5.0 million; (iii) putting Siemens’ first-priority continuing security interest pari pasu with the similarly secured interests of the note holders of the 10% Senior Secured Notes; and (iv) changing the acceleration amount in the Fundraise Provision from an acceleration of one remaining quarter to an acceleration of both remaining quarters. The Company made the $4.75 million April payment on April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of 7%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privately negotiated exchange agreements with certain holders of its outstanding 7.0% Notes due 2029. Pursuant to these agreements, $21.25 million principal amount of such notes was exchanged for an aggregate of 18.8 million shares of the Company’s common stock and approximately $0.46 million of cash for accrued interest. The exchanges are expected to reduce outstanding indebtedness and future cash interest obligations, but will increase the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29, 2026 $1.0 million of the September 2024 Notes were converted by holders into approximately 0.6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 in Filing of Form 10Q as of and for the thirteen week period ended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not filing the March 29, 2026 Form 10-Q within the timeframe by May 18, 2026 as required by the SEC, an event of default occurred under the Yorkville Notes, which results in an increase in the applicable interest rate to 18% (for so long as such event of default remains uncured). Upon filing this Form 10-Q on May 19, 2026 , the event of default was cured.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F-48</w:t>
      </w:r>
    </w:p>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sz w:val="20"/>
                </w:rPr>
                <w:t xml:space="preserve">Report of Independent Registered Public Accounting Firm </w:t>
              </w:r>
            </w:hyperlink>
            <w:hyperlink w:anchor="C_001">
              <w:r>
                <w:rPr>
                  <w:rStyle w:val="InternetLink"/>
                  <w:rFonts w:ascii="Times New Roman;Times;Serif" w:hAnsi="Times New Roman;Times;Serif"/>
                  <w:i/>
                  <w:sz w:val="20"/>
                </w:rPr>
                <w:t>(PCAOB ID 243)</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F-50</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sz w:val="20"/>
                </w:rPr>
                <w:t>Consolidated Balance Sheets as of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F-51</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sz w:val="20"/>
                </w:rPr>
                <w:t>Consolidated Statements of Operations and Comprehensive Loss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F-52</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sz w:val="20"/>
                </w:rPr>
                <w:t>Consolidated Statements of Stockholders’ Deficit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F-53</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sz w:val="20"/>
                </w:rPr>
                <w:t>Consolidated Statements of Cash Flows for the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F-54</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sz w:val="20"/>
                </w:rPr>
                <w:t>Notes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C_001"/>
      <w:bookmarkEnd w:id="2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SunPower Inc. (the “Company”) as of December 28, 2025 and December 29, 2024, the related consolidated statements of operations and comprehensive loss, stockholders’ deficit, and cash flows for the fiscal years then ended, and the related notes collectively referred to as the “consolidated financial statements.” In our opinion, the consolidated financial statements present fairly, in all material respects, the financial position of the Company at December 28, 2025 and December 29, 2024, and the results of its operations and its cash flows for the fiscal years then ended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and has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C_002"/>
      <w:bookmarkEnd w:id="28"/>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7"/>
        <w:gridCol w:w="60"/>
        <w:gridCol w:w="187"/>
        <w:gridCol w:w="1180"/>
        <w:gridCol w:w="95"/>
        <w:gridCol w:w="60"/>
        <w:gridCol w:w="187"/>
        <w:gridCol w:w="1180"/>
        <w:gridCol w:w="259"/>
      </w:tblGrid>
      <w:tr>
        <w:trPr/>
        <w:tc>
          <w:tcPr>
            <w:tcW w:w="6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29,</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13,378</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Trade accounts receivable, net of allowance for credit losses of $5,206 and $1,701 as of December 28, 2025 and December 29, 2024, respectively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67,824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25,842</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22,110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16,913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8,206</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Contract assets,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259" w:type="dxa"/>
            <w:tcBorders/>
            <w:shd w:fill="CCEEFF" w:val="clear"/>
            <w:vAlign w:val="center"/>
          </w:tcPr>
          <w:p>
            <w:pPr>
              <w:pStyle w:val="TableContents"/>
              <w:bidi w:val="0"/>
              <w:spacing w:before="0" w:after="283"/>
              <w:ind w:left="0" w:right="0" w:firstLine="180"/>
              <w:jc w:val="left"/>
              <w:rPr/>
            </w:pPr>
            <w:r>
              <w:rPr/>
              <w:t> </w:t>
            </w:r>
          </w:p>
        </w:tc>
      </w:tr>
      <w:tr>
        <w:trPr/>
        <w:tc>
          <w:tcPr>
            <w:tcW w:w="6997"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112,851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95,602</w:t>
            </w:r>
          </w:p>
        </w:tc>
        <w:tc>
          <w:tcPr>
            <w:tcW w:w="259" w:type="dxa"/>
            <w:tcBorders/>
            <w:shd w:fill="FFFFFF" w:val="clear"/>
            <w:vAlign w:val="center"/>
          </w:tcPr>
          <w:p>
            <w:pPr>
              <w:pStyle w:val="TableContents"/>
              <w:bidi w:val="0"/>
              <w:spacing w:before="0" w:after="283"/>
              <w:ind w:left="0" w:right="0" w:hanging="360"/>
              <w:jc w:val="left"/>
              <w:rPr/>
            </w:pPr>
            <w:r>
              <w:rPr/>
              <w:t> </w:t>
            </w:r>
          </w:p>
        </w:tc>
      </w:tr>
      <w:tr>
        <w:trPr/>
        <w:tc>
          <w:tcPr>
            <w:tcW w:w="6997"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3,841</w:t>
            </w:r>
          </w:p>
        </w:tc>
        <w:tc>
          <w:tcPr>
            <w:tcW w:w="259" w:type="dxa"/>
            <w:tcBorders/>
            <w:shd w:fill="CCEEFF" w:val="clear"/>
            <w:vAlign w:val="center"/>
          </w:tcPr>
          <w:p>
            <w:pPr>
              <w:pStyle w:val="TableContents"/>
              <w:bidi w:val="0"/>
              <w:spacing w:before="0" w:after="283"/>
              <w:ind w:left="0" w:right="0" w:hanging="360"/>
              <w:jc w:val="left"/>
              <w:rPr/>
            </w:pPr>
            <w:r>
              <w:rPr/>
              <w:t> </w:t>
            </w:r>
          </w:p>
        </w:tc>
      </w:tr>
      <w:tr>
        <w:trPr/>
        <w:tc>
          <w:tcPr>
            <w:tcW w:w="699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4,890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5,493</w:t>
            </w:r>
          </w:p>
        </w:tc>
        <w:tc>
          <w:tcPr>
            <w:tcW w:w="259" w:type="dxa"/>
            <w:tcBorders/>
            <w:shd w:fill="FFFFFF" w:val="clear"/>
            <w:vAlign w:val="center"/>
          </w:tcPr>
          <w:p>
            <w:pPr>
              <w:pStyle w:val="TableContents"/>
              <w:bidi w:val="0"/>
              <w:spacing w:before="0" w:after="283"/>
              <w:ind w:left="0" w:right="0" w:hanging="360"/>
              <w:jc w:val="left"/>
              <w:rPr/>
            </w:pPr>
            <w:r>
              <w:rPr/>
              <w:t> </w:t>
            </w:r>
          </w:p>
        </w:tc>
      </w:tr>
      <w:tr>
        <w:trPr/>
        <w:tc>
          <w:tcPr>
            <w:tcW w:w="6997"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3,041</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628</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62,630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18,476</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50,814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17,385</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241,187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144,466</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26,240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7,980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sz w:val="20"/>
              </w:rPr>
            </w:pPr>
            <w:r>
              <w:rPr>
                <w:sz w:val="20"/>
              </w:rPr>
              <w:t xml:space="preserve">Accrued expenses and other current liabilities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56,977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56,081</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Short-term debt with related parties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1,500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Current portion of long-term notes payable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Deferred consideration, current with related party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Deferred consideration, 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Contract liabilities,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20,336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10,003</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384</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Forward purchase agreement liabilities with related parties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1,274</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2,220</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154,638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79,442</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3,437</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1,561</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918</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Notes payable and derivative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92,638</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Notes payable and derivative liabilities with related parties, net of current portion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35,130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53,193</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10,816</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331,331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242,005</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Common stock, $0.0001 par value; Authorized 1,000,000,000 shares as of December 28, 2025 and December 29, 2024; issued and outstanding 111,334,959 and 73,784,645 shares as of December 28, 2025 and December 29, 2024, respectively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14</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366,408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313,661</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165</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(456,733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(411,379</w:t>
            </w:r>
          </w:p>
        </w:tc>
        <w:tc>
          <w:tcPr>
            <w:tcW w:w="259" w:type="dxa"/>
            <w:tcBorders/>
            <w:shd w:fill="FFFFFF" w:val="clear"/>
            <w:vAlign w:val="center"/>
          </w:tcPr>
          <w:p>
            <w:pPr>
              <w:pStyle w:val="TableContents"/>
              <w:bidi w:val="0"/>
              <w:spacing w:before="0" w:after="283"/>
              <w:ind w:left="0" w:right="0" w:hanging="180"/>
              <w:jc w:val="left"/>
              <w:rPr/>
            </w:pPr>
            <w:r>
              <w:rPr/>
              <w:t>)</w:t>
            </w:r>
          </w:p>
        </w:tc>
      </w:tr>
      <w:tr>
        <w:trPr/>
        <w:tc>
          <w:tcPr>
            <w:tcW w:w="6997"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(97,539</w:t>
            </w:r>
          </w:p>
        </w:tc>
        <w:tc>
          <w:tcPr>
            <w:tcW w:w="259" w:type="dxa"/>
            <w:tcBorders/>
            <w:shd w:fill="CCEEFF" w:val="clear"/>
            <w:vAlign w:val="center"/>
          </w:tcPr>
          <w:p>
            <w:pPr>
              <w:pStyle w:val="TableContents"/>
              <w:bidi w:val="0"/>
              <w:spacing w:before="0" w:after="283"/>
              <w:ind w:left="0" w:right="0" w:hanging="180"/>
              <w:jc w:val="left"/>
              <w:rPr/>
            </w:pPr>
            <w:r>
              <w:rPr/>
              <w:t>)</w:t>
            </w:r>
          </w:p>
        </w:tc>
      </w:tr>
      <w:tr>
        <w:trPr/>
        <w:tc>
          <w:tcPr>
            <w:tcW w:w="6997" w:type="dxa"/>
            <w:tcBorders/>
            <w:shd w:fill="FFFFFF" w:val="clear"/>
            <w:vAlign w:val="center"/>
          </w:tcPr>
          <w:p>
            <w:pPr>
              <w:pStyle w:val="TableContents"/>
              <w:bidi w:val="0"/>
              <w:spacing w:before="0" w:after="283"/>
              <w:jc w:val="left"/>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144,466</w:t>
            </w:r>
          </w:p>
        </w:tc>
        <w:tc>
          <w:tcPr>
            <w:tcW w:w="25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6" w:type="dxa"/>
            <w:tcBorders/>
            <w:vAlign w:val="center"/>
          </w:tcPr>
          <w:p>
            <w:pPr>
              <w:pStyle w:val="TableContents"/>
              <w:bidi w:val="0"/>
              <w:spacing w:before="0" w:after="283"/>
              <w:jc w:val="both"/>
              <w:rPr/>
            </w:pPr>
            <w:r>
              <w:rPr/>
              <w:t>Includes accrued interest due to related parties of $2.6 million and $2.5 million as of December 28, 2025 and December 29, 2024, respectively, and includes investor financing deposit with related party of $2.0 million as of December 28,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C_003"/>
      <w:bookmarkEnd w:id="29"/>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1"/>
        <w:gridCol w:w="60"/>
        <w:gridCol w:w="155"/>
        <w:gridCol w:w="1233"/>
        <w:gridCol w:w="95"/>
        <w:gridCol w:w="60"/>
        <w:gridCol w:w="155"/>
        <w:gridCol w:w="1233"/>
        <w:gridCol w:w="113"/>
      </w:tblGrid>
      <w:tr>
        <w:trPr/>
        <w:tc>
          <w:tcPr>
            <w:tcW w:w="7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3" w:type="dxa"/>
            <w:tcBorders/>
            <w:vAlign w:val="center"/>
          </w:tcPr>
          <w:p>
            <w:pPr>
              <w:pStyle w:val="TableContents"/>
              <w:bidi w:val="0"/>
              <w:spacing w:before="0" w:after="283"/>
              <w:jc w:val="left"/>
              <w:rPr/>
            </w:pPr>
            <w:r>
              <w:rPr/>
              <w:t> </w:t>
            </w:r>
          </w:p>
        </w:tc>
      </w:tr>
      <w:tr>
        <w:trPr/>
        <w:tc>
          <w:tcPr>
            <w:tcW w:w="7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center"/>
              <w:rPr>
                <w:b/>
              </w:rPr>
            </w:pPr>
            <w:r>
              <w:rPr>
                <w:b/>
              </w:rPr>
              <w:t>December 29,</w:t>
            </w:r>
          </w:p>
        </w:tc>
        <w:tc>
          <w:tcPr>
            <w:tcW w:w="113" w:type="dxa"/>
            <w:tcBorders/>
            <w:vAlign w:val="center"/>
          </w:tcPr>
          <w:p>
            <w:pPr>
              <w:pStyle w:val="TableContents"/>
              <w:bidi w:val="0"/>
              <w:spacing w:before="0" w:after="283"/>
              <w:jc w:val="left"/>
              <w:rPr/>
            </w:pPr>
            <w:r>
              <w:rPr/>
              <w:t> </w:t>
            </w:r>
          </w:p>
        </w:tc>
      </w:tr>
      <w:tr>
        <w:trPr/>
        <w:tc>
          <w:tcPr>
            <w:tcW w:w="7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sz w:val="20"/>
              </w:rPr>
            </w:pPr>
            <w:r>
              <w:rPr>
                <w:sz w:val="20"/>
              </w:rPr>
              <w:t>Revenues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108,742</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 xml:space="preserve">Cost of revenues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170,788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69,240</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129,212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39,502</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37,009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24,590</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29,030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6,827</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90,104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76,594</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156,143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108,011</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(26,931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(68,509</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sz w:val="20"/>
              </w:rPr>
            </w:pPr>
            <w:r>
              <w:rPr>
                <w:sz w:val="20"/>
              </w:rPr>
              <w:t xml:space="preserve">Interest expense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(25,095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(16,223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19</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sz w:val="20"/>
              </w:rPr>
            </w:pPr>
            <w:r>
              <w:rPr>
                <w:sz w:val="20"/>
              </w:rPr>
              <w:t xml:space="preserve">Other non-operating income, net </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9,347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7,932</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14,065</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net of taxes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Comprehensive loss (net of tax)</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(56,451</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from continuing operations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(0.82</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per share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Weighted-average shares used to compute net loss per share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66,655,837</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Net loss from continuing operations per share attributable to common stockholders, diluted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(1.19</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per share attributable to common stockholders, diluted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per share attributable to common stockholders, diluted</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Weighted-average shares used to compute 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75,793,548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identified SameDay Solar as a related party beginning in fiscal 2024. Cost of revenue paid to SameDay Solar totaled $1.0 million and $0.6 million in the fiscal years ended December 28, 2025 and December 29, 2024, respectively. Refer to </w:t>
            </w:r>
            <w:r>
              <w:rPr>
                <w:rFonts w:ascii="Times New Roman;Times;Serif" w:hAnsi="Times New Roman;Times;Serif"/>
                <w:b/>
                <w:sz w:val="20"/>
              </w:rPr>
              <w:t>Note 19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99" w:type="dxa"/>
            <w:tcBorders/>
            <w:vAlign w:val="center"/>
          </w:tcPr>
          <w:p>
            <w:pPr>
              <w:pStyle w:val="TableContents"/>
              <w:bidi w:val="0"/>
              <w:spacing w:before="0" w:after="283"/>
              <w:jc w:val="both"/>
              <w:rPr/>
            </w:pPr>
            <w:r>
              <w:rPr/>
              <w:t xml:space="preserve">Includes interest expense and amortization of debt issuance costs due to related parties of $5.7 million and $7.6 million in the fiscal years ended December 28, 2025 and December 29, 2024, respectively. Refer to </w:t>
            </w:r>
            <w:r>
              <w:rPr>
                <w:b/>
              </w:rPr>
              <w:t>Note 10 – Borrowings and Derivative Liabilities</w:t>
            </w:r>
            <w:r>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4"/>
        <w:gridCol w:w="60"/>
        <w:gridCol w:w="319"/>
        <w:gridCol w:w="856"/>
        <w:gridCol w:w="109"/>
        <w:gridCol w:w="81"/>
        <w:gridCol w:w="319"/>
        <w:gridCol w:w="856"/>
        <w:gridCol w:w="91"/>
      </w:tblGrid>
      <w:tr>
        <w:trPr/>
        <w:tc>
          <w:tcPr>
            <w:tcW w:w="7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1" w:type="dxa"/>
            <w:tcBorders/>
            <w:vAlign w:val="center"/>
          </w:tcPr>
          <w:p>
            <w:pPr>
              <w:pStyle w:val="TableContents"/>
              <w:bidi w:val="0"/>
              <w:spacing w:before="0" w:after="283"/>
              <w:jc w:val="left"/>
              <w:rPr/>
            </w:pPr>
            <w:r>
              <w:rPr/>
              <w:t> </w:t>
            </w:r>
          </w:p>
        </w:tc>
      </w:tr>
      <w:tr>
        <w:trPr/>
        <w:tc>
          <w:tcPr>
            <w:tcW w:w="7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1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1" w:type="dxa"/>
            <w:tcBorders/>
            <w:vAlign w:val="center"/>
          </w:tcPr>
          <w:p>
            <w:pPr>
              <w:pStyle w:val="TableContents"/>
              <w:bidi w:val="0"/>
              <w:spacing w:before="0" w:after="283"/>
              <w:ind w:left="0" w:right="0" w:hanging="180"/>
              <w:jc w:val="left"/>
              <w:rPr/>
            </w:pPr>
            <w:r>
              <w:rPr/>
              <w:t> </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issuance of derivative liabilities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Gain on remeasurement of derivative liabilities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(loss) due to change in fair value of Forward Purchase Agreements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due to change in fair value of Carlyle warrants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the fiscal year ended December 29, 2024.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C_004"/>
      <w:bookmarkEnd w:id="30"/>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1"/>
        <w:gridCol w:w="60"/>
        <w:gridCol w:w="60"/>
        <w:gridCol w:w="1220"/>
        <w:gridCol w:w="60"/>
        <w:gridCol w:w="60"/>
        <w:gridCol w:w="301"/>
        <w:gridCol w:w="559"/>
        <w:gridCol w:w="60"/>
        <w:gridCol w:w="60"/>
        <w:gridCol w:w="163"/>
        <w:gridCol w:w="937"/>
        <w:gridCol w:w="95"/>
        <w:gridCol w:w="60"/>
        <w:gridCol w:w="188"/>
        <w:gridCol w:w="1182"/>
        <w:gridCol w:w="95"/>
        <w:gridCol w:w="60"/>
        <w:gridCol w:w="432"/>
        <w:gridCol w:w="1178"/>
        <w:gridCol w:w="60"/>
        <w:gridCol w:w="60"/>
        <w:gridCol w:w="209"/>
        <w:gridCol w:w="1134"/>
        <w:gridCol w:w="111"/>
      </w:tblGrid>
      <w:tr>
        <w:trPr/>
        <w:tc>
          <w:tcPr>
            <w:tcW w:w="180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Stockholders’</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49,065,361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277,965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(354,928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b/>
              </w:rPr>
            </w:pPr>
            <w:r>
              <w:rPr>
                <w:b/>
              </w:rPr>
              <w:t>$</w:t>
            </w:r>
          </w:p>
        </w:tc>
        <w:tc>
          <w:tcPr>
            <w:tcW w:w="1178" w:type="dxa"/>
            <w:tcBorders/>
            <w:shd w:fill="CCEEFF" w:val="clear"/>
            <w:vAlign w:val="center"/>
          </w:tcPr>
          <w:p>
            <w:pPr>
              <w:pStyle w:val="TableContents"/>
              <w:bidi w:val="0"/>
              <w:spacing w:before="0" w:after="283"/>
              <w:jc w:val="right"/>
              <w:rPr>
                <w:b/>
              </w:rPr>
            </w:pPr>
            <w:r>
              <w:rPr>
                <w:b/>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b/>
              </w:rPr>
            </w:pPr>
            <w:r>
              <w:rPr>
                <w:b/>
              </w:rPr>
              <w:t>$</w:t>
            </w:r>
          </w:p>
        </w:tc>
        <w:tc>
          <w:tcPr>
            <w:tcW w:w="1134" w:type="dxa"/>
            <w:tcBorders/>
            <w:shd w:fill="CCEEFF" w:val="clear"/>
            <w:vAlign w:val="center"/>
          </w:tcPr>
          <w:p>
            <w:pPr>
              <w:pStyle w:val="TableContents"/>
              <w:bidi w:val="0"/>
              <w:spacing w:before="0" w:after="283"/>
              <w:jc w:val="right"/>
              <w:rPr>
                <w:b/>
              </w:rPr>
            </w:pPr>
            <w:r>
              <w:rPr>
                <w:b/>
              </w:rPr>
              <w:t>(76,813</w:t>
            </w:r>
          </w:p>
        </w:tc>
        <w:tc>
          <w:tcPr>
            <w:tcW w:w="111" w:type="dxa"/>
            <w:tcBorders/>
            <w:shd w:fill="CCEEFF" w:val="clear"/>
            <w:vAlign w:val="center"/>
          </w:tcPr>
          <w:p>
            <w:pPr>
              <w:pStyle w:val="TableContents"/>
              <w:bidi w:val="0"/>
              <w:spacing w:before="0" w:after="283"/>
              <w:ind w:left="0" w:right="0" w:hanging="180"/>
              <w:jc w:val="left"/>
              <w:rPr>
                <w:b/>
              </w:rPr>
            </w:pPr>
            <w:r>
              <w:rPr>
                <w:b/>
              </w:rPr>
              <w:t>)</w:t>
            </w:r>
          </w:p>
        </w:tc>
      </w:tr>
      <w:tr>
        <w:trPr/>
        <w:tc>
          <w:tcPr>
            <w:tcW w:w="1801" w:type="dxa"/>
            <w:tcBorders/>
            <w:shd w:fill="FFFFFF" w:val="clear"/>
            <w:vAlign w:val="center"/>
          </w:tcPr>
          <w:p>
            <w:pPr>
              <w:pStyle w:val="TableContents"/>
              <w:bidi w:val="0"/>
              <w:spacing w:before="0" w:after="283"/>
              <w:jc w:val="left"/>
              <w:rPr/>
            </w:pPr>
            <w:r>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398,883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532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669,059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3,067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1,400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 warrants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9,179</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upon conversion of SAFEs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13,888,889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6,250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5,343,616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for exchange of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2,220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2,918,837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7,144</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Modification of Warrant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7,306</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Offering costs of reverse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(1,396</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(56,451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(56,451</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1801"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b/>
              </w:rPr>
            </w:pPr>
            <w:r>
              <w:rPr>
                <w:b/>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73,784,645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313,661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(411,379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(97,539</w:t>
            </w:r>
          </w:p>
        </w:tc>
        <w:tc>
          <w:tcPr>
            <w:tcW w:w="111" w:type="dxa"/>
            <w:tcBorders/>
            <w:shd w:fill="CCEEFF" w:val="clear"/>
            <w:vAlign w:val="center"/>
          </w:tcPr>
          <w:p>
            <w:pPr>
              <w:pStyle w:val="TableContents"/>
              <w:bidi w:val="0"/>
              <w:spacing w:before="0" w:after="283"/>
              <w:ind w:left="0" w:right="0" w:hanging="180"/>
              <w:jc w:val="left"/>
              <w:rPr>
                <w:b/>
              </w:rPr>
            </w:pPr>
            <w:r>
              <w:rPr>
                <w:b/>
              </w:rPr>
              <w:t>)</w:t>
            </w:r>
          </w:p>
        </w:tc>
      </w:tr>
      <w:tr>
        <w:trPr/>
        <w:tc>
          <w:tcPr>
            <w:tcW w:w="1801" w:type="dxa"/>
            <w:tcBorders/>
            <w:shd w:fill="FFFFFF" w:val="clear"/>
            <w:vAlign w:val="center"/>
          </w:tcPr>
          <w:p>
            <w:pPr>
              <w:pStyle w:val="TableContents"/>
              <w:bidi w:val="0"/>
              <w:spacing w:before="0" w:after="283"/>
              <w:jc w:val="left"/>
              <w:rPr/>
            </w:pPr>
            <w:r>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730,265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480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10,488</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Taxes paid related to net share settlements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(1,898</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4,632,211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as consideration for acquisition of businesses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13,577,258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22,193</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6,741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Conversion of 7.0% senior unsecured convertible notes for shares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8,600,580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14,685</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(45,354</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b/>
              </w:rPr>
            </w:pPr>
            <w:r>
              <w:rPr>
                <w:b/>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111,334,959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(456,733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(90,144</w:t>
            </w:r>
          </w:p>
        </w:tc>
        <w:tc>
          <w:tcPr>
            <w:tcW w:w="111"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C_005"/>
      <w:bookmarkEnd w:id="31"/>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0"/>
        <w:gridCol w:w="60"/>
        <w:gridCol w:w="217"/>
        <w:gridCol w:w="1178"/>
        <w:gridCol w:w="95"/>
        <w:gridCol w:w="60"/>
        <w:gridCol w:w="206"/>
        <w:gridCol w:w="1188"/>
        <w:gridCol w:w="101"/>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center"/>
              <w:rPr>
                <w:b/>
              </w:rPr>
            </w:pPr>
            <w:r>
              <w:rPr>
                <w:b/>
              </w:rPr>
              <w:t>December 29,</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b/>
              </w:rPr>
            </w:pPr>
            <w:r>
              <w:rPr>
                <w:b/>
              </w:rPr>
              <w:t>Cash flows from operating activities from continuing operations</w:t>
            </w:r>
          </w:p>
        </w:tc>
        <w:tc>
          <w:tcPr>
            <w:tcW w:w="60"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(56,451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Loss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Net loss from continuing operations, net of tax</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Adjustments to reconcile net loss from continuing operations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10,488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3,067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816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9,126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2,736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Amortization of debt issuance costs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5,842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income tax provision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9,132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 in fair value of SAFE Agreements with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(616</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Loss on conversion of SAFE Agreements to shares of common stock with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1,250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 in fair value of deferred consideration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Loss on issuance of derivative liability</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24,688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Change in fair value of derivative liabilities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(33,986</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(2,921</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sz w:val="20"/>
              </w:rPr>
            </w:pPr>
            <w:r>
              <w:rPr>
                <w:sz w:val="20"/>
              </w:rPr>
              <w:t>Change in fair value of forward purchase agreement liabilities</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(337</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Non-cash expense in connection with warrants issued for vendor services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9,179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Loss on impairments and disposals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3,827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Non-cash income</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1,757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(22,337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sz w:val="20"/>
              </w:rPr>
            </w:pPr>
            <w:r>
              <w:rPr>
                <w:sz w:val="20"/>
              </w:rPr>
              <w:t>Accretion of debt in CS Solis</w:t>
            </w:r>
            <w:r>
              <w:rPr>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3,872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Other financing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450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Changes in operating assets and liabilities, net of acquisitions: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(38,756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3,306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Contract assets, current portion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8,472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(21,451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38,417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8,654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111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(10,412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14,071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(849</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Net cash used in operating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(15,327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(54,662</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b/>
              </w:rPr>
            </w:pPr>
            <w:r>
              <w:rPr>
                <w:b/>
              </w:rPr>
              <w:t>Cash flows from investing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Capitalization of internal-use-software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(1,157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Cash paid for acquisitions; net of cash acquired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(19,339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(53,500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(19,339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(54,657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b/>
              </w:rPr>
            </w:pPr>
            <w:r>
              <w:rPr>
                <w:b/>
              </w:rPr>
              <w:t>Cash flows from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issuance of convertible notes, net of issuance cost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81,725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issuance of convertible notes to related parties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26,000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issuance of SAFE agreements with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6,694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exercise of common stock options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532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exercise of warrant for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Investor financing deposit –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Principal repayment of notes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(300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Financing lease payments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(551</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Net cash provided by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120,100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10,803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17,219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6,416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pPr>
            <w:r>
              <w:rPr/>
              <w:t>13,458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17,219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Cash paid during the year for interest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178" w:type="dxa"/>
            <w:tcBorders/>
            <w:shd w:fill="FFFFFF" w:val="clear"/>
            <w:vAlign w:val="center"/>
          </w:tcPr>
          <w:p>
            <w:pPr>
              <w:pStyle w:val="TableContents"/>
              <w:bidi w:val="0"/>
              <w:spacing w:before="0" w:after="283"/>
              <w:jc w:val="right"/>
              <w:rPr/>
            </w:pPr>
            <w:r>
              <w:rPr/>
              <w:t>7,733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88" w:type="dxa"/>
            <w:tcBorders/>
            <w:shd w:fill="FFFFFF" w:val="clear"/>
            <w:vAlign w:val="center"/>
          </w:tcPr>
          <w:p>
            <w:pPr>
              <w:pStyle w:val="TableContents"/>
              <w:bidi w:val="0"/>
              <w:spacing w:before="0" w:after="283"/>
              <w:jc w:val="right"/>
              <w:rPr/>
            </w:pPr>
            <w:r>
              <w:rPr/>
              <w:t>77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Cash paid during the year for income taxes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b/>
              </w:rPr>
            </w:pPr>
            <w:r>
              <w:rPr>
                <w:b/>
              </w:rPr>
              <w:t>Supplemental schedule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Issuance of Seller Note as partial purchase consideration for acquisition of Sunder</w:t>
            </w:r>
            <w:r>
              <w:rPr>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Issuance of common stock as partial consideration for acquisition of Sunder</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5,700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consideration recognized for acquisition of Sunder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Issuance of common stock as partial purchase consideration for acquisition of Ambia</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16,493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consideration recognized for acquisition of Ambia</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Conversion of September 2024 Notes to shares of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September 2024 Notes and related derivative liability, net of unamortized debt discount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14,472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14,684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Debt issuance costs incurred in connection with the issuance of September 2025 Notes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Taxes accrued but unpaid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Cancellation of existing indebtedness in Exchange Agreement</w:t>
            </w:r>
            <w:r>
              <w:rPr>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65,873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Issuance of convertible notes in Exchange Agreement</w:t>
            </w:r>
            <w:r>
              <w:rPr>
                <w:position w:val="7"/>
                <w:sz w:val="16"/>
                <w:sz w:val="20"/>
              </w:rPr>
              <w:t>(10)</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42,662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Issuance of common stock in Exchange Agreement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2,220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Conversion of SAFE Agreements to shares of common stock –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5,000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Operating lease 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Offering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1,396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Warrants issued in debt issuance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860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Carlyle Warrant modification –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7,306</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debt issuance costs includes $2.6 million and $1.6 million with related parties in 2025 and 2024, respectively.</w:t>
            </w:r>
          </w:p>
        </w:tc>
      </w:tr>
    </w:tbl>
    <w:p>
      <w:pPr>
        <w:pStyle w:val="TextBody"/>
        <w:bidi w:val="0"/>
        <w:spacing w:before="0" w:after="0"/>
        <w:ind w:left="13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$3.0 million loss in 2024 with the Massey Trust (as later defined in </w:t>
            </w:r>
            <w:r>
              <w:rPr>
                <w:rFonts w:ascii="Times New Roman;Times;Serif" w:hAnsi="Times New Roman;Times;Serif"/>
                <w:b/>
                <w:sz w:val="20"/>
              </w:rPr>
              <w:t>Note 10 – Borrowings and Derivative Liabilities</w:t>
            </w:r>
            <w:r>
              <w:rPr>
                <w:rFonts w:ascii="Times New Roman;Times;Serif" w:hAnsi="Times New Roman;Times;Serif"/>
                <w:sz w:val="20"/>
              </w:rPr>
              <w:t>), a related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$3.5 gain and $0.3 million gain in 2025 and 2024, respectively, in connection with the change in the fair value of derivative liabilities with related parties, the Massey Trust and Carlyle (as later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 with related parties was income of $0.1 million in each of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60"/>
        <w:gridCol w:w="51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60"/>
        <w:gridCol w:w="390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Identified as a related party transaction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Issuance of Seller Note was deemed to be with a related party.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60"/>
        <w:gridCol w:w="46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debt cancellation of $37.2 million.</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365"/>
        <w:gridCol w:w="591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$23.7 million issuance of convertible notes with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C_006"/>
      <w:bookmarkEnd w:id="3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operates on a 52-to-53-week fiscal year that ends on the Sunday closest to December 31. The Company’s fiscal years ended on December 28, 2025 (“2025”) and December 29, 2024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Acquisitions and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completed the sale of its solar panel business (“Divestiture”). The Company determined that the Divestiture represented a strategic shift in the Company’s business and qualified as a discontinued operation for accounting purposes. The Company recognized losses from discontinued operations in its consolidated statements of operations and comprehensive loss and consolidated statements of cash flows related to the Divestiture of $1.1 million and $2.0 million in the fiscal years ended December 28, 2025 and December 29, 2024, respectively. The additional losses recognized in 2025 and 2024 related to legal expenses incurred in connection with litigation related to its former solar panel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29, 2024, the Company completed the acquisition of certain assets relating to the Blue Raven Solar business, New Homes business and Non-Installing Dealer network (collectively the “SunPower Businesses”) from SunPower Debtors, the successor entity in bankruptcy to SunPower Corporation and its direct and indirect subsidiaries (collectively “SunPower Corporation”). In the fiscal year ended December 28, 2025, the Company completed the acquisitions of Sunder Energy, LLC and Ambia Energy LLC. Each of these acquisitions was accounted for as business combinations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through the fiscal year ended December 28, 2025, the Company has incurred recurring losses and negative cash flows from operations. The Company’s net loss from continuing operations was $44.3 million in the fiscal year ended December 28, 2025. As of December 28, 2025, the Company had an accumulated deficit of $456.7 million, short-term debt of $24.3 million, and cash and cash equivalents, excluding restricted cash, of $9.6 million. The Company anticipates that operating losses and negative operating cash flows may continue in the near term.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shareholders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Annual Report on Form 10-K for the fiscal year ended December 29, 2024 within the timeframe required by the SEC, its Quarterly Report on Form 10Q for the quarter ended September 28, 2025 or the amendment required to the Current Report originally filed on September 26, 2025 relating to the Sunder acquisition. As a result, the Company is not currently eligible to use a registration statement on Form S-3 that would allow it to continuously incorporate by reference its SEC reports into the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accompanying notes have been prepared in accordance with generally accepted accounting principles (“U.S. GAAP”) and pursuant to the rules and regulations of the Securities and Exchange Commission (“SEC”). The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liabilities, revenues, expenses, as well as related disclosure of contingent assets and liabilities. Significant estimates and assumptions made by management include, but are not limited to, the determination of (i) the allowance for credit losses; (ii) inventory obsolescence; (iii) stock-based compensation; (iv) workmanship warranty; (v) intangible assets acquired in business combinations; (vi) forward purchase agreements; (vii) Simple Agreement for Future Equity (“SAFE”) Agreements, (viii) derivative liabilities; and (ix)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condition or operating results may be affected to the extent that there are material differences between estimates and actual results.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 of prior year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reclassified long-term operating lease liabilities of $2.3 million from Operating lease liabilities, net of current portion to Other long-term liabilities to conform to the current year’s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 operating results prepared on a basis consistent with U.S. GAAP. The measurement criteria is based on each respective segment’s operating revenue and operating (loss) income and excludes any corporate costs which are not allocatable to the operating segments. The CODM’s measurement criteria does not include segment assets. For the periods presented, the Company reported its financial performance within three reportable segments; Residential Solar Installation, New Homes Business and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Residential Solar Installation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storage and battery installations for residential homeowners.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Homes Business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installations for new home builders. This segment was new in fiscal year 2024 as a result of the acquisition of the SunPower Businesses in the fourth quarter of fiscal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Dealer – </w:t>
      </w:r>
      <w:r>
        <w:rPr>
          <w:rFonts w:ascii="Times New Roman;Times;Serif" w:hAnsi="Times New Roman;Times;Serif"/>
          <w:b w:val="false"/>
          <w:i w:val="false"/>
          <w:caps w:val="false"/>
          <w:smallCaps w:val="false"/>
          <w:sz w:val="20"/>
        </w:rPr>
        <w:t>This segment provides a third-party solar energy sales force to initiate and execute contracts with customers throughout the United States. This segment’s sales force works with solar installation companies and acts as the agent for each transaction entered. This segment is new in fiscal year 2025 as a result of the acquisition of Sunder.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credit losses in the event of nonperformance by the counterparties to its financial and derivative instruments. Financial and derivative instruments that potentially subject the Company to concentrations of credit risk are primarily cash and cash equivalents, restricted cash and cash equivalents, accounts receivable, and contract assets.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held in checking and savings accounts consisting of highly liquid securities with maturity dates of three months or less from the original date of purchase. The Company maintains the majority of its cash balances with commercial banks in interest bearing accounts. The Company considers all highly liquid securities that mature within three months or less from the original date of purchase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classifies all cash for which usage is limited by contractual provisions as restricted cash. Restricted cash consists of deposits in money market accounts, which is used as cash collateral backing letters of credit related to customs duty authorities’ requirements. The Company presents restricted cash as a noncurrent asset in its consolidated balance sheets. The Company reconciles cash, cash equivalents, and restricted cash reported on its consolidated balance sheets that aggregate to the beginning and ending balances shown on the Company’s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905"/>
        <w:gridCol w:w="60"/>
        <w:gridCol w:w="204"/>
        <w:gridCol w:w="970"/>
        <w:gridCol w:w="60"/>
        <w:gridCol w:w="60"/>
        <w:gridCol w:w="204"/>
        <w:gridCol w:w="970"/>
        <w:gridCol w:w="7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13,378</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Customers – homeowners and financiers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one customer had an outstanding balance that represented 11% of the Company’s outstanding trade receivable balance. As of December 28, 2024, no customer had an outstanding balance that represented more than 10% of the Company’s total trade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major customers as those customers which generate revenues that exceed 10% of the Company’s annual net revenues by reportable segment. In fiscal 2025 Customer A accounted for 19% of revenues across the Residential Solar Installation and New Homes reportable segments. In fiscal year 2024, Customer A and Customer B accounted for 12% and 14%, respectively, of gross revenues. Customer A generates revenue across the Residential Solar Installation and New Homes reportable segments. Customer B generated revenue within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for the Residential Solar Installation and New Homes Business reportable segments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entering into a sales contract within the Dealer reportable segment, the requisite performance obligation of the Company is to assist the customer in the progress of the installation and obtain Permission to Operate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reflects the consideration which the Company expects to be entitled to receive in exchange for the products and services. To achieve this core principle, the Company applies the following five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Identification of the contract(s) with a customer;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Identification of the performance obligations in the contracts(s);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Determination of the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Allocation of the transaction price to the performance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Recognition of the revenue when, or as, the Company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provide incentives to its customers, such as discounts and rebates which are recorded net against the revenue that the Company has recognized related to the solar energy system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Residential Solar Installation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Solar Installation segment sells products through a network of installing and non-installing dealers and resellers, as well as its internal sales team. The Company’s contracts with customers include three primary contract types: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homeowners who purchase the solar energy system and related services from the Company. Customers are invoiced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Financing partner agreements</w:t>
            </w:r>
            <w:r>
              <w:rPr>
                <w:rFonts w:ascii="Times New Roman;Times;Serif" w:hAnsi="Times New Roman;Times;Serif"/>
                <w:sz w:val="20"/>
              </w:rPr>
              <w:t xml:space="preserve"> – In its financing partner agreements, the Company contracts directly with homeowners for the purchase of the 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Power purchase agreements and lease agreements</w:t>
            </w:r>
            <w:r>
              <w:rPr>
                <w:rFonts w:ascii="Times New Roman;Times;Serif" w:hAnsi="Times New Roman;Times;Serif"/>
                <w:sz w:val="20"/>
              </w:rPr>
              <w:t xml:space="preserve"> – The Company contracts directly with a leasing partner to perform the solar energy system 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Homes Business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New Homes Business segment sells through a network of home builders as well as its internal sales team. The Company’s contracts with customers include two primary contract types: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homebuilders who purchase the solar energy system from the Company and are the customers in the transaction. The Company’s customers are invoiced upon the completion of installation.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Lease agreements</w:t>
            </w:r>
            <w:r>
              <w:rPr>
                <w:rFonts w:ascii="Times New Roman;Times;Serif" w:hAnsi="Times New Roman;Times;Serif"/>
                <w:sz w:val="20"/>
              </w:rPr>
              <w:t xml:space="preserve"> – Prior to SunPower Debtor’s declaration of bankruptcy, certain homeowners had intended to lease a system from SunPower 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Dealer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revenue from contracts sold to customers for solar installations performed by third-party installation companies. The Company recognizes revenue at a point in time when PTO is complete. The Company acts as an agent in these arrangements and records revenue on a net basis. The Company does not have any significant financing components in these contracts. The Company does not provide warranty services related to these sales contracts, and therefore, the Company does not record a warranty reserve with respect to these sales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costs of obtaining customer contracts consist of sales commissions which are paid to third-parties who source residential customer contracts for the sale of solar energy systems by the Company. The Company defers sales commissions and recognizes the expense in accordance with the timing of the related revenue recognition. Amortization of deferred commissions is recorded as sales commissions in the accompanying consolidated statements of operations and comprehensive loss. As of December 28, 2025 deferred commissions was $5.6 million. Deferred commissions were not material as of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Assets and 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consist of unbilled receivables which represent revenue that has been recognized in advance of the Company’s right to bill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prior to transferring control of goods or services to the customer under the terms of a sales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consolidated balance sheets. Contract liabilities for installation projects expected to be completed beyond 12 months are classified as noncurrent obligations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not to disclose the remaining performance obligations for contracts that are less than one year in length. The Company’s performance obligations associated with long-term service contracts are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Estimated Credit losses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 allowance for credit losses at the time a receivable is recorded based on the Company’s estimate of expected credit losses, historical write-off experience, and current account knowledge. In developing its estimate of expected credit losses, the Company has elected to apply the practical expedient permitted under Accounting Standards Codification (“ASC”) 326 –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under which it assumes that current conditions at the balance-sheet date remain unchanged for the remaining life of the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losses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637" w:type="dxa"/>
        <w:jc w:val="left"/>
        <w:tblInd w:w="0" w:type="dxa"/>
        <w:tblLayout w:type="fixed"/>
        <w:tblCellMar>
          <w:top w:w="0" w:type="dxa"/>
          <w:left w:w="0" w:type="dxa"/>
          <w:bottom w:w="0" w:type="dxa"/>
          <w:right w:w="0" w:type="dxa"/>
        </w:tblCellMar>
      </w:tblPr>
      <w:tblGrid>
        <w:gridCol w:w="4910"/>
        <w:gridCol w:w="60"/>
        <w:gridCol w:w="218"/>
        <w:gridCol w:w="956"/>
        <w:gridCol w:w="128"/>
        <w:gridCol w:w="96"/>
        <w:gridCol w:w="204"/>
        <w:gridCol w:w="970"/>
        <w:gridCol w:w="9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and for the Year Ended</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charged to earnings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(3,554</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(9,132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written off, net of recoveries and other adjustments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17,277</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end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(5,206</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the Company identified customer accounts receivable balances that were deemed to be uncollectible, which were reserved and written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solar panels and the components of solar energy systems all of which are classified as finished goods within inventories as of December 28, 2025 and December 29, 2024. Inventories are valued using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and such inventory has been adjusted to its lower of cost or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costs to fulfill contracts associated with systems sales are expensed as cost of revenues. Cost of revenues is comprised primarily of materials, internal labor,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the Company transfers control of the product to the customer, which is generally upon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 10-year warranty on its solar energy system installations, which provides assurance over the workmanship in performing the installation, including roof leaks caused by the Company’s performance. For solar panel sales recognized prior to the Divestiture, the Company provides a 30-year warranty that the products will be free from defects in material and workmanship. The Company retained its warranty obligations associated with panel sales prior to the Divestiture.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revenue is recognized for a solar energy system installation service, the Company accrues a liability for the estimated future cost of meeting its warranty obligations. The Company makes and revises its estimated warranty liability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equipment and labor costs for service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When assets are retired or disposed of, the cost and accumulated depreciation are removed from the accounts, and any resulting gain or loss is recognized in that period. Repair and maintenance costs are expensed as incurred. Depreciation and amortization are calculated using the straight-line method over the following estimated useful lives of the assets:</w:t>
      </w:r>
    </w:p>
    <w:p>
      <w:pPr>
        <w:pStyle w:val="TextBody"/>
        <w:bidi w:val="0"/>
        <w:spacing w:before="0" w:after="0"/>
        <w:ind w:left="36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075"/>
        <w:gridCol w:w="60"/>
        <w:gridCol w:w="467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3 years</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&amp; equipment</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to 5 years</w:t>
            </w:r>
          </w:p>
        </w:tc>
      </w:tr>
      <w:tr>
        <w:trPr/>
        <w:tc>
          <w:tcPr>
            <w:tcW w:w="207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FEEFF" w:val="clear"/>
            <w:vAlign w:val="center"/>
          </w:tcPr>
          <w:p>
            <w:pPr>
              <w:pStyle w:val="TableContents"/>
              <w:bidi w:val="0"/>
              <w:spacing w:before="0" w:after="283"/>
              <w:jc w:val="left"/>
              <w:rPr/>
            </w:pPr>
            <w:r>
              <w:rPr/>
              <w:t> </w:t>
            </w:r>
          </w:p>
        </w:tc>
        <w:tc>
          <w:tcPr>
            <w:tcW w:w="467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Shorter of 3 to 5 years of the asset or the term of the lease.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recorded at cost, less accumulated amortization. Amortization is recorded using the straight-line method. All intangible assets that have been determined to have definite lives are amortized over their estimated useful life as indicated below:</w:t>
      </w:r>
    </w:p>
    <w:p>
      <w:pPr>
        <w:pStyle w:val="TextBody"/>
        <w:bidi w:val="0"/>
        <w:spacing w:before="0" w:after="0"/>
        <w:ind w:left="36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375"/>
        <w:gridCol w:w="60"/>
        <w:gridCol w:w="107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related intangibles</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37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FEEFF" w:val="clear"/>
            <w:vAlign w:val="center"/>
          </w:tcPr>
          <w:p>
            <w:pPr>
              <w:pStyle w:val="TableContents"/>
              <w:bidi w:val="0"/>
              <w:spacing w:before="0" w:after="283"/>
              <w:jc w:val="left"/>
              <w:rPr/>
            </w:pPr>
            <w:r>
              <w:rPr/>
              <w:t> </w:t>
            </w:r>
          </w:p>
        </w:tc>
        <w:tc>
          <w:tcPr>
            <w:tcW w:w="107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3 years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and equipment, Right-of-Use (“ROU”) assets,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an impairment loss of zero and $3.8 million in the fiscal years ended December 28, 2025 and December 29, 2024, respectively, as disclosed in </w:t>
      </w:r>
      <w:r>
        <w:rPr>
          <w:rFonts w:ascii="Times New Roman;Times;Serif" w:hAnsi="Times New Roman;Times;Serif"/>
          <w:b/>
          <w:i w:val="false"/>
          <w:caps w:val="false"/>
          <w:smallCaps w:val="false"/>
          <w:sz w:val="20"/>
        </w:rPr>
        <w:t>Note 6 – Supplemental Balance Sheet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at the reporting unit level for impairment annually on the first day of the fourth quarter, or more frequently if an event occurs or circumstances change that would more likely than not reduce the fair value of the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to perform a qualitative assessment that considers economic, industry and company-specific factors. If, after completing the assessment, it is determined that it is more likely than not that the fair value of a reporting unit is less than its carrying value, the Company proceeds to a quantitative test. Quantitative testing requires a comparison of the fair value of each reporting unit to its carrying value. If the carrying value of the reporting unit exceeds its fair value, goodwill impairment is measured as the amount by which the reporting unit’s carrying value exceeds its fair value, not to exceed the carrying value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goodwill impairment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inputs: Unadjusted quoted prices in active markets for identical assets or liabilities accessible to the reporting entity at the measurement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Other than quoted prices included in Level 1 inputs that are observable for the asset or liability, either directly or indirectly, for substantially the full term of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held by the Company measured at fair value every reporting period include cash and cash equivalents, accounts receivable, accounts payable, accrued expenses, warrant liabilities, forward purchase agreements (“FPAs”), SAFEs, deferred purchase price consideration, and derivative liabilities associated with the Company’s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accrued expenses and other current liabilities, public warrants, and deferred purchase price consideration approximate their respective fair values because of their short-term nature or they have observable inputs (classified as 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derivative liabilities associated with the Company’s borrowings, FPAs, SAFEs, and private and working capital warrant liabilities are initially measured at fair value using Level 3 inputs. At each subsequent reporting date, the Company remeasures the fair value of these instruments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and records the respective adjustment to the fair value within Other non-operating income, net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 with Embedded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borrowings with embedded derivative liabilities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to determine whether such features must be bifurcated and accounted for separately as derivative liabilities. Upon issuance of a debt instrument with an embedded conversion option feature, the Company assesses whether the embedded feature qualifies as a derivative that requires bifurcation from the host contract. An embedded feature is bifurcated and accounted for as a separate derivative instrument if (i) the economic characteristics and risks of the embedded feature are not clearly and closely related to those of the host debt instrument; (ii) the embedded feature, if freestanding, would meet the definition of a derivative; and (iii) the hybrid instrument is not remeasured at fair value through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feature requires bifurcation, the Company allocates a portion of the initial proceeds to the fair value of the derivative liability, with the residual assigned to the carrying amount of the host debt instrument. The derivative liability is subsequently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host debt instrument is recorded at amortized cost using the effective interest method. Any discounts or premiums resulting from the initial allocation between the host debt and the embedded derivative are amortized as interest expense over the expected term of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The fair value of a derivative liability is measured using a Monte Carlo simulation that incorporates a binomial lattice model.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10 – Borrowings and Derivative Liabilities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FPAs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 the agreements embody an obligation to transfer assets to settle a forward contract. The FPAs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8 – Forward Purchase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warrant liabilities in accordance with the guidance in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under which the warrants that do not meet the criteria for equity classification must be recorded as liabilities. The warrant liabilities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14 – Common Stock and Common Stock Warrants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SAFEs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SAFEs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9 – SAFE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costs are expensed as incurred and included in sales and marketing expense in the accompanying consolidated statements of operations and comprehensive loss. Advertising costs were not material for the fiscal years ended December 28, 2025 and December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A valuation allowance is established when it is more likely than not that the deferred tax assets with not be realized. The Company recognizes the effect of income tax positions only if those positions are more likely than not to be sustained. The Company recognizes accrued interest and penalties, if any, related to unrecognized tax benefits in its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Public Law No. 119-21, commonly known as the One Big Beautiful Bill Act (the “OBBBA”), was enacted in the United States, resulting in broad-based changes to federal tax law. The Company included the impact of OBBBA in its income tax provision for the fiscal year ended December 28, 2025. The OBBBA did not have a material impact on income tax expense for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income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net loss per share following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Basic net loss per share is measured as the loss attributable to common stockholders divided by the weighted average common shares outstanding during periods with undistributed losses.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Securities that potentially have an anti-dilutive effect (i.e., those that increase income per share or decrease loss per share) are excluded from the diluted loss per share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leases following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if a contract is a lease or contains a lease at the inception of the contract and reassesses that conclusion if the contract is modified. ROU assets represent the Company’s right to use an underlying asset for the lease term and lease liabilities represent its obligation to make lease payments arising from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generally contain lease and non-lease components. Payments under lease arrangements are primarily fixed. The Company has elected the practical expedient to combine lease and non-lease components and accounts for them together as a single lease component. All leases are assessed for classification as an operating lease or a finance lease. Finance lease ROU assets are classified within Property and Equipment, net, on the Company’s consolidated balance sheets. Operating lease ROU assets are classified separately on the Company’s consolidated balance sheets. Operating lease liabilities and finance lease obligations are separated into their respective current portion and non-current portions and are presented separately on the Company’s consolidated balance sheets. Finance lease ROU assets and liabilities and operating lease ROU assets and liabilities are recognized on the Company’s consolidated balance sheet on the date in which the lessor makes the underlying asset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ROU assets are those that meet one or more of the criteria outlined in ASC 842-10-25-2, such as transfer of ownership, purchase option, lease term for a major part of the asset’s economic life, or present value of lease payments substantially equal to the fair value of the asset. Finance lease ROU assets are initially measured at cost, which includes the initial lease liability, plus any lease payments made at or before commencement, less any lease incentives received. Finance lease ROU assets are amortized on a straight-line basis over the shorter of the lease term or the useful life of the underlying asset. Interest expense on the finance lease liability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liabilities are recognized based upon the present value of the lease payments over the respective lease term. Operating lease expense is recognized on a straight-line basis over the lease term, subject to any changes in the lease or expectation regarding the terms. Variable lease costs such as common area maintenance, property taxes and insurance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Options to renew or extend leases beyond their initial term have been excluded from measurement of the ROU assets and lease liabilities when exercise of such options is not reasonably certain. The Company generally uses the base, non-cancellable, lease term when determining the lease assets and liabilities. The Company records a right-of-use asset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for all classes of underlying assets, not to recognize ROU assets and lease liabilities for leases with an initial term of twelve months or less. The cost for short-term leases is recognized on a straight-line basis over the term of the contract.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Financial Accounting Standards Board (“FASB”) issued Accounting Standards Update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xml:space="preserve"> which provides an update to all entities with a practical expedient when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adopted this ASU on a prospective basis in its annual report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with CRSEF Solis Holdings, LLC and its affiliates (“Carlyle”), have been disclosed as related party transactions until it ceased being a significant shareholder in the Company. Effective March 31, 2025, transactions with Carlyle are no longer deemed related party transactions. The Company continues to engage in transactions with Carlyle as it is a creditor of the Company’s 12.0% senior unsecured convertible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Daniel McCranie became a member of the Company’s Board of Directors in January 2025 and through a related trust, holds $750 thousand of the Company’s 12.0% senior unsecured convertible notes. The Company concluded that this relationship is a related party transaction effective in the Company’s fiscal year 2025.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Polar Multi-Strategy Master Fund (“Polar”) ceased to be a related party, and as a result, effective March 31, 2025, transactions with Polar are no longer deemed related party transactions. Transactions previously reported with Polar have been disclosed as related party transactions. The Company has a forward purchase agreement with Polar.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received a letter from the Listing Qualifications staff of Nasdaq indicating that, as a result of the Company’s delay in filing its quarterly report on Form 10-Q for the period ended September 28, 2025,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quarterly report on Form 10-Q for the period ended September 28, 2025 on December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SunPower Businesses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Company entered into an Asset Purchase Agreement (the “APA”) with SunPower Corporation and SunPower Corporation’s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Corporation under Chapter 11 of the United States Code, 11 U.S.C.§§ 101-1532. The transaction was approved on September 23, 2024, by the United States Bankruptcy Court for the District of Delaware. The Company completed the acquisition of the Acquired Assets (as defined in the APA) effective September 30, 2024, in the Company’s fourth quarter of fiscal year 2024, in consideration for a cash purchase price of $54.5 million (“SunPower Acquisition”). The assets and businesses acquired, including liabilities assumed, by the Company under the APA are referred to herein as the “SunPower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acquisition, the SunPower Businesses operated as a solar technology and energy services provider that offered fully integrated solar, storage, and home energy solutions to customers in the United States through an array of hardware, software, and “Smart Energy” solutions. The financial results of the SunPower Businesses have been included in the Company’s consolidated financial statements since its date of acquisition. This transaction was accounted for as a business combination in accordance with ASC 805</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$7.2 million incurred in connection with the close of the SunPower Businesses were expensed by the Company and included in general and administrative expenses on the Company’s statement of operations and comprehensive loss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initially recorded were based upon a preliminary valuation in the fiscal year ended December 29, 2024. Upon finalization of the fair values in the fiscal year ended December 28, 2025, the Company recorded adjustments to acquired inventory related to (1) the resolution of work-in-progress at various stages of completion as of the acquisition date for which further analysis was required in order to determine which systems could be sold to a financing partner, and (2) completed systems that were acquired as of the acquisition date for which uncertainty existed due to unsettled matters with the SunPower Bankruptcy Estate, which were resolved in connection with the Company’s settlement with the SunPower Bankruptcy Estate. The settlement of these matters resulted in adjustments to the provisional fair values of the inventory and intangibles with an offsetting adjustment to goodwill during the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and final fair values of identifiable assets acquired and liabilities assumed and measurement period adjustments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4"/>
        <w:gridCol w:w="60"/>
        <w:gridCol w:w="478"/>
        <w:gridCol w:w="2504"/>
        <w:gridCol w:w="80"/>
        <w:gridCol w:w="60"/>
        <w:gridCol w:w="350"/>
        <w:gridCol w:w="1825"/>
        <w:gridCol w:w="80"/>
        <w:gridCol w:w="60"/>
        <w:gridCol w:w="147"/>
        <w:gridCol w:w="768"/>
        <w:gridCol w:w="99"/>
      </w:tblGrid>
      <w:tr>
        <w:trPr/>
        <w:tc>
          <w:tcPr>
            <w:tcW w:w="36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 as of December 29,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Measurement </w:t>
              <w:br/>
              <w:t xml:space="preserve">period </w:t>
              <w:br/>
              <w:t>adjustments in fiscal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Final</w:t>
              <w:br/>
              <w:t>fair values</w:t>
            </w:r>
          </w:p>
        </w:tc>
        <w:tc>
          <w:tcPr>
            <w:tcW w:w="99" w:type="dxa"/>
            <w:tcBorders/>
            <w:vAlign w:val="center"/>
          </w:tcPr>
          <w:p>
            <w:pPr>
              <w:pStyle w:val="TableContents"/>
              <w:bidi w:val="0"/>
              <w:spacing w:before="0" w:after="283"/>
              <w:jc w:val="left"/>
              <w:rPr/>
            </w:pPr>
            <w:r>
              <w:rPr/>
              <w:t> </w:t>
            </w:r>
          </w:p>
        </w:tc>
      </w:tr>
      <w:tr>
        <w:trPr/>
        <w:tc>
          <w:tcPr>
            <w:tcW w:w="369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assets acquired:</w:t>
            </w:r>
          </w:p>
        </w:tc>
        <w:tc>
          <w:tcPr>
            <w:tcW w:w="60" w:type="dxa"/>
            <w:tcBorders/>
            <w:vAlign w:val="center"/>
          </w:tcPr>
          <w:p>
            <w:pPr>
              <w:pStyle w:val="TableContents"/>
              <w:bidi w:val="0"/>
              <w:spacing w:before="0" w:after="283"/>
              <w:jc w:val="left"/>
              <w:rPr/>
            </w:pPr>
            <w:r>
              <w:rPr/>
              <w:t> </w:t>
            </w:r>
          </w:p>
        </w:tc>
        <w:tc>
          <w:tcPr>
            <w:tcW w:w="2982"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16,614</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48,388</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of net assets acquired</w:t>
            </w:r>
          </w:p>
        </w:tc>
        <w:tc>
          <w:tcPr>
            <w:tcW w:w="60" w:type="dxa"/>
            <w:tcBorders/>
            <w:shd w:fill="CCEEFF" w:val="clear"/>
            <w:vAlign w:val="center"/>
          </w:tcPr>
          <w:p>
            <w:pPr>
              <w:pStyle w:val="TableContents"/>
              <w:bidi w:val="0"/>
              <w:spacing w:before="0" w:after="283"/>
              <w:jc w:val="left"/>
              <w:rPr/>
            </w:pPr>
            <w:r>
              <w:rPr/>
              <w:t> </w:t>
            </w:r>
          </w:p>
        </w:tc>
        <w:tc>
          <w:tcPr>
            <w:tcW w:w="4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Goodwill recognized</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Consideration transferred</w:t>
            </w:r>
          </w:p>
        </w:tc>
        <w:tc>
          <w:tcPr>
            <w:tcW w:w="60" w:type="dxa"/>
            <w:tcBorders/>
            <w:shd w:fill="CCEEFF" w:val="clear"/>
            <w:vAlign w:val="center"/>
          </w:tcPr>
          <w:p>
            <w:pPr>
              <w:pStyle w:val="TableContents"/>
              <w:bidi w:val="0"/>
              <w:spacing w:before="0" w:after="283"/>
              <w:jc w:val="left"/>
              <w:rPr/>
            </w:pPr>
            <w:r>
              <w:rPr/>
              <w:t> </w:t>
            </w:r>
          </w:p>
        </w:tc>
        <w:tc>
          <w:tcPr>
            <w:tcW w:w="4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and final fair values of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168" w:type="dxa"/>
        <w:jc w:val="left"/>
        <w:tblInd w:w="0" w:type="dxa"/>
        <w:tblLayout w:type="fixed"/>
        <w:tblCellMar>
          <w:top w:w="0" w:type="dxa"/>
          <w:left w:w="0" w:type="dxa"/>
          <w:bottom w:w="0" w:type="dxa"/>
          <w:right w:w="0" w:type="dxa"/>
        </w:tblCellMar>
      </w:tblPr>
      <w:tblGrid>
        <w:gridCol w:w="2525"/>
        <w:gridCol w:w="60"/>
        <w:gridCol w:w="875"/>
        <w:gridCol w:w="60"/>
        <w:gridCol w:w="212"/>
        <w:gridCol w:w="1007"/>
        <w:gridCol w:w="60"/>
        <w:gridCol w:w="60"/>
        <w:gridCol w:w="219"/>
        <w:gridCol w:w="956"/>
        <w:gridCol w:w="80"/>
        <w:gridCol w:w="60"/>
        <w:gridCol w:w="160"/>
        <w:gridCol w:w="759"/>
        <w:gridCol w:w="75"/>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 xml:space="preserve">December 29,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w:t>
              <w:br/>
              <w:t>in fiscal</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Final </w:t>
              <w:br/>
              <w:t>fair values</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Blue Raven Solar</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SunPower</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trademarks were estimated using the relief-from-royalty method. This approach measures the value of the asset based on the hypothetical royalties the Company would avoid paying if it had to license the trademark from a third party. The analysis considers the established history and longevity of the trade names, including the Blue Raven brand, in use since 2014, and the SunPower brand, which has been in the market for over 20 years. Key assumptions include projecting sales attributable to business enterprise value for each respective business, applying a 1% royalty rate derived from a profit-split analysis and benchmarking against the median of comparable licensing arrangements, and utilizing a 10-year economic life in line with management’s plans to continue using the brands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developed technology was estimated using the cost approach, which measures the economic resources required to recreate the asset, including direct costs and necessary entrepreneurial incentives. Direct costs were based on management’s estimate of the fees and profit margin that would be required to engage external consultants to rebuild the technology. In addition, an opportunity cost was incorporated to reflect the hypothetical return foregone during the development period, representing the income that could have been earned had these funds been invested elsewhere. The total replacement cost was calculated assuming a weighted-average redevelopment period of 19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SunPower Acquisition contributed $83.8 million and $6.5 million in revenue and income before income taxes from continuing operations, respectively, for the period from the acquisition date to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(“Seller/Member”),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3,333,334 shares of the Company’s common stock issued at the Sunder Closing and (ii) subject to approval of such issuances by the Company’s stockholders, (x) 3,333,333 shares of the Company’s common stock to be issued on the 12-month anniversary of the Sunder Closing and (y) 3,333,333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6 month anniversary of the date on which the applicable Deferred Sunder Consideration Shares are otherwise issuable. The shares of the Company’s common stock issued and expected to be issued were valued at aggregate of $17.1 million at the date of acquisition. The common stock issued at the Sunder Closing was valued at $5.7 million and accounted for within Additional paid-in-capital on the Company’s consolidated balance sheet. The Deferred Sunder Consideration Shares payable is presented as noted below on the Company’s consolidated balance sheet as of December 28, 2025. The fair value of the Sunder deferred consideration was subsequently adjusted downward to $10.8 million from the Sunder Closing to December 28, 2025. The Company concluded that since the sellers joined the Company and represent members of management, they have a level of influence that is not insignificant, they are related parties of the Company, and therefore the Deferred Consideration and Seller Note are a related party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9705" w:type="dxa"/>
        <w:jc w:val="left"/>
        <w:tblInd w:w="0" w:type="dxa"/>
        <w:tblLayout w:type="fixed"/>
        <w:tblCellMar>
          <w:top w:w="0" w:type="dxa"/>
          <w:left w:w="0" w:type="dxa"/>
          <w:bottom w:w="0" w:type="dxa"/>
          <w:right w:w="0" w:type="dxa"/>
        </w:tblCellMar>
      </w:tblPr>
      <w:tblGrid>
        <w:gridCol w:w="8855"/>
        <w:gridCol w:w="60"/>
        <w:gridCol w:w="125"/>
        <w:gridCol w:w="590"/>
        <w:gridCol w:w="75"/>
      </w:tblGrid>
      <w:tr>
        <w:trPr/>
        <w:tc>
          <w:tcPr>
            <w:tcW w:w="8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20,689</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note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75" w:type="dxa"/>
            <w:tcBorders/>
            <w:shd w:fill="FFFFFF" w:val="clear"/>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3,333,334 shares of the Company’s common stock (classified within Additional paid-in-capital)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Sunder Consideration Shares (fair value of 6,666,666 shares of the Company’s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current with related party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FFFFFF" w:val="clear"/>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a $20.0 million Seller Note.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97" w:type="dxa"/>
        <w:jc w:val="left"/>
        <w:tblInd w:w="0" w:type="dxa"/>
        <w:tblLayout w:type="fixed"/>
        <w:tblCellMar>
          <w:top w:w="0" w:type="dxa"/>
          <w:left w:w="0" w:type="dxa"/>
          <w:bottom w:w="0" w:type="dxa"/>
          <w:right w:w="0" w:type="dxa"/>
        </w:tblCellMar>
      </w:tblPr>
      <w:tblGrid>
        <w:gridCol w:w="4325"/>
        <w:gridCol w:w="60"/>
        <w:gridCol w:w="230"/>
        <w:gridCol w:w="1244"/>
        <w:gridCol w:w="95"/>
        <w:gridCol w:w="60"/>
        <w:gridCol w:w="235"/>
        <w:gridCol w:w="1269"/>
        <w:gridCol w:w="95"/>
        <w:gridCol w:w="60"/>
        <w:gridCol w:w="220"/>
        <w:gridCol w:w="1194"/>
        <w:gridCol w:w="110"/>
      </w:tblGrid>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September 24,</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Measurement </w:t>
              <w:br/>
              <w:t xml:space="preserve">period </w:t>
              <w:br/>
              <w:t>adjustments in</w:t>
              <w:br/>
              <w:t>fiscal</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December 28,</w:t>
              <w:br/>
              <w:t>2025</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both"/>
              <w:rPr>
                <w:b/>
              </w:rPr>
            </w:pPr>
            <w:r>
              <w:rPr>
                <w:b/>
              </w:rPr>
              <w:t>Net assets acquired:</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797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Intangibles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25,922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11,578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37,500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(11,073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(11,673</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(3,850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both"/>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both"/>
              <w:rPr/>
            </w:pPr>
            <w:r>
              <w:rPr/>
              <w:t>Fair value of net assets acquired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14,878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11,089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Consideration transferred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57,789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57,789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Goodwill recognized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42,911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(11,089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617" w:type="dxa"/>
        <w:jc w:val="left"/>
        <w:tblInd w:w="0" w:type="dxa"/>
        <w:tblLayout w:type="fixed"/>
        <w:tblCellMar>
          <w:top w:w="0" w:type="dxa"/>
          <w:left w:w="0" w:type="dxa"/>
          <w:bottom w:w="0" w:type="dxa"/>
          <w:right w:w="0" w:type="dxa"/>
        </w:tblCellMar>
      </w:tblPr>
      <w:tblGrid>
        <w:gridCol w:w="2615"/>
        <w:gridCol w:w="60"/>
        <w:gridCol w:w="875"/>
        <w:gridCol w:w="60"/>
        <w:gridCol w:w="220"/>
        <w:gridCol w:w="1044"/>
        <w:gridCol w:w="60"/>
        <w:gridCol w:w="60"/>
        <w:gridCol w:w="198"/>
        <w:gridCol w:w="1036"/>
        <w:gridCol w:w="80"/>
        <w:gridCol w:w="60"/>
        <w:gridCol w:w="204"/>
        <w:gridCol w:w="970"/>
        <w:gridCol w:w="75"/>
      </w:tblGrid>
      <w:tr>
        <w:trPr/>
        <w:tc>
          <w:tcPr>
            <w:tcW w:w="26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 xml:space="preserve">as of </w:t>
              <w:br/>
              <w:t xml:space="preserve">September 24,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 in</w:t>
              <w:br/>
              <w:t>fiscal</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December 28,</w:t>
              <w:br/>
              <w:t>2025</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Sunder</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 - Sunder</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years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which measures the cash flows attributable to existing customers after deducting all supporting expenses and contributory asset charges.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of approximately since late 2023, representing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contributed $14.4 million and $6.2 million in revenue and income before income taxes from continuing operations, respectively, for the period from the acquisition date to the fiscal year ended December 28,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55"/>
        <w:gridCol w:w="60"/>
        <w:gridCol w:w="125"/>
        <w:gridCol w:w="590"/>
        <w:gridCol w:w="75"/>
      </w:tblGrid>
      <w:tr>
        <w:trPr/>
        <w:tc>
          <w:tcPr>
            <w:tcW w:w="93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10,243,924 shares of the Company’s common stock issued at Ambia Closing (classified within 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75" w:type="dxa"/>
            <w:tcBorders/>
            <w:shd w:fill="CCEEFF" w:val="clear"/>
            <w:vAlign w:val="center"/>
          </w:tcPr>
          <w:p>
            <w:pPr>
              <w:pStyle w:val="TableContents"/>
              <w:bidi w:val="0"/>
              <w:spacing w:before="0" w:after="283"/>
              <w:jc w:val="left"/>
              <w:rPr/>
            </w:pPr>
            <w:r>
              <w:rPr/>
              <w:t> </w:t>
            </w:r>
          </w:p>
        </w:tc>
      </w:tr>
      <w:tr>
        <w:trPr/>
        <w:tc>
          <w:tcPr>
            <w:tcW w:w="9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Ambia Consideration Shares (Classified within Deferred consideration, current)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75" w:type="dxa"/>
            <w:tcBorders/>
            <w:shd w:fill="FFFFFF" w:val="clear"/>
            <w:vAlign w:val="center"/>
          </w:tcPr>
          <w:p>
            <w:pPr>
              <w:pStyle w:val="TableContents"/>
              <w:bidi w:val="0"/>
              <w:spacing w:before="0" w:after="283"/>
              <w:jc w:val="left"/>
              <w:rPr/>
            </w:pPr>
            <w:r>
              <w:rPr/>
              <w:t> </w:t>
            </w:r>
          </w:p>
        </w:tc>
      </w:tr>
      <w:tr>
        <w:trPr/>
        <w:tc>
          <w:tcPr>
            <w:tcW w:w="9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is a residential solar energy system installer and operates in various markets throughout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67"/>
        <w:gridCol w:w="60"/>
        <w:gridCol w:w="249"/>
        <w:gridCol w:w="1217"/>
        <w:gridCol w:w="112"/>
      </w:tblGrid>
      <w:tr>
        <w:trPr/>
        <w:tc>
          <w:tcPr>
            <w:tcW w:w="856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112" w:type="dxa"/>
            <w:tcBorders/>
            <w:vAlign w:val="center"/>
          </w:tcPr>
          <w:p>
            <w:pPr>
              <w:pStyle w:val="TableContents"/>
              <w:bidi w:val="0"/>
              <w:spacing w:before="0" w:after="283"/>
              <w:jc w:val="left"/>
              <w:rPr/>
            </w:pPr>
            <w:r>
              <w:rPr/>
              <w:t> </w:t>
            </w:r>
          </w:p>
        </w:tc>
      </w:tr>
      <w:tr>
        <w:trPr/>
        <w:tc>
          <w:tcPr>
            <w:tcW w:w="8567" w:type="dxa"/>
            <w:tcBorders/>
            <w:vAlign w:val="center"/>
          </w:tcPr>
          <w:p>
            <w:pPr>
              <w:pStyle w:val="TableContents"/>
              <w:bidi w:val="0"/>
              <w:spacing w:before="0" w:after="283"/>
              <w:jc w:val="both"/>
              <w:rPr>
                <w:b/>
              </w:rPr>
            </w:pPr>
            <w:r>
              <w:rPr>
                <w:b/>
              </w:rPr>
              <w:t>Net assets acquired:</w:t>
            </w:r>
          </w:p>
        </w:tc>
        <w:tc>
          <w:tcPr>
            <w:tcW w:w="6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1,350</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1,368</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Contract assets - unbilled receivables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1,143</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797</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2,230</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4,300</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2,563</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182</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(2,806</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(2,917</w:t>
            </w:r>
          </w:p>
        </w:tc>
        <w:tc>
          <w:tcPr>
            <w:tcW w:w="112" w:type="dxa"/>
            <w:tcBorders/>
            <w:shd w:fill="FFFFFF" w:val="clear"/>
            <w:vAlign w:val="center"/>
          </w:tcPr>
          <w:p>
            <w:pPr>
              <w:pStyle w:val="TableContents"/>
              <w:bidi w:val="0"/>
              <w:spacing w:before="0" w:after="283"/>
              <w:jc w:val="left"/>
              <w:rPr/>
            </w:pPr>
            <w:r>
              <w:rPr/>
              <w:t>)</w:t>
            </w:r>
          </w:p>
        </w:tc>
      </w:tr>
      <w:tr>
        <w:trPr/>
        <w:tc>
          <w:tcPr>
            <w:tcW w:w="8567"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(1,675</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(2,702</w:t>
            </w:r>
          </w:p>
        </w:tc>
        <w:tc>
          <w:tcPr>
            <w:tcW w:w="112" w:type="dxa"/>
            <w:tcBorders/>
            <w:shd w:fill="FFFFFF" w:val="clear"/>
            <w:vAlign w:val="center"/>
          </w:tcPr>
          <w:p>
            <w:pPr>
              <w:pStyle w:val="TableContents"/>
              <w:bidi w:val="0"/>
              <w:spacing w:before="0" w:after="283"/>
              <w:jc w:val="left"/>
              <w:rPr/>
            </w:pPr>
            <w:r>
              <w:rPr/>
              <w:t>)</w:t>
            </w:r>
          </w:p>
        </w:tc>
      </w:tr>
      <w:tr>
        <w:trPr/>
        <w:tc>
          <w:tcPr>
            <w:tcW w:w="8567" w:type="dxa"/>
            <w:tcBorders/>
            <w:shd w:fill="CCEEFF" w:val="clear"/>
            <w:vAlign w:val="center"/>
          </w:tcPr>
          <w:p>
            <w:pPr>
              <w:pStyle w:val="TableContents"/>
              <w:bidi w:val="0"/>
              <w:spacing w:before="0" w:after="283"/>
              <w:jc w:val="both"/>
              <w:rPr/>
            </w:pPr>
            <w:r>
              <w:rPr/>
              <w:t>Finance lease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Fair value of net assets acquired</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2,564</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Fair value of common stock issued (classified within Additional paid-in-capital)</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16,493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8567" w:type="dxa"/>
            <w:tcBorders/>
            <w:shd w:fill="FFFFFF" w:val="clear"/>
            <w:vAlign w:val="center"/>
          </w:tcPr>
          <w:p>
            <w:pPr>
              <w:pStyle w:val="TableContents"/>
              <w:bidi w:val="0"/>
              <w:spacing w:before="0" w:after="283"/>
              <w:jc w:val="both"/>
              <w:rPr/>
            </w:pPr>
            <w:r>
              <w:rPr/>
              <w:t>Fair value of Deferred Ambia Consideration Shares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33,372</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Goodwill recognized</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30,808</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3200"/>
        <w:gridCol w:w="60"/>
        <w:gridCol w:w="1040"/>
        <w:gridCol w:w="60"/>
        <w:gridCol w:w="295"/>
        <w:gridCol w:w="1180"/>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pPr>
            <w:r>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3,400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Trademarks - Ambia</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 year</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900</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4,300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Useful life is based upon customer consumption, expected to occur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adjustments for sales and marketing expenses, upon which management estimates that 100% of Ambia’s sales and marketing expenses are directed at acquiring new customers and is not required to support the backlog; (iv) charges were taken for the use of working capital, fixed assets, workforce and trademarks;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contributed $7.0 million and $2.8 million in revenue and loss before income taxes from continuing operations, respectively, for the period from the acquisition date to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periods presented, as if the SunPower Businesses acquisition occurred on January 1, 2023 and the Sunder and Ambia acquisitions occurred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4355"/>
        <w:gridCol w:w="60"/>
        <w:gridCol w:w="209"/>
        <w:gridCol w:w="1205"/>
        <w:gridCol w:w="95"/>
        <w:gridCol w:w="60"/>
        <w:gridCol w:w="194"/>
        <w:gridCol w:w="1220"/>
        <w:gridCol w:w="11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429,689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480,427</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Pro forma net loss from continuing operations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(59,168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(312,801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revenue is generated in the U.S. Revenue is disaggregated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070"/>
        <w:gridCol w:w="60"/>
        <w:gridCol w:w="209"/>
        <w:gridCol w:w="1205"/>
        <w:gridCol w:w="60"/>
        <w:gridCol w:w="60"/>
        <w:gridCol w:w="209"/>
        <w:gridCol w:w="1205"/>
        <w:gridCol w:w="7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Residential Solar Installation</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Revenue recognized over time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160,987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67,460</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Residential Solar Installation</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160,987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67,460</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New Homes Business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 over time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46,686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32,205</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77,909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9,077</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New Homes Business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124,595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41,282</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Total Dealer</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108,742</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revenue recognized over time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207,673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99,665</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Total 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9,077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contract assets and contract liabilities from contracts with customers are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2900"/>
        <w:gridCol w:w="60"/>
        <w:gridCol w:w="241"/>
        <w:gridCol w:w="1173"/>
        <w:gridCol w:w="60"/>
        <w:gridCol w:w="60"/>
        <w:gridCol w:w="241"/>
        <w:gridCol w:w="1173"/>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67,824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25,842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assets, current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contract assets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14,122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26,066</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20,336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10,003</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918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contract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10,921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contract liabilities is primarily attributed to the acquisition of Sunder in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balances of contract assets in the fiscal years ended December 28, 2025 and December 29, 2024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86" w:type="dxa"/>
        <w:jc w:val="left"/>
        <w:tblInd w:w="0" w:type="dxa"/>
        <w:tblLayout w:type="fixed"/>
        <w:tblCellMar>
          <w:top w:w="0" w:type="dxa"/>
          <w:left w:w="0" w:type="dxa"/>
          <w:bottom w:w="0" w:type="dxa"/>
          <w:right w:w="0" w:type="dxa"/>
        </w:tblCellMar>
      </w:tblPr>
      <w:tblGrid>
        <w:gridCol w:w="6065"/>
        <w:gridCol w:w="60"/>
        <w:gridCol w:w="220"/>
        <w:gridCol w:w="1194"/>
        <w:gridCol w:w="97"/>
        <w:gridCol w:w="61"/>
        <w:gridCol w:w="241"/>
        <w:gridCol w:w="1173"/>
        <w:gridCol w:w="75"/>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b/>
              </w:rPr>
            </w:pPr>
            <w:r>
              <w:rPr>
                <w:b/>
              </w:rPr>
              <w:t>Contract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Contract assets, beginning of period</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26,066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Contract assets recognized</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12,979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21,451</w:t>
            </w:r>
          </w:p>
        </w:tc>
        <w:tc>
          <w:tcPr>
            <w:tcW w:w="7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Reclassifications to accounts receivable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(26,066</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Increase due to contract assets acquired in business combination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1,143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4,615</w:t>
            </w:r>
          </w:p>
        </w:tc>
        <w:tc>
          <w:tcPr>
            <w:tcW w:w="7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Contract assets, end of period</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14,122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26,066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balances of contract liabilities in the fiscal years ended December 28, 2025 and December 29, 2024 were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692" w:type="dxa"/>
        <w:jc w:val="left"/>
        <w:tblInd w:w="0" w:type="dxa"/>
        <w:tblLayout w:type="fixed"/>
        <w:tblCellMar>
          <w:top w:w="0" w:type="dxa"/>
          <w:left w:w="0" w:type="dxa"/>
          <w:bottom w:w="0" w:type="dxa"/>
          <w:right w:w="0" w:type="dxa"/>
        </w:tblCellMar>
      </w:tblPr>
      <w:tblGrid>
        <w:gridCol w:w="6530"/>
        <w:gridCol w:w="60"/>
        <w:gridCol w:w="241"/>
        <w:gridCol w:w="1173"/>
        <w:gridCol w:w="101"/>
        <w:gridCol w:w="63"/>
        <w:gridCol w:w="241"/>
        <w:gridCol w:w="1173"/>
        <w:gridCol w:w="110"/>
      </w:tblGrid>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b/>
              </w:rPr>
            </w:pPr>
            <w:r>
              <w:rPr>
                <w:b/>
              </w:rPr>
              <w:t>Contract liabilities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Contract liabilities, beginning of period</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10,921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3,478</w:t>
            </w:r>
          </w:p>
        </w:tc>
        <w:tc>
          <w:tcPr>
            <w:tcW w:w="110" w:type="dxa"/>
            <w:tcBorders/>
            <w:shd w:fill="CCEE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pPr>
            <w:r>
              <w:rPr/>
              <w:t>Increases due to billings or cash received in advance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6,750</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2,642</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Revenue recognized from beginning balance of contract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(9,889</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(2,560</w:t>
            </w:r>
          </w:p>
        </w:tc>
        <w:tc>
          <w:tcPr>
            <w:tcW w:w="110" w:type="dxa"/>
            <w:tcBorders/>
            <w:shd w:fill="CCEEFF" w:val="clear"/>
            <w:vAlign w:val="center"/>
          </w:tcPr>
          <w:p>
            <w:pPr>
              <w:pStyle w:val="TableContents"/>
              <w:bidi w:val="0"/>
              <w:spacing w:before="0" w:after="283"/>
              <w:jc w:val="left"/>
              <w:rPr/>
            </w:pPr>
            <w:r>
              <w:rPr/>
              <w:t>)</w:t>
            </w:r>
          </w:p>
        </w:tc>
      </w:tr>
      <w:tr>
        <w:trPr/>
        <w:tc>
          <w:tcPr>
            <w:tcW w:w="6530" w:type="dxa"/>
            <w:tcBorders/>
            <w:shd w:fill="FFFFFF" w:val="clear"/>
            <w:vAlign w:val="center"/>
          </w:tcPr>
          <w:p>
            <w:pPr>
              <w:pStyle w:val="TableContents"/>
              <w:bidi w:val="0"/>
              <w:spacing w:before="0" w:after="283"/>
              <w:jc w:val="left"/>
              <w:rPr/>
            </w:pPr>
            <w:r>
              <w:rPr/>
              <w:t>Increase due to contract liabilities assumed in a business combination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13,348</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7,361</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Contract liabilities, end of period</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21,130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10,921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revenue recognized from the beginning balance of contract liabilities was recognized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set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5030"/>
        <w:gridCol w:w="60"/>
        <w:gridCol w:w="140"/>
        <w:gridCol w:w="680"/>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b/>
              </w:rPr>
            </w:pPr>
            <w:r>
              <w:rPr>
                <w:b/>
              </w:rPr>
              <w:t>Financial 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b/>
              </w:rPr>
            </w:pPr>
            <w:r>
              <w:rPr>
                <w:b/>
              </w:rPr>
              <w:t>Financial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19,604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12,615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37,930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3,246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14,756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1,488</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535</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Working capital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2,475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Deferred Sunder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10,840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Deferred Ambia Consideration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118,774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132,089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5030"/>
        <w:gridCol w:w="60"/>
        <w:gridCol w:w="133"/>
        <w:gridCol w:w="516"/>
        <w:gridCol w:w="60"/>
        <w:gridCol w:w="60"/>
        <w:gridCol w:w="210"/>
        <w:gridCol w:w="439"/>
        <w:gridCol w:w="60"/>
        <w:gridCol w:w="60"/>
        <w:gridCol w:w="125"/>
        <w:gridCol w:w="695"/>
        <w:gridCol w:w="60"/>
        <w:gridCol w:w="60"/>
        <w:gridCol w:w="125"/>
        <w:gridCol w:w="695"/>
        <w:gridCol w:w="75"/>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Assets</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Forward purchase agreement liabilities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 Agreement with related party</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 placement warrants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102,561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and “November 2025 Note”) all of which are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r>
        <w:trPr/>
        <w:tc>
          <w:tcPr>
            <w:tcW w:w="203" w:type="dxa"/>
            <w:tcBorders/>
            <w:vAlign w:val="center"/>
          </w:tcPr>
          <w:p>
            <w:pPr>
              <w:pStyle w:val="TableContents"/>
              <w:bidi w:val="0"/>
              <w:spacing w:before="0" w:after="283"/>
              <w:jc w:val="both"/>
              <w:rPr/>
            </w:pPr>
            <w:r>
              <w:rPr/>
              <w:t> </w:t>
            </w:r>
          </w:p>
        </w:tc>
        <w:tc>
          <w:tcPr>
            <w:tcW w:w="10002" w:type="dxa"/>
            <w:tcBorders/>
            <w:vAlign w:val="center"/>
          </w:tcPr>
          <w:p>
            <w:pPr>
              <w:pStyle w:val="TableContents"/>
              <w:bidi w:val="0"/>
              <w:spacing w:before="0" w:after="283"/>
              <w:jc w:val="both"/>
              <w:rPr/>
            </w:pPr>
            <w:r>
              <w:rPr/>
              <w:t> </w:t>
            </w:r>
          </w:p>
        </w:tc>
      </w:tr>
      <w:tr>
        <w:trPr/>
        <w:tc>
          <w:tcPr>
            <w:tcW w:w="20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$1.3 million due to related parties as of and December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fiscal years ended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8"/>
        <w:gridCol w:w="60"/>
        <w:gridCol w:w="178"/>
        <w:gridCol w:w="963"/>
        <w:gridCol w:w="95"/>
        <w:gridCol w:w="60"/>
        <w:gridCol w:w="277"/>
        <w:gridCol w:w="1108"/>
        <w:gridCol w:w="60"/>
        <w:gridCol w:w="60"/>
        <w:gridCol w:w="346"/>
        <w:gridCol w:w="941"/>
        <w:gridCol w:w="60"/>
        <w:gridCol w:w="60"/>
        <w:gridCol w:w="198"/>
        <w:gridCol w:w="793"/>
        <w:gridCol w:w="60"/>
        <w:gridCol w:w="60"/>
        <w:gridCol w:w="281"/>
        <w:gridCol w:w="1366"/>
        <w:gridCol w:w="60"/>
        <w:gridCol w:w="60"/>
        <w:gridCol w:w="140"/>
        <w:gridCol w:w="800"/>
        <w:gridCol w:w="81"/>
      </w:tblGrid>
      <w:tr>
        <w:trPr/>
        <w:tc>
          <w:tcPr>
            <w:tcW w:w="20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81" w:type="dxa"/>
            <w:tcBorders/>
            <w:vAlign w:val="center"/>
          </w:tcPr>
          <w:p>
            <w:pPr>
              <w:pStyle w:val="TableContents"/>
              <w:bidi w:val="0"/>
              <w:spacing w:before="0" w:after="283"/>
              <w:jc w:val="left"/>
              <w:rPr/>
            </w:pPr>
            <w:r>
              <w:rPr/>
              <w:t> </w:t>
            </w:r>
          </w:p>
        </w:tc>
      </w:tr>
      <w:tr>
        <w:trPr/>
        <w:tc>
          <w:tcPr>
            <w:tcW w:w="20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 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Forward Purchase 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SAFE 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 Ambia Consideration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1" w:type="dxa"/>
            <w:tcBorders/>
            <w:vAlign w:val="center"/>
          </w:tcPr>
          <w:p>
            <w:pPr>
              <w:pStyle w:val="TableContents"/>
              <w:bidi w:val="0"/>
              <w:spacing w:before="0" w:after="283"/>
              <w:ind w:left="0" w:right="0" w:hanging="180"/>
              <w:jc w:val="left"/>
              <w:rPr/>
            </w:pPr>
            <w:r>
              <w:rPr/>
              <w:t> </w:t>
            </w:r>
          </w:p>
        </w:tc>
      </w:tr>
      <w:tr>
        <w:trPr/>
        <w:tc>
          <w:tcPr>
            <w:tcW w:w="2038" w:type="dxa"/>
            <w:tcBorders/>
            <w:shd w:fill="CCEEFF" w:val="clear"/>
            <w:vAlign w:val="center"/>
          </w:tcPr>
          <w:p>
            <w:pPr>
              <w:pStyle w:val="TableContents"/>
              <w:bidi w:val="0"/>
              <w:spacing w:before="0" w:after="283"/>
              <w:jc w:val="left"/>
              <w:rPr/>
            </w:pPr>
            <w:r>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97,122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3,494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101,699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038"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20,808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16,879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37,687</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038"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(10,931</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038" w:type="dxa"/>
            <w:tcBorders/>
            <w:shd w:fill="FFFFFF" w:val="clear"/>
            <w:vAlign w:val="center"/>
          </w:tcPr>
          <w:p>
            <w:pPr>
              <w:pStyle w:val="TableContents"/>
              <w:bidi w:val="0"/>
              <w:spacing w:before="0" w:after="283"/>
              <w:jc w:val="left"/>
              <w:rPr/>
            </w:pPr>
            <w:r>
              <w:rPr/>
              <w:t>Net (gain)/loss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(11,490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FFFFFF" w:val="clear"/>
            <w:tcMar>
              <w:bottom w:w="28" w:type="dxa"/>
            </w:tcMar>
            <w:vAlign w:val="center"/>
          </w:tcPr>
          <w:p>
            <w:pPr>
              <w:pStyle w:val="TableContents"/>
              <w:bidi w:val="0"/>
              <w:spacing w:before="0" w:after="283"/>
              <w:jc w:val="right"/>
              <w:rPr/>
            </w:pPr>
            <w:r>
              <w:rPr/>
              <w:t>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FFFFFF" w:val="clear"/>
            <w:tcMar>
              <w:bottom w:w="28" w:type="dxa"/>
            </w:tcMar>
            <w:vAlign w:val="center"/>
          </w:tcPr>
          <w:p>
            <w:pPr>
              <w:pStyle w:val="TableContents"/>
              <w:bidi w:val="0"/>
              <w:spacing w:before="0" w:after="283"/>
              <w:jc w:val="right"/>
              <w:rPr/>
            </w:pPr>
            <w:r>
              <w:rPr/>
              <w:t>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single" w:sz="12" w:space="0" w:color="000000"/>
            </w:tcBorders>
            <w:shd w:fill="FFFFFF" w:val="clear"/>
            <w:tcMar>
              <w:bottom w:w="28" w:type="dxa"/>
            </w:tcM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(9,681</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038" w:type="dxa"/>
            <w:tcBorders/>
            <w:shd w:fill="CCEEFF" w:val="clear"/>
            <w:vAlign w:val="center"/>
          </w:tcPr>
          <w:p>
            <w:pPr>
              <w:pStyle w:val="TableContents"/>
              <w:bidi w:val="0"/>
              <w:spacing w:before="0" w:after="283"/>
              <w:jc w:val="left"/>
              <w:rPr/>
            </w:pPr>
            <w:r>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shd w:fill="CCEEFF" w:val="clear"/>
            <w:tcMar>
              <w:bottom w:w="28" w:type="dxa"/>
            </w:tcMar>
            <w:vAlign w:val="center"/>
          </w:tcPr>
          <w:p>
            <w:pPr>
              <w:pStyle w:val="TableContents"/>
              <w:bidi w:val="0"/>
              <w:spacing w:before="0" w:after="283"/>
              <w:jc w:val="right"/>
              <w:rPr/>
            </w:pPr>
            <w:r>
              <w:rPr/>
              <w:t>95,509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double" w:sz="10" w:space="0" w:color="000000"/>
            </w:tcBorders>
            <w:shd w:fill="CCEEFF" w:val="clear"/>
            <w:tcMar>
              <w:bottom w:w="28" w:type="dxa"/>
            </w:tcMar>
            <w:vAlign w:val="center"/>
          </w:tcPr>
          <w:p>
            <w:pPr>
              <w:pStyle w:val="TableContents"/>
              <w:bidi w:val="0"/>
              <w:spacing w:before="0" w:after="283"/>
              <w:jc w:val="right"/>
              <w:rPr/>
            </w:pPr>
            <w:r>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shd w:fill="CCEEFF" w:val="clear"/>
            <w:tcMar>
              <w:bottom w:w="28" w:type="dxa"/>
            </w:tcMar>
            <w:vAlign w:val="center"/>
          </w:tcPr>
          <w:p>
            <w:pPr>
              <w:pStyle w:val="TableContents"/>
              <w:bidi w:val="0"/>
              <w:spacing w:before="0" w:after="283"/>
              <w:jc w:val="right"/>
              <w:rPr/>
            </w:pPr>
            <w:r>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3" w:type="dxa"/>
            <w:tcBorders>
              <w:bottom w:val="double" w:sz="10" w:space="0" w:color="000000"/>
            </w:tcBorders>
            <w:shd w:fill="CCEEFF" w:val="clear"/>
            <w:tcMar>
              <w:bottom w:w="28" w:type="dxa"/>
            </w:tcMar>
            <w:vAlign w:val="center"/>
          </w:tcPr>
          <w:p>
            <w:pPr>
              <w:pStyle w:val="TableContents"/>
              <w:bidi w:val="0"/>
              <w:spacing w:before="0" w:after="283"/>
              <w:jc w:val="right"/>
              <w:rPr/>
            </w:pPr>
            <w:r>
              <w:rPr/>
              <w:t>1,886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6" w:type="dxa"/>
            <w:tcBorders>
              <w:bottom w:val="double" w:sz="10" w:space="0" w:color="000000"/>
            </w:tcBorders>
            <w:shd w:fill="CCEEFF" w:val="clear"/>
            <w:tcMar>
              <w:bottom w:w="28" w:type="dxa"/>
            </w:tcMar>
            <w:vAlign w:val="center"/>
          </w:tcPr>
          <w:p>
            <w:pPr>
              <w:pStyle w:val="TableContents"/>
              <w:bidi w:val="0"/>
              <w:spacing w:before="0" w:after="283"/>
              <w:jc w:val="right"/>
              <w:rPr/>
            </w:pPr>
            <w:r>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118,774</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2"/>
        <w:gridCol w:w="60"/>
        <w:gridCol w:w="180"/>
        <w:gridCol w:w="1008"/>
        <w:gridCol w:w="80"/>
        <w:gridCol w:w="60"/>
        <w:gridCol w:w="316"/>
        <w:gridCol w:w="1228"/>
        <w:gridCol w:w="80"/>
        <w:gridCol w:w="60"/>
        <w:gridCol w:w="223"/>
        <w:gridCol w:w="974"/>
        <w:gridCol w:w="80"/>
        <w:gridCol w:w="60"/>
        <w:gridCol w:w="186"/>
        <w:gridCol w:w="883"/>
        <w:gridCol w:w="80"/>
        <w:gridCol w:w="60"/>
        <w:gridCol w:w="125"/>
        <w:gridCol w:w="695"/>
        <w:gridCol w:w="85"/>
      </w:tblGrid>
      <w:tr>
        <w:trPr/>
        <w:tc>
          <w:tcPr>
            <w:tcW w:w="368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378"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 December 29, 2024</w:t>
            </w:r>
          </w:p>
        </w:tc>
        <w:tc>
          <w:tcPr>
            <w:tcW w:w="85" w:type="dxa"/>
            <w:tcBorders/>
            <w:vAlign w:val="center"/>
          </w:tcPr>
          <w:p>
            <w:pPr>
              <w:pStyle w:val="TableContents"/>
              <w:bidi w:val="0"/>
              <w:spacing w:before="0" w:after="283"/>
              <w:ind w:left="0" w:right="0" w:hanging="180"/>
              <w:jc w:val="left"/>
              <w:rPr/>
            </w:pPr>
            <w:r>
              <w:rPr/>
              <w:t> </w:t>
            </w:r>
          </w:p>
        </w:tc>
      </w:tr>
      <w:tr>
        <w:trPr/>
        <w:tc>
          <w:tcPr>
            <w:tcW w:w="36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Derivative liabilities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Forward Purchase Agreements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SAFE Agreements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 liabilities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85" w:type="dxa"/>
            <w:tcBorders/>
            <w:vAlign w:val="center"/>
          </w:tcPr>
          <w:p>
            <w:pPr>
              <w:pStyle w:val="TableContents"/>
              <w:bidi w:val="0"/>
              <w:spacing w:before="0" w:after="283"/>
              <w:ind w:left="0" w:right="0" w:hanging="180"/>
              <w:jc w:val="center"/>
              <w:rPr/>
            </w:pPr>
            <w:r>
              <w:rPr/>
              <w:t> </w:t>
            </w:r>
          </w:p>
        </w:tc>
      </w:tr>
      <w:tr>
        <w:trPr/>
        <w:tc>
          <w:tcPr>
            <w:tcW w:w="3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14,791</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3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131,108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137,108</w:t>
            </w:r>
          </w:p>
        </w:tc>
        <w:tc>
          <w:tcPr>
            <w:tcW w:w="85" w:type="dxa"/>
            <w:tcBorders/>
            <w:vAlign w:val="center"/>
          </w:tcPr>
          <w:p>
            <w:pPr>
              <w:pStyle w:val="TableContents"/>
              <w:bidi w:val="0"/>
              <w:spacing w:before="0" w:after="283"/>
              <w:ind w:left="0" w:right="0" w:hanging="180"/>
              <w:jc w:val="left"/>
              <w:rPr/>
            </w:pPr>
            <w:r>
              <w:rPr/>
              <w:t> </w:t>
            </w:r>
          </w:p>
        </w:tc>
      </w:tr>
      <w:tr>
        <w:trPr/>
        <w:tc>
          <w:tcPr>
            <w:tcW w:w="3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(13,556</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(gain)/loss recognized within Other non-operating income, net in the consolidated statement of operations</w:t>
            </w:r>
          </w:p>
        </w:tc>
        <w:tc>
          <w:tcPr>
            <w:tcW w:w="60" w:type="dxa"/>
            <w:tcBorders/>
            <w:vAlign w:val="center"/>
          </w:tcPr>
          <w:p>
            <w:pPr>
              <w:pStyle w:val="TableContents"/>
              <w:bidi w:val="0"/>
              <w:spacing w:before="0" w:after="283"/>
              <w:jc w:val="left"/>
              <w:rPr/>
            </w:pPr>
            <w:r>
              <w:rPr/>
              <w:t> </w:t>
            </w:r>
          </w:p>
        </w:tc>
        <w:tc>
          <w:tcPr>
            <w:tcW w:w="1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3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(36,644</w:t>
            </w:r>
          </w:p>
        </w:tc>
        <w:tc>
          <w:tcPr>
            <w:tcW w:w="8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8"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issuance, changes in the fair value of derivative liabilities, FPAs, SAFEs and liability classified warrants, are recorded within Other non-operating income, net on the Company’s consolidated statements of operations and comprehensive loss. Refer to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Derivative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in the years ended December 28, 2025 and December 29, 2024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8"/>
        <w:gridCol w:w="60"/>
        <w:gridCol w:w="205"/>
        <w:gridCol w:w="977"/>
        <w:gridCol w:w="236"/>
        <w:gridCol w:w="76"/>
        <w:gridCol w:w="196"/>
        <w:gridCol w:w="932"/>
        <w:gridCol w:w="236"/>
        <w:gridCol w:w="76"/>
        <w:gridCol w:w="273"/>
        <w:gridCol w:w="1274"/>
        <w:gridCol w:w="185"/>
        <w:gridCol w:w="60"/>
        <w:gridCol w:w="311"/>
        <w:gridCol w:w="1305"/>
        <w:gridCol w:w="333"/>
        <w:gridCol w:w="107"/>
        <w:gridCol w:w="311"/>
        <w:gridCol w:w="1305"/>
        <w:gridCol w:w="209"/>
      </w:tblGrid>
      <w:tr>
        <w:trPr/>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1"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Senior Unsecured Convertible Notes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Senior Unsecured Convertible Notes</w:t>
            </w:r>
          </w:p>
        </w:tc>
        <w:tc>
          <w:tcPr>
            <w:tcW w:w="209" w:type="dxa"/>
            <w:tcBorders/>
            <w:vAlign w:val="center"/>
          </w:tcPr>
          <w:p>
            <w:pPr>
              <w:pStyle w:val="TableContents"/>
              <w:bidi w:val="0"/>
              <w:spacing w:before="0" w:after="283"/>
              <w:jc w:val="left"/>
              <w:rPr/>
            </w:pPr>
            <w:r>
              <w:rPr/>
              <w:t> </w:t>
            </w:r>
          </w:p>
        </w:tc>
      </w:tr>
      <w:tr>
        <w:trPr/>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23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2025 Note</w:t>
            </w:r>
          </w:p>
        </w:tc>
        <w:tc>
          <w:tcPr>
            <w:tcW w:w="23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4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November 2025 Note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33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2025 Notes</w:t>
            </w:r>
          </w:p>
        </w:tc>
        <w:tc>
          <w:tcPr>
            <w:tcW w:w="209" w:type="dxa"/>
            <w:tcBorders/>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558.66</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33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09" w:type="dxa"/>
            <w:tcBorders/>
            <w:shd w:fill="FFFFFF" w:val="clear"/>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23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23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33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09" w:type="dxa"/>
            <w:tcBorders/>
            <w:shd w:fill="CCEEFF" w:val="clear"/>
            <w:vAlign w:val="center"/>
          </w:tcPr>
          <w:p>
            <w:pPr>
              <w:pStyle w:val="TableContents"/>
              <w:bidi w:val="0"/>
              <w:spacing w:before="0" w:after="283"/>
              <w:jc w:val="left"/>
              <w:rPr/>
            </w:pPr>
            <w:r>
              <w:rPr/>
              <w:t> </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33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09" w:type="dxa"/>
            <w:tcBorders/>
            <w:shd w:fill="FFFFFF" w:val="clear"/>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w:t>
            </w:r>
          </w:p>
        </w:tc>
        <w:tc>
          <w:tcPr>
            <w:tcW w:w="2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w:t>
            </w:r>
          </w:p>
        </w:tc>
        <w:tc>
          <w:tcPr>
            <w:tcW w:w="2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2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29, 2024 were as follows:</w:t>
      </w:r>
    </w:p>
    <w:p>
      <w:pPr>
        <w:pStyle w:val="TextBody"/>
        <w:bidi w:val="0"/>
        <w:spacing w:before="0" w:after="0"/>
        <w:ind w:left="0" w:right="0" w:hanging="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760"/>
        <w:gridCol w:w="60"/>
        <w:gridCol w:w="238"/>
        <w:gridCol w:w="1131"/>
        <w:gridCol w:w="338"/>
        <w:gridCol w:w="109"/>
        <w:gridCol w:w="330"/>
        <w:gridCol w:w="1564"/>
        <w:gridCol w:w="200"/>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Senior Unsecured Convertible Notes</w:t>
            </w:r>
          </w:p>
        </w:tc>
        <w:tc>
          <w:tcPr>
            <w:tcW w:w="2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Notes</w:t>
            </w:r>
          </w:p>
        </w:tc>
        <w:tc>
          <w:tcPr>
            <w:tcW w:w="33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Notes</w:t>
            </w:r>
          </w:p>
        </w:tc>
        <w:tc>
          <w:tcPr>
            <w:tcW w:w="2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33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200"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3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0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3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0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3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0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w:t>
            </w:r>
          </w:p>
        </w:tc>
        <w:tc>
          <w:tcPr>
            <w:tcW w:w="3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373" w:type="dxa"/>
        <w:jc w:val="left"/>
        <w:tblInd w:w="0" w:type="dxa"/>
        <w:tblLayout w:type="fixed"/>
        <w:tblCellMar>
          <w:top w:w="0" w:type="dxa"/>
          <w:left w:w="0" w:type="dxa"/>
          <w:bottom w:w="0" w:type="dxa"/>
          <w:right w:w="0" w:type="dxa"/>
        </w:tblCellMar>
      </w:tblPr>
      <w:tblGrid>
        <w:gridCol w:w="1520"/>
        <w:gridCol w:w="60"/>
        <w:gridCol w:w="259"/>
        <w:gridCol w:w="915"/>
        <w:gridCol w:w="185"/>
        <w:gridCol w:w="60"/>
        <w:gridCol w:w="240"/>
        <w:gridCol w:w="934"/>
        <w:gridCol w:w="20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VWAP stock price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20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Simulation period</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0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December 28, 2025 and December 29, 2024.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4898" w:type="dxa"/>
        <w:jc w:val="left"/>
        <w:tblInd w:w="0" w:type="dxa"/>
        <w:tblLayout w:type="fixed"/>
        <w:tblCellMar>
          <w:top w:w="0" w:type="dxa"/>
          <w:left w:w="0" w:type="dxa"/>
          <w:bottom w:w="0" w:type="dxa"/>
          <w:right w:w="0" w:type="dxa"/>
        </w:tblCellMar>
      </w:tblPr>
      <w:tblGrid>
        <w:gridCol w:w="2045"/>
        <w:gridCol w:w="60"/>
        <w:gridCol w:w="240"/>
        <w:gridCol w:w="934"/>
        <w:gridCol w:w="185"/>
        <w:gridCol w:w="60"/>
        <w:gridCol w:w="240"/>
        <w:gridCol w:w="934"/>
        <w:gridCol w:w="200"/>
      </w:tblGrid>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0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 years</w:t>
            </w:r>
          </w:p>
        </w:tc>
        <w:tc>
          <w:tcPr>
            <w:tcW w:w="20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0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20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December 28, 2025 and December 29, 2024.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December 28, 2025 and December 29, 2024.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liabilities not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 sets forth the Company’s financial liabilities that were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b/>
              </w:rPr>
            </w:pPr>
            <w:r>
              <w:rPr>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(5,832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22,141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33,165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(10,369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pPr>
            <w:r>
              <w:rPr/>
              <w:t>7,631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21,204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(16,201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29,772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54,369</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(3,557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5,641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2,360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(42,211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14,332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59,425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(6,404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2,346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8,880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65,293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(48,615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pPr>
            <w:r>
              <w:rPr/>
              <w:t>16,678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68,305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(18,646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24,227</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140,266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pPr>
            <w:r>
              <w:rPr/>
              <w:t>(88,528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pPr>
            <w:r>
              <w:rPr/>
              <w:t>51,738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pPr>
            <w:r>
              <w:rPr/>
              <w:t>154,902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963" w:type="dxa"/>
        <w:jc w:val="left"/>
        <w:tblInd w:w="0" w:type="dxa"/>
        <w:tblLayout w:type="fixed"/>
        <w:tblCellMar>
          <w:top w:w="0" w:type="dxa"/>
          <w:left w:w="0" w:type="dxa"/>
          <w:bottom w:w="0" w:type="dxa"/>
          <w:right w:w="0" w:type="dxa"/>
        </w:tblCellMar>
      </w:tblPr>
      <w:tblGrid>
        <w:gridCol w:w="3545"/>
        <w:gridCol w:w="60"/>
        <w:gridCol w:w="140"/>
        <w:gridCol w:w="779"/>
        <w:gridCol w:w="60"/>
        <w:gridCol w:w="60"/>
        <w:gridCol w:w="182"/>
        <w:gridCol w:w="948"/>
        <w:gridCol w:w="80"/>
        <w:gridCol w:w="60"/>
        <w:gridCol w:w="166"/>
        <w:gridCol w:w="784"/>
        <w:gridCol w:w="60"/>
        <w:gridCol w:w="60"/>
        <w:gridCol w:w="137"/>
        <w:gridCol w:w="767"/>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Unamortized</w:t>
              <w:br/>
              <w:t>debt</w:t>
              <w:br/>
              <w:t>discount</w:t>
              <w:br/>
              <w:t>and debt</w:t>
              <w:br/>
              <w:t>issuance</w:t>
              <w:br/>
              <w:t>costs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12.0% senior unsecured convertible notes</w:t>
            </w:r>
          </w:p>
        </w:tc>
        <w:tc>
          <w:tcPr>
            <w:tcW w:w="6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21,390</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33,323</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54,713</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77,245</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8,583</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85,828</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$10.8 million and $13.6 million as of December 28, 2025 and December 29, 2024,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354" w:type="dxa"/>
        <w:jc w:val="left"/>
        <w:tblInd w:w="0" w:type="dxa"/>
        <w:tblLayout w:type="fixed"/>
        <w:tblCellMar>
          <w:top w:w="0" w:type="dxa"/>
          <w:left w:w="0" w:type="dxa"/>
          <w:bottom w:w="0" w:type="dxa"/>
          <w:right w:w="0" w:type="dxa"/>
        </w:tblCellMar>
      </w:tblPr>
      <w:tblGrid>
        <w:gridCol w:w="5270"/>
        <w:gridCol w:w="60"/>
        <w:gridCol w:w="241"/>
        <w:gridCol w:w="1173"/>
        <w:gridCol w:w="60"/>
        <w:gridCol w:w="60"/>
        <w:gridCol w:w="283"/>
        <w:gridCol w:w="1132"/>
        <w:gridCol w:w="7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xml:space="preserve">Costs to obtain contracts and costs to fulfill contracts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3,759</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9,552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4,447</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16,913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8,206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osition w:val="8"/>
                <w:sz w:val="19"/>
              </w:rPr>
            </w:pPr>
            <w:r>
              <w:rPr>
                <w:position w:val="8"/>
                <w:sz w:val="19"/>
              </w:rPr>
              <w:t>(1)</w:t>
            </w:r>
          </w:p>
        </w:tc>
        <w:tc>
          <w:tcPr>
            <w:tcW w:w="9973" w:type="dxa"/>
            <w:tcBorders/>
            <w:vAlign w:val="center"/>
          </w:tcPr>
          <w:p>
            <w:pPr>
              <w:pStyle w:val="TableContents"/>
              <w:bidi w:val="0"/>
              <w:spacing w:before="0" w:after="283"/>
              <w:jc w:val="both"/>
              <w:rPr/>
            </w:pPr>
            <w:r>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4025"/>
        <w:gridCol w:w="60"/>
        <w:gridCol w:w="218"/>
        <w:gridCol w:w="956"/>
        <w:gridCol w:w="80"/>
        <w:gridCol w:w="60"/>
        <w:gridCol w:w="240"/>
        <w:gridCol w:w="934"/>
        <w:gridCol w:w="95"/>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5,174</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6,409</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 net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totaled $3.0 million and $2.0 million for the fiscal years ended December 28, 2025 and December 29, 2024, respectively. Finance leases are included within vehicles and account for $1.7 million and $3.9 million of the total balance as of the fiscal years ended December 28, 2025, and December 29, 2024, respectively.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29, 2024, the Company capitalized $1.2 million, of internal-use software development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sz w:val="20"/>
          <w:bdr w:val="single" w:sz="12" w:space="1" w:color="000000"/>
        </w:rPr>
      </w:pPr>
      <w:r>
        <w:rPr>
          <w:sz w:val="20"/>
          <w:bdr w:val="single" w:sz="12" w:space="1" w:color="000000"/>
        </w:rPr>
        <w:t>F-82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total of $3.8 million on impairment and loss on disposal of property and equipment for the fiscal year ended December 29, 2024 consisting primarily of $3.4 million relating to its proprietary HelioTrackTM software system. The Company impaired the value of its HelioTrackTM software as this software has no future use following the completion of the migration to software acquired in the SunPower Acquisition.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88" w:type="dxa"/>
        <w:jc w:val="left"/>
        <w:tblInd w:w="0" w:type="dxa"/>
        <w:tblLayout w:type="fixed"/>
        <w:tblCellMar>
          <w:top w:w="0" w:type="dxa"/>
          <w:left w:w="0" w:type="dxa"/>
          <w:bottom w:w="0" w:type="dxa"/>
          <w:right w:w="0" w:type="dxa"/>
        </w:tblCellMar>
      </w:tblPr>
      <w:tblGrid>
        <w:gridCol w:w="4805"/>
        <w:gridCol w:w="60"/>
        <w:gridCol w:w="241"/>
        <w:gridCol w:w="1173"/>
        <w:gridCol w:w="60"/>
        <w:gridCol w:w="60"/>
        <w:gridCol w:w="241"/>
        <w:gridCol w:w="1173"/>
        <w:gridCol w:w="7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6,619</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8,028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legal settlements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7,700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rebates and credits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7,641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financing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4,674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Investor financing deposit with related party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4,523</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19,194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16,896</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56,977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56,081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received a deposit of $2.0 million from the Rodgers Massey Revocable Living Trust (“Rodgers Revocable Trust”), a related party, in fiscal 2025. In January 2026, these proceeds along with an additional $1.3 million received in January 2026 was converted to a 12.0% convertible promissory note. </w:t>
            </w:r>
            <w:r>
              <w:rPr>
                <w:rFonts w:ascii="Times New Roman;Times;Serif" w:hAnsi="Times New Roman;Times;Serif"/>
                <w:b/>
                <w:sz w:val="20"/>
              </w:rPr>
              <w:t xml:space="preserve">Refer to Note 20 – Subsequent Events – </w:t>
            </w:r>
            <w:r>
              <w:rPr>
                <w:rFonts w:ascii="Times New Roman;Times;Serif" w:hAnsi="Times New Roman;Times;Serif"/>
                <w:b/>
                <w:i/>
                <w:sz w:val="20"/>
              </w:rPr>
              <w:t>12.0% Convertible Promissory Not</w:t>
            </w:r>
            <w:r>
              <w:rPr>
                <w:rFonts w:ascii="Times New Roman;Times;Serif" w:hAnsi="Times New Roman;Times;Serif"/>
                <w:b/>
                <w:sz w:val="20"/>
              </w:rPr>
              <w:t>e</w:t>
            </w:r>
            <w:r>
              <w:rPr>
                <w:rFonts w:ascii="Times New Roman;Times;Serif" w:hAnsi="Times New Roman;Times;Serif"/>
                <w:sz w:val="20"/>
              </w:rPr>
              <w:t xml:space="preserve"> for further details.</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$2.6 million and $2.5 million as of December 28, 2025 and December 29, 2024, respectively.</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individual items exceed 5% of total current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Intangible Assets, Net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completed the acquisition of the SunPower Businesses. As of December 29, 2024, the Company had assigned provisional goodwill of $18.3 million to the Residential Solar Installation reportable segment and $0.2 million to the New Homes Businesses reportable segment. Upon finalization of the fair values in fiscal 2025 related to the SunPower Businesses, the Company concluded that the purchase price did not include any excess purchase price over the fair value of net assets acquired related to the SunPower Businesses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the Company completed the acquisition of Sunder and assigned provisional goodwill of $31.8 million from this acquisition to the Dealer reportable segment. On November 21, 2025, the Company completed the acquisition of Ambia and assigned provisional goodwill of $30.8 million from this acquisition to the Residential Solar Installation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and for the fiscal years ended December 28, 2025 and December 29, 2024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6"/>
        <w:gridCol w:w="60"/>
        <w:gridCol w:w="431"/>
        <w:gridCol w:w="2338"/>
        <w:gridCol w:w="95"/>
        <w:gridCol w:w="60"/>
        <w:gridCol w:w="278"/>
        <w:gridCol w:w="904"/>
        <w:gridCol w:w="95"/>
        <w:gridCol w:w="60"/>
        <w:gridCol w:w="140"/>
        <w:gridCol w:w="680"/>
        <w:gridCol w:w="60"/>
        <w:gridCol w:w="60"/>
        <w:gridCol w:w="140"/>
        <w:gridCol w:w="755"/>
        <w:gridCol w:w="113"/>
      </w:tblGrid>
      <w:tr>
        <w:trPr/>
        <w:tc>
          <w:tcPr>
            <w:tcW w:w="39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 Solar Installation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23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Goodwill acquired in business combinations</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18,276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18,476</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Impairment losses</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Balance as of December 29, 2024</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18,276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18,476</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18,276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18,476</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(18,276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(18,476</w:t>
            </w:r>
          </w:p>
        </w:tc>
        <w:tc>
          <w:tcPr>
            <w:tcW w:w="113" w:type="dxa"/>
            <w:tcBorders/>
            <w:shd w:fill="FFFFFF" w:val="clear"/>
            <w:vAlign w:val="center"/>
          </w:tcPr>
          <w:p>
            <w:pPr>
              <w:pStyle w:val="TableContents"/>
              <w:bidi w:val="0"/>
              <w:spacing w:before="0" w:after="283"/>
              <w:jc w:val="left"/>
              <w:rPr/>
            </w:pPr>
            <w:r>
              <w:rPr/>
              <w:t>)</w:t>
            </w:r>
          </w:p>
        </w:tc>
      </w:tr>
      <w:tr>
        <w:trPr/>
        <w:tc>
          <w:tcPr>
            <w:tcW w:w="3936" w:type="dxa"/>
            <w:tcBorders/>
            <w:shd w:fill="CCEEFF" w:val="clear"/>
            <w:vAlign w:val="center"/>
          </w:tcPr>
          <w:p>
            <w:pPr>
              <w:pStyle w:val="TableContents"/>
              <w:bidi w:val="0"/>
              <w:spacing w:before="0" w:after="283"/>
              <w:jc w:val="left"/>
              <w:rPr/>
            </w:pPr>
            <w:r>
              <w:rPr/>
              <w:t>Goodwill acquired in business combinations</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30,808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62,630</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Impairment losses</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30,808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62,630</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Accumulated impairment losses</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4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338" w:type="dxa"/>
            <w:tcBorders>
              <w:bottom w:val="double" w:sz="10" w:space="0" w:color="000000"/>
            </w:tcBorders>
            <w:shd w:fill="FFFFFF" w:val="clear"/>
            <w:tcMar>
              <w:bottom w:w="28" w:type="dxa"/>
            </w:tcMar>
            <w:vAlign w:val="center"/>
          </w:tcPr>
          <w:p>
            <w:pPr>
              <w:pStyle w:val="TableContents"/>
              <w:bidi w:val="0"/>
              <w:spacing w:before="0" w:after="283"/>
              <w:jc w:val="right"/>
              <w:rPr/>
            </w:pPr>
            <w:r>
              <w:rPr/>
              <w:t>30,808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31,822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62,630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December 29, 2024, the Company recognized a measurement period adjustment attributable to the net assets of the SunPower Businesses acquired resulting in a measurement period adjustment that eliminated the goodwill provisionally recorded in fiscal 2024. The acquisitions of Sunder and Ambia account for the balance in goodwill as of December 28, 2025 as described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qualitative assessment of goodwill and determined that at the acquisition date and the date at which the Company performed an impairment analysis, there were no relevant events or circumstances that would result in the fair value of a reportable unit being less than its carrying amount.</w:t>
      </w:r>
    </w:p>
    <w:p>
      <w:pPr>
        <w:pStyle w:val="TextBody"/>
        <w:bidi w:val="0"/>
        <w:spacing w:before="0" w:after="0"/>
        <w:ind w:left="0" w:right="0" w:hanging="0"/>
        <w:jc w:val="center"/>
        <w:rPr>
          <w:sz w:val="20"/>
          <w:bdr w:val="single" w:sz="12" w:space="1" w:color="000000"/>
        </w:rPr>
      </w:pPr>
      <w:r>
        <w:rPr>
          <w:sz w:val="20"/>
          <w:bdr w:val="single" w:sz="12" w:space="1" w:color="000000"/>
        </w:rPr>
        <w:t>F-83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b/>
              </w:rPr>
            </w:pPr>
            <w:r>
              <w:rPr>
                <w:b/>
              </w:rPr>
              <w:t>As of December 28, 2025</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b/>
              </w:rPr>
            </w:pPr>
            <w:r>
              <w:rPr>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pPr>
            <w:r>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750" w:type="dxa"/>
            <w:tcBorders/>
            <w:shd w:fill="CCEEFF" w:val="clear"/>
            <w:tcMar>
              <w:bottom w:w="0" w:type="dxa"/>
            </w:tcMar>
            <w:vAlign w:val="center"/>
          </w:tcPr>
          <w:p>
            <w:pPr>
              <w:pStyle w:val="TableContents"/>
              <w:bidi w:val="0"/>
              <w:spacing w:before="0" w:after="283"/>
              <w:jc w:val="right"/>
              <w:rPr/>
            </w:pPr>
            <w:r>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(3,198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812" w:type="dxa"/>
            <w:tcBorders/>
            <w:shd w:fill="CCEEFF" w:val="clear"/>
            <w:tcMar>
              <w:bottom w:w="0" w:type="dxa"/>
            </w:tcMar>
            <w:vAlign w:val="center"/>
          </w:tcPr>
          <w:p>
            <w:pPr>
              <w:pStyle w:val="TableContents"/>
              <w:bidi w:val="0"/>
              <w:spacing w:before="0" w:after="283"/>
              <w:jc w:val="right"/>
              <w:rPr/>
            </w:pPr>
            <w:r>
              <w:rPr/>
              <w:t>30,802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pPr>
            <w:r>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pPr>
            <w:r>
              <w:rPr/>
              <w:t>18,394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(1,707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16,687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pPr>
            <w:r>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123" w:type="dxa"/>
            <w:tcBorders>
              <w:bottom w:val="single" w:sz="12" w:space="0" w:color="000000"/>
            </w:tcBorders>
            <w:shd w:fill="CCEEFF" w:val="clear"/>
            <w:vAlign w:val="center"/>
          </w:tcPr>
          <w:p>
            <w:pPr>
              <w:pStyle w:val="TableContents"/>
              <w:bidi w:val="0"/>
              <w:spacing w:before="0" w:after="283"/>
              <w:jc w:val="right"/>
              <w:rPr/>
            </w:pPr>
            <w:r>
              <w:rPr/>
              <w:t>(1,975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812" w:type="dxa"/>
            <w:tcBorders>
              <w:bottom w:val="single" w:sz="12" w:space="0" w:color="000000"/>
            </w:tcBorders>
            <w:shd w:fill="CCEEFF" w:val="clear"/>
            <w:vAlign w:val="center"/>
          </w:tcPr>
          <w:p>
            <w:pPr>
              <w:pStyle w:val="TableContents"/>
              <w:bidi w:val="0"/>
              <w:spacing w:before="0" w:after="283"/>
              <w:jc w:val="right"/>
              <w:rPr/>
            </w:pPr>
            <w:r>
              <w:rPr/>
              <w:t>3,325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FFFFFF" w:val="clear"/>
            <w:vAlign w:val="center"/>
          </w:tcPr>
          <w:p>
            <w:pPr>
              <w:pStyle w:val="TableContents"/>
              <w:bidi w:val="0"/>
              <w:spacing w:before="0" w:after="283"/>
              <w:jc w:val="left"/>
              <w:rPr/>
            </w:pPr>
            <w:r>
              <w:rPr/>
              <w:t>$</w:t>
            </w:r>
          </w:p>
        </w:tc>
        <w:tc>
          <w:tcPr>
            <w:tcW w:w="750" w:type="dxa"/>
            <w:tcBorders>
              <w:bottom w:val="double" w:sz="10" w:space="0" w:color="000000"/>
            </w:tcBorders>
            <w:shd w:fill="FFFFFF" w:val="clear"/>
            <w:vAlign w:val="center"/>
          </w:tcPr>
          <w:p>
            <w:pPr>
              <w:pStyle w:val="TableContents"/>
              <w:bidi w:val="0"/>
              <w:spacing w:before="0" w:after="283"/>
              <w:jc w:val="right"/>
              <w:rPr/>
            </w:pPr>
            <w:r>
              <w:rPr/>
              <w:t>57,694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FFFFFF" w:val="clear"/>
            <w:vAlign w:val="center"/>
          </w:tcPr>
          <w:p>
            <w:pPr>
              <w:pStyle w:val="TableContents"/>
              <w:bidi w:val="0"/>
              <w:spacing w:before="0" w:after="283"/>
              <w:jc w:val="left"/>
              <w:rPr/>
            </w:pPr>
            <w:r>
              <w:rPr/>
              <w:t>$</w:t>
            </w:r>
          </w:p>
        </w:tc>
        <w:tc>
          <w:tcPr>
            <w:tcW w:w="1123" w:type="dxa"/>
            <w:tcBorders>
              <w:bottom w:val="double" w:sz="10" w:space="0" w:color="000000"/>
            </w:tcBorders>
            <w:shd w:fill="FFFFFF" w:val="clear"/>
            <w:vAlign w:val="center"/>
          </w:tcPr>
          <w:p>
            <w:pPr>
              <w:pStyle w:val="TableContents"/>
              <w:bidi w:val="0"/>
              <w:spacing w:before="0" w:after="283"/>
              <w:jc w:val="right"/>
              <w:rPr/>
            </w:pPr>
            <w:r>
              <w:rPr/>
              <w:t>(6,880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pPr>
            <w:r>
              <w:rPr/>
              <w:t>$</w:t>
            </w:r>
          </w:p>
        </w:tc>
        <w:tc>
          <w:tcPr>
            <w:tcW w:w="812" w:type="dxa"/>
            <w:tcBorders>
              <w:bottom w:val="double" w:sz="10" w:space="0" w:color="000000"/>
            </w:tcBorders>
            <w:shd w:fill="FFFFFF" w:val="clear"/>
            <w:vAlign w:val="center"/>
          </w:tcPr>
          <w:p>
            <w:pPr>
              <w:pStyle w:val="TableContents"/>
              <w:bidi w:val="0"/>
              <w:spacing w:before="0" w:after="283"/>
              <w:jc w:val="right"/>
              <w:rPr/>
            </w:pPr>
            <w:r>
              <w:rPr/>
              <w:t>50,814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78" w:type="dxa"/>
        <w:jc w:val="left"/>
        <w:tblInd w:w="0" w:type="dxa"/>
        <w:tblLayout w:type="fixed"/>
        <w:tblCellMar>
          <w:top w:w="0" w:type="dxa"/>
          <w:left w:w="0" w:type="dxa"/>
          <w:bottom w:w="28" w:type="dxa"/>
          <w:right w:w="0" w:type="dxa"/>
        </w:tblCellMar>
      </w:tblPr>
      <w:tblGrid>
        <w:gridCol w:w="2120"/>
        <w:gridCol w:w="60"/>
        <w:gridCol w:w="157"/>
        <w:gridCol w:w="747"/>
        <w:gridCol w:w="60"/>
        <w:gridCol w:w="60"/>
        <w:gridCol w:w="278"/>
        <w:gridCol w:w="882"/>
        <w:gridCol w:w="80"/>
        <w:gridCol w:w="60"/>
        <w:gridCol w:w="139"/>
        <w:gridCol w:w="660"/>
        <w:gridCol w:w="75"/>
      </w:tblGrid>
      <w:tr>
        <w:trPr/>
        <w:tc>
          <w:tcPr>
            <w:tcW w:w="21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 of December 29, 2024</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Amortization</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Developed technology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FFFFFF" w:val="clear"/>
            <w:vAlign w:val="center"/>
          </w:tcPr>
          <w:p>
            <w:pPr>
              <w:pStyle w:val="TableContents"/>
              <w:bidi w:val="0"/>
              <w:spacing w:before="0" w:after="283"/>
              <w:jc w:val="left"/>
              <w:rPr/>
            </w:pPr>
            <w:r>
              <w:rPr/>
              <w:t> </w:t>
            </w:r>
          </w:p>
        </w:tc>
        <w:tc>
          <w:tcPr>
            <w:tcW w:w="74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bottom w:val="single" w:sz="12" w:space="0" w:color="000000"/>
            </w:tcBorders>
            <w:shd w:fill="FFFFFF" w:val="clear"/>
            <w:vAlign w:val="center"/>
          </w:tcPr>
          <w:p>
            <w:pPr>
              <w:pStyle w:val="TableContents"/>
              <w:bidi w:val="0"/>
              <w:spacing w:before="0" w:after="283"/>
              <w:jc w:val="left"/>
              <w:rPr/>
            </w:pPr>
            <w:r>
              <w:rPr/>
              <w:t> </w:t>
            </w:r>
          </w:p>
        </w:tc>
        <w:tc>
          <w:tcPr>
            <w:tcW w:w="882"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bottom w:val="single" w:sz="12" w:space="0" w:color="000000"/>
            </w:tcBorders>
            <w:shd w:fill="FFFFFF" w:val="clear"/>
            <w:vAlign w:val="center"/>
          </w:tcPr>
          <w:p>
            <w:pPr>
              <w:pStyle w:val="TableContents"/>
              <w:bidi w:val="0"/>
              <w:spacing w:before="0" w:after="283"/>
              <w:jc w:val="left"/>
              <w:rPr/>
            </w:pPr>
            <w:r>
              <w:rPr/>
              <w:t> </w:t>
            </w:r>
          </w:p>
        </w:tc>
        <w:tc>
          <w:tcPr>
            <w:tcW w:w="66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17,385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carrying amounts as of December 28, 2025 reflect the final allocation of the purchase consideration in connection with the SunPower Businesses. The gross carrying amounts as of December 29, 2024 were provisional amounts. As a result of the measurement period adjustment to the intangible assets of the SunPower Businesses, amortization expense was $1.4 million lower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$6.2 million and $0.7 million for the fiscal years ended December 28, 2025, and December 29, 2024, respectively. Amortization expense for developed technology is classified in cost of revenues and all other amortization expense is classified in general and administrative expenses on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weighted average remaining life of these intangible assets as of December 28, 2025 and December 29, 2024 (</w:t>
      </w:r>
      <w:r>
        <w:rPr>
          <w:rFonts w:ascii="Times New Roman;Times;Serif" w:hAnsi="Times New Roman;Times;Serif"/>
          <w:b w:val="false"/>
          <w:i/>
          <w:caps w:val="false"/>
          <w:smallCaps w:val="false"/>
          <w:sz w:val="20"/>
        </w:rPr>
        <w:t>in years</w:t>
      </w:r>
      <w:r>
        <w:rPr>
          <w:rFonts w:ascii="Times New Roman;Times;Serif" w:hAnsi="Times New Roman;Times;Serif"/>
          <w:b w:val="false"/>
          <w:i w:val="false"/>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tbl>
      <w:tblPr>
        <w:tblW w:w="4513" w:type="dxa"/>
        <w:jc w:val="left"/>
        <w:tblInd w:w="0" w:type="dxa"/>
        <w:tblLayout w:type="fixed"/>
        <w:tblCellMar>
          <w:top w:w="0" w:type="dxa"/>
          <w:left w:w="0" w:type="dxa"/>
          <w:bottom w:w="0" w:type="dxa"/>
          <w:right w:w="0" w:type="dxa"/>
        </w:tblCellMar>
      </w:tblPr>
      <w:tblGrid>
        <w:gridCol w:w="1910"/>
        <w:gridCol w:w="60"/>
        <w:gridCol w:w="160"/>
        <w:gridCol w:w="1014"/>
        <w:gridCol w:w="60"/>
        <w:gridCol w:w="60"/>
        <w:gridCol w:w="210"/>
        <w:gridCol w:w="964"/>
        <w:gridCol w:w="75"/>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75"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remaining amortization expense of intangible assets with finite useful lives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754" w:type="dxa"/>
        <w:jc w:val="left"/>
        <w:tblInd w:w="0" w:type="dxa"/>
        <w:tblLayout w:type="fixed"/>
        <w:tblCellMar>
          <w:top w:w="0" w:type="dxa"/>
          <w:left w:w="0" w:type="dxa"/>
          <w:bottom w:w="28" w:type="dxa"/>
          <w:right w:w="0" w:type="dxa"/>
        </w:tblCellMar>
      </w:tblPr>
      <w:tblGrid>
        <w:gridCol w:w="1190"/>
        <w:gridCol w:w="60"/>
        <w:gridCol w:w="243"/>
        <w:gridCol w:w="1186"/>
        <w:gridCol w:w="75"/>
      </w:tblGrid>
      <w:tr>
        <w:trPr/>
        <w:tc>
          <w:tcPr>
            <w:tcW w:w="119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Estimated</w:t>
              <w:br/>
              <w:t xml:space="preserve">Amortization </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w:t>
            </w:r>
          </w:p>
        </w:tc>
        <w:tc>
          <w:tcPr>
            <w:tcW w:w="1186" w:type="dxa"/>
            <w:tcBorders/>
            <w:shd w:fill="CCEEFF" w:val="clear"/>
            <w:tcMar>
              <w:bottom w:w="0" w:type="dxa"/>
            </w:tcMar>
            <w:vAlign w:val="center"/>
          </w:tcPr>
          <w:p>
            <w:pPr>
              <w:pStyle w:val="TableContents"/>
              <w:bidi w:val="0"/>
              <w:spacing w:before="0" w:after="283"/>
              <w:jc w:val="right"/>
              <w:rPr/>
            </w:pPr>
            <w:r>
              <w:rPr/>
              <w:t>8,501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186" w:type="dxa"/>
            <w:tcBorders/>
            <w:shd w:fill="FFFFFF" w:val="clear"/>
            <w:tcMar>
              <w:bottom w:w="0" w:type="dxa"/>
            </w:tcMar>
            <w:vAlign w:val="center"/>
          </w:tcPr>
          <w:p>
            <w:pPr>
              <w:pStyle w:val="TableContents"/>
              <w:bidi w:val="0"/>
              <w:spacing w:before="0" w:after="283"/>
              <w:jc w:val="right"/>
              <w:rPr/>
            </w:pPr>
            <w:r>
              <w:rPr/>
              <w:t>6,234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4,809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186" w:type="dxa"/>
            <w:tcBorders/>
            <w:shd w:fill="FFFFFF" w:val="clear"/>
            <w:tcMar>
              <w:bottom w:w="0" w:type="dxa"/>
            </w:tcMar>
            <w:vAlign w:val="center"/>
          </w:tcPr>
          <w:p>
            <w:pPr>
              <w:pStyle w:val="TableContents"/>
              <w:bidi w:val="0"/>
              <w:spacing w:before="0" w:after="283"/>
              <w:jc w:val="right"/>
              <w:rPr/>
            </w:pPr>
            <w:r>
              <w:rPr/>
              <w:t>4,809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4,809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12" w:space="0" w:color="000000"/>
            </w:tcBorders>
            <w:shd w:fill="FFFFFF" w:val="clear"/>
            <w:vAlign w:val="center"/>
          </w:tcPr>
          <w:p>
            <w:pPr>
              <w:pStyle w:val="TableContents"/>
              <w:bidi w:val="0"/>
              <w:spacing w:before="0" w:after="283"/>
              <w:jc w:val="left"/>
              <w:rPr/>
            </w:pPr>
            <w:r>
              <w:rPr/>
              <w:t> </w:t>
            </w:r>
          </w:p>
        </w:tc>
        <w:tc>
          <w:tcPr>
            <w:tcW w:w="1186" w:type="dxa"/>
            <w:tcBorders>
              <w:bottom w:val="single" w:sz="12" w:space="0" w:color="000000"/>
            </w:tcBorders>
            <w:shd w:fill="FFFFFF" w:val="clear"/>
            <w:vAlign w:val="center"/>
          </w:tcPr>
          <w:p>
            <w:pPr>
              <w:pStyle w:val="TableContents"/>
              <w:bidi w:val="0"/>
              <w:spacing w:before="0" w:after="283"/>
              <w:jc w:val="right"/>
              <w:rPr/>
            </w:pPr>
            <w:r>
              <w:rPr/>
              <w:t>21,652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10" w:space="0" w:color="000000"/>
            </w:tcBorders>
            <w:shd w:fill="CCEEFF" w:val="clear"/>
            <w:vAlign w:val="center"/>
          </w:tcPr>
          <w:p>
            <w:pPr>
              <w:pStyle w:val="TableContents"/>
              <w:bidi w:val="0"/>
              <w:spacing w:before="0" w:after="283"/>
              <w:jc w:val="left"/>
              <w:rPr/>
            </w:pPr>
            <w:r>
              <w:rPr/>
              <w:t>$</w:t>
            </w:r>
          </w:p>
        </w:tc>
        <w:tc>
          <w:tcPr>
            <w:tcW w:w="1186" w:type="dxa"/>
            <w:tcBorders>
              <w:bottom w:val="double" w:sz="10" w:space="0" w:color="000000"/>
            </w:tcBorders>
            <w:shd w:fill="CCEEFF" w:val="clear"/>
            <w:vAlign w:val="center"/>
          </w:tcPr>
          <w:p>
            <w:pPr>
              <w:pStyle w:val="TableContents"/>
              <w:bidi w:val="0"/>
              <w:spacing w:before="0" w:after="283"/>
              <w:jc w:val="right"/>
              <w:rPr/>
            </w:pPr>
            <w:r>
              <w:rPr/>
              <w:t>50,814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(now SunPower, formerly Complete Solaria, Inc. following the closing of the Business Combination) entered into separate Forward Purchase Agreements (“FPAs”) with (i) Meteora Special Opportunity Fund I, LP, Meteora Capital Partners, LP, and Meteora Select Trading Opportunities Master, LP (collectively, “Meteora”), (ii) Polar Multi-Strategy Master Fund (“Polar”), and (iii) Diametric True Alpha Market Neutral Master Fund, LP, Diametric True Alpha Enhanced Market Neutral Master Fund, LP, and Pinebridge Partners Master Fund, LP (collectively, “Sandia,” and together with Meteora and Polar, the “FPA Investors”). Under the FPAs, the Company agreed to purchase, subject to certain terms and limitations, up to 5,618,488 shares of common stock held by the FPA Investors on a date 24 months after execution of the FPAs (the “Maturity Date”). The FPA Investors agreed not to redeem their Class A ordinary shares in connection with the Business Combination, and the FPAs originally provided the FPA Investors with a minimum sale price of $5.00 per share at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entered into amendments with each FPA Investor reducing the reset floor price from $5.00 to $3.00 and permitting the Company to raise up to $10.0 million of equity from existing stockholders without triggering anti-dilution protections, subject to specified per-share pricing requirements for insider investments. On May 7 and 8, 2024, the Company executed additional amendments with Sandia and Polar reducing the reset price to $1.00 per share and modifying the volume-weighted average price (“VWAP”) trigger event to occur if, after December 31, 2024, the Company’s VWAP is below $1.00 for 20 out of 30 consecutive trading days. On June 14, 2024, the Company and Sandia executed an additional amendment confirming a $1.00 reset price and the revised VWAP trigger and providing that Sandia will automatically receive any more favorable terms provided to Polar or Meteora, including with respect to the shares sold upon execution of its FPA. On July 17, 2024, the Company and Polar executed an amendment applying the “Most Favored Nation” provision of the Polar FPA to all of its shares covered by that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15 and August 1, 2025, the Company entered into further amendments with Meteora, Sandia, and Polar that extended the valuation date applicable to the FPAs to the earliest of (i) July 17, 2026, (ii) a date specified by Meteora or Sandia, as applicable, or (iii) 90 days after Company notice if the Company’s VWAP is below the applicable reset price for 20 out of 30 consecutive trading days occurring at least six months after the closing of the Business Combination, provided that a registration statement is effective throughout both the measurement and notice periods. These amendments also revised the settlement provisions to clarify that the Settlement Amount is used solely as a calculation mechanism to determine any liability owed by the Company to an FPA Investor. If the Settlement Amount Adjustment exceeds the Settlement Amount, the excess will be paid to the FPA Investor in cash or shares, at the Company’s election, and the FPA Investors are not required to remit the Settlement Amount or return any prepayment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continue to hold some or all of the FPA shares on the Maturity Date and the trading price of the Company’s common stock is below the applicable FPA sale price, the Company expects the FPA Investors to exercise their repurchase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FPAs, the Company has recorded a liability on its consolidated balance sheets of $4.0 million and $3.5 million as of December 28, 2025 and December 29, 2024, respectively. The Company concluded that $1.3 million of the liability as of December 29, 2024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SAFE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entered into a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(“First SAFE Amendment”) that converted the First SAFE investment of $1.5 million into 4.2 million shares of the Company’s common stock based on a conversion price of $0.36 per share, defined in the First SAFE Amendment as the product of (i) $0.45, the closing price of the Company’s common stock on April 19, 2024, multiplied by (ii) 80%. Upon conversion to shares of the Company’s common stock, the Company recognized $1.9 million of Additional paid-in capital, and a loss on conversion of the First SAFE of $0.4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and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(“Second SAFE Amendment”) that converted the Second SAFE investment of $3.5 million into 9.7 million shares of the Company’s common stock based on a conversion price of $0.36 per share, defined in the Second SAFE Amendment as the product of (i) $0.45, the closing price of the Company’s common stock on April 19, 2024, multiplied by (ii) 80%. Upon conversion to shares of the Company’s common stock, the Company recognized $4.4 million of Additional paid-in capital, and a loss on conversion of the Second SAFE of $0.9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$0.5 million and $0.4 million as of December 28, 2025 and December 29, 2024, respectively. Refer to </w:t>
      </w:r>
      <w:r>
        <w:rPr>
          <w:rFonts w:ascii="Times New Roman;Times;Serif" w:hAnsi="Times New Roman;Times;Serif"/>
          <w:b/>
          <w:i w:val="false"/>
          <w:caps w:val="false"/>
          <w:smallCaps w:val="false"/>
          <w:sz w:val="20"/>
        </w:rPr>
        <w:t>Note 5 – Fair Value Measurements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6"/>
        <w:gridCol w:w="60"/>
        <w:gridCol w:w="207"/>
        <w:gridCol w:w="1192"/>
        <w:gridCol w:w="95"/>
        <w:gridCol w:w="60"/>
        <w:gridCol w:w="207"/>
        <w:gridCol w:w="1192"/>
        <w:gridCol w:w="76"/>
      </w:tblGrid>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29,</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both"/>
              <w:rPr>
                <w:b/>
              </w:rPr>
            </w:pPr>
            <w:r>
              <w:rPr>
                <w:b/>
              </w:rPr>
              <w:t>Short term:</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Seller Note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Loan with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1,500</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short-term debt with related parties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1,500</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b/>
              </w:rPr>
            </w:pPr>
            <w:r>
              <w:rPr>
                <w:b/>
              </w:rPr>
              <w:t>Long-term:</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b/>
                <w:i/>
              </w:rPr>
            </w:pPr>
            <w:r>
              <w:rPr>
                <w:b/>
                <w:i/>
              </w:rPr>
              <w:t>12.0% senior unsecured convertible notes and related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July 2024 Notes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32,969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17,965</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24,632</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July 2024 Notes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40,600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42,597</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1,443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July 2024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13,563</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2024 Notes derivative liability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12,615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21,127</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July 2024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32,219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34,690</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2025 Note derivative liability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November 2025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Total 12.0%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79,487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77,287</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b/>
                <w:i/>
              </w:rPr>
            </w:pPr>
            <w:r>
              <w:rPr>
                <w:b/>
                <w:i/>
              </w:rPr>
              <w:t>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2024 Notes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14,332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5,636</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476</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16,678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2025 Notes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37,930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55,474</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2024 Notes derivative liability – related parties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5,870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6,958</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Subtotal 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43,800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62,432</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2025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Total 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78,588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68,544</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notes payable and derivative liabilities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158,075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senior unsecured convertible 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Balance sheet classification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Notes payable,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92,638</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Notes payable and derivative liabilities with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35,130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53,193</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$46.0 million of senior unsecured convertible notes (“July 2024 Notes”) consisting of $28.0 million in cash proceeds and $18.0 million arising from an exchange of debt (“Debt Exchange”) as described below under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Cash proceeds of $28.0 million included $18.0 million from the Rodgers Revocable Trust, a related party. The $18.0 million exchange of debt included $10.0 million issued to Carlyle. Carlyle was deemed to be a related party in the fiscal year ended December 29, 2024. Carlyle was no longer deemed a related party to the Company during the fiscal year ended December 28, 2025. Refer to </w:t>
      </w:r>
      <w:r>
        <w:rPr>
          <w:rFonts w:ascii="Times New Roman;Times;Serif" w:hAnsi="Times New Roman;Times;Serif"/>
          <w:b/>
          <w:i w:val="false"/>
          <w:caps w:val="false"/>
          <w:smallCaps w:val="false"/>
          <w:sz w:val="20"/>
        </w:rPr>
        <w:t xml:space="preserve">Note 2 –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 Of this amount $17.5 million was recognized as a debt discount to the $28.0 million cash proceeds and $11.2 million associated with the Debt Exchange was recognized as an expense in the calculation of the Company’s “Gain on the Troubled Debt Restructuring” on the Company’s consolidated statement of operations and comprehensive loss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Debt Exchange, the Company issued the Cantor Warrant, as described in </w:t>
      </w:r>
      <w:r>
        <w:rPr>
          <w:rFonts w:ascii="Times New Roman;Times;Serif" w:hAnsi="Times New Roman;Times;Serif"/>
          <w:b/>
          <w:i w:val="false"/>
          <w:caps w:val="false"/>
          <w:smallCaps w:val="false"/>
          <w:sz w:val="20"/>
        </w:rPr>
        <w:t>Note 14 – Common Stock and Common Stock Warrants</w:t>
      </w:r>
      <w:r>
        <w:rPr>
          <w:rFonts w:ascii="Times New Roman;Times;Serif" w:hAnsi="Times New Roman;Times;Serif"/>
          <w:b w:val="false"/>
          <w:i w:val="false"/>
          <w:caps w:val="false"/>
          <w:smallCaps w:val="false"/>
          <w:sz w:val="20"/>
        </w:rPr>
        <w:t xml:space="preserve">, for shares of the Company’s common stock. At issuance, the Cantor Warrant had a fair value of $1.4 million, of which $0.9 million was recorded as a debt discount, and $0.5 million was included in the calculation of the Company’s “Gain on the Troubled Debt Restructuring” on the Company’s consolidated statement of operations and comprehensive loss in the year ended December 29, 2024, as discussed below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December 28, 2025. Coupon interest, default interest and failure to file interest on the $18.0 million Debt Exchange were capitalized as part of the July 2024 Notes. Accordingly, the effective interest rate on the $18.0 million arising from the Debt Exchange is nil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financial covenants. The July 2024 Notes are not in default. However, due to the delayed filing of its Form 10-K for the year ended December 29, 2024, the Company was required to accrue incremental interest of 0.5% beginning April 16, 2025 through April 30, 2025, the date upon which the Form 10-K was filed. The interest accrued was not material. Due to the Company’s delayed filing of its Form 10Q for the third quarter ended September 28, 2025 (“Q3 2025 Form 10Q”), the Company was required to accrue incremental interest of 0.5% beginning November 17, 2025, through December 19, 2025, the date upon which the Q3 2025 Form 10Q was filed. The interest accrued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3275"/>
        <w:gridCol w:w="60"/>
        <w:gridCol w:w="189"/>
        <w:gridCol w:w="985"/>
        <w:gridCol w:w="80"/>
        <w:gridCol w:w="60"/>
        <w:gridCol w:w="189"/>
        <w:gridCol w:w="985"/>
        <w:gridCol w:w="9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 principal amount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59,587</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2024 Notes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42,597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$3.0 million and $4.6 million, respectively, with coupon interest expense of $2.2 million and $2.8 million, respectively, and debt discount and issuance costs of $0.8 million and $1.8 million, respectively. Of the coupon interest expense, related party interest expense was $1.5 million and $1.7 million in the fiscal years ended December 28, 2025 and December 29, 2024, respectively. Related party amortization expense was $0.7 million and $1.1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F-88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entered into an Exchange Agreement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with Carlyle and Kline Hill (as defined below) resulting in the Debt Exchange and providing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260"/>
        <w:gridCol w:w="85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$10.0 million to Carlyle as part of the July 2024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previously issued warrant to Carlyle (“Carlyle Warrant”) for shares of the Company’s common stock was fixed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Troubled Debt Restructuring” on the Company’s consolidated statement of operations and comprehensive loss in the year ended December 29, 2024. The modification of the Carlyle Warrant also resulted in the reclassification of the Carlyle Warrant from liability to equity classification, resulting in an increase to additional paid-in capital of $7.3 million and a reduction in the warrant liability of $7.3 million. Carlyle exercised the warrant in full in the year ended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2018 bridge notes, a portion of a revolving loan (“Revolving Loan”) and a secured credit facility (“Secured Credit Facility”), and the satisfaction of all obligations owed to Kline Hill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245"/>
        <w:gridCol w:w="8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$8.0 million to Kline Hill as part of the July 2024 Notes; and</w:t>
            </w:r>
          </w:p>
        </w:tc>
      </w:tr>
    </w:tbl>
    <w:p>
      <w:pPr>
        <w:pStyle w:val="TextBody"/>
        <w:bidi w:val="0"/>
        <w:spacing w:before="0" w:after="0"/>
        <w:ind w:left="0" w:right="0" w:hanging="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305"/>
        <w:gridCol w:w="64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1,500,000 shares of the Company’s common stock to Kline Hill.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date of the cancellation under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Company’s indebtedness to CS Solis was $37.2 million and the indebtedness to Kline Hill was comprised of 2018 bridge notes of $11.7 million, a revolving loan balance of $3.9 million, and the Secured Credit Facility balance of $13.1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concluded that the transactions entered into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represented a troubled debt restructuring as the Company was experiencing financial difficulty, and the terms of the July 2024 Notes resulted in a concession to the Company. As the carrying amount of the debt exceeded the future undiscounted cash payments under the new terms on the date of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recorded a gain on the troubled debt restructuring of $22.3 million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year ended December 29, 2024, 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recognized (i) accretion of the liability of the debt in CS Solis as related party interest expense of $3.9 million, (ii) $0.7 million of interest on the 2018 bridge notes, and (iii) $1.0 million of interest on the Secured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744" w:type="dxa"/>
        <w:jc w:val="left"/>
        <w:tblInd w:w="0" w:type="dxa"/>
        <w:tblLayout w:type="fixed"/>
        <w:tblCellMar>
          <w:top w:w="0" w:type="dxa"/>
          <w:left w:w="0" w:type="dxa"/>
          <w:bottom w:w="0" w:type="dxa"/>
          <w:right w:w="0" w:type="dxa"/>
        </w:tblCellMar>
      </w:tblPr>
      <w:tblGrid>
        <w:gridCol w:w="4415"/>
        <w:gridCol w:w="60"/>
        <w:gridCol w:w="218"/>
        <w:gridCol w:w="956"/>
        <w:gridCol w:w="95"/>
      </w:tblGrid>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9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$0.4 million with coupon interest expense of $0.3 million and debt discount and issuance costs of $0.1 million, all of which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39" w:type="dxa"/>
        <w:jc w:val="left"/>
        <w:tblInd w:w="0" w:type="dxa"/>
        <w:tblLayout w:type="fixed"/>
        <w:tblCellMar>
          <w:top w:w="0" w:type="dxa"/>
          <w:left w:w="0" w:type="dxa"/>
          <w:bottom w:w="0" w:type="dxa"/>
          <w:right w:w="0" w:type="dxa"/>
        </w:tblCellMar>
      </w:tblPr>
      <w:tblGrid>
        <w:gridCol w:w="4910"/>
        <w:gridCol w:w="60"/>
        <w:gridCol w:w="218"/>
        <w:gridCol w:w="956"/>
        <w:gridCol w:w="95"/>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November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less than $0.1 million with each of coupon interest and amortization of debt discount and issuance costs being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are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Refer to </w:t>
      </w:r>
      <w:r>
        <w:rPr>
          <w:rFonts w:ascii="Times New Roman;Times;Serif" w:hAnsi="Times New Roman;Times;Serif"/>
          <w:b/>
          <w:i w:val="false"/>
          <w:caps w:val="false"/>
          <w:smallCaps w:val="false"/>
          <w:sz w:val="20"/>
        </w:rPr>
        <w:t xml:space="preserve">Note 2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for further detail. The conversion option of this first tranche was required to be bifurcated as a derivative, and the Company recorded a derivative liability of $91.5 million on the issuance date. In connection with the derivative liability, the Company recorded a debt discount of $66.8 million at the date of issuance. As the fair value of the derivative liability exceeded the proceeds received, the remaining portion of the derivative liability of $24.7 million was recorded as a financing loss, of which $3.0 million was with a related party. At the date of issuance, the $66.8 million of notes were issued with a debt discount equal to the entire principal amount, resulting in an initial net carrying amount of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28" w:type="dxa"/>
        <w:jc w:val="left"/>
        <w:tblInd w:w="0" w:type="dxa"/>
        <w:tblLayout w:type="fixed"/>
        <w:tblCellMar>
          <w:top w:w="0" w:type="dxa"/>
          <w:left w:w="0" w:type="dxa"/>
          <w:bottom w:w="0" w:type="dxa"/>
          <w:right w:w="0" w:type="dxa"/>
        </w:tblCellMar>
      </w:tblPr>
      <w:tblGrid>
        <w:gridCol w:w="3785"/>
        <w:gridCol w:w="60"/>
        <w:gridCol w:w="189"/>
        <w:gridCol w:w="985"/>
        <w:gridCol w:w="80"/>
        <w:gridCol w:w="60"/>
        <w:gridCol w:w="189"/>
        <w:gridCol w:w="985"/>
        <w:gridCol w:w="95"/>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9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$19.6 million and $5.4 million with coupon interest expense of $5.5 million and $1.4 million, respectively, and debt discount and issuance costs of $14.1 million and $4.0 million, respectively. Of the coupon interest expense, related party interest expense was $0.6 million and $0.2 million in the fiscal years ended December 28, 2025 and December 29, 2024, respectively. Related party amortization expense was $1.8 million and $0.5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$2.2 million debt discount and $1.4 million of debt issuance costs in connection with the September 2025 Notes. The debt issuance costs include an estimate of the value of a warrant that will be issued in the subsequent fiscal year to the entity that arranged the financing. The effective interest rate on the September 2025 Notes approximated 67% as of December 28, 2025.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044" w:type="dxa"/>
        <w:jc w:val="left"/>
        <w:tblInd w:w="0" w:type="dxa"/>
        <w:tblLayout w:type="fixed"/>
        <w:tblCellMar>
          <w:top w:w="0" w:type="dxa"/>
          <w:left w:w="0" w:type="dxa"/>
          <w:bottom w:w="0" w:type="dxa"/>
          <w:right w:w="0" w:type="dxa"/>
        </w:tblCellMar>
      </w:tblPr>
      <w:tblGrid>
        <w:gridCol w:w="4460"/>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22,000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(18,646</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Net carrying amount of September 2025 Notes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3,354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$0.7 million with coupon interest of $0.4 million and amortization of debt discount and issuance costs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the sellers of Sunder (“Seller Note”) in connection with the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 Interest expense recognized on the Seller Note was $0.4 million in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the Company had a Revolving Loan due to Kline Hill and Rodgers Revocable Trust which is a related party. The Revolving Loan arrangement was entered into in 2020 and in 2023, the Rodgers Revocable Trust became a party to the Revolving Loan. The Revolving Loan has an annual interest rate equal to the greater of 7.75% or Prime plus 4.5%. In connection with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in July 2024, $3.5 million of the Revolving Loan, plus accrued interest owed to Kline Hill, was exchanged for a portion of the July 2024 Notes. The remaining principal balance of $1.5 million is payable to the Rodgers Revocable Trust and remains outstanding as of December 28, 2025.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interest expense recognized on this obligation in the fiscal years ended December 28, 2025 and December 29, 2024 was $0.2 million and $0.5 million, respectively. Of the interest expense recognized, related party interest expense was $0.2 million and $0.2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payments due in the next five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interest in connection with the exchanged notes, is as follows:</w:t>
      </w:r>
    </w:p>
    <w:p>
      <w:pPr>
        <w:pStyle w:val="TextBody"/>
        <w:bidi w:val="0"/>
        <w:spacing w:before="0" w:after="0"/>
        <w:ind w:left="0" w:right="0" w:hanging="0"/>
        <w:jc w:val="left"/>
        <w:rPr>
          <w:caps w:val="false"/>
          <w:smallCaps w:val="false"/>
        </w:rPr>
      </w:pPr>
      <w:r>
        <w:rPr>
          <w:caps w:val="false"/>
          <w:smallCaps w:val="false"/>
        </w:rPr>
        <w:t> </w:t>
      </w:r>
    </w:p>
    <w:tbl>
      <w:tblPr>
        <w:tblW w:w="3249" w:type="dxa"/>
        <w:jc w:val="left"/>
        <w:tblInd w:w="0" w:type="dxa"/>
        <w:tblLayout w:type="fixed"/>
        <w:tblCellMar>
          <w:top w:w="0" w:type="dxa"/>
          <w:left w:w="0" w:type="dxa"/>
          <w:bottom w:w="0" w:type="dxa"/>
          <w:right w:w="0" w:type="dxa"/>
        </w:tblCellMar>
      </w:tblPr>
      <w:tblGrid>
        <w:gridCol w:w="1520"/>
        <w:gridCol w:w="60"/>
        <w:gridCol w:w="243"/>
        <w:gridCol w:w="1351"/>
        <w:gridCol w:w="7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payment</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21,500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143,266</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9578" w:type="dxa"/>
        <w:jc w:val="left"/>
        <w:tblInd w:w="0" w:type="dxa"/>
        <w:tblLayout w:type="fixed"/>
        <w:tblCellMar>
          <w:top w:w="0" w:type="dxa"/>
          <w:left w:w="0" w:type="dxa"/>
          <w:bottom w:w="0" w:type="dxa"/>
          <w:right w:w="0" w:type="dxa"/>
        </w:tblCellMar>
      </w:tblPr>
      <w:tblGrid>
        <w:gridCol w:w="6935"/>
        <w:gridCol w:w="60"/>
        <w:gridCol w:w="204"/>
        <w:gridCol w:w="970"/>
        <w:gridCol w:w="80"/>
        <w:gridCol w:w="60"/>
        <w:gridCol w:w="189"/>
        <w:gridCol w:w="985"/>
        <w:gridCol w:w="9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FACT public, private placement and working capital warrants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 with related party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 with related party</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9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Loss on issuance of derivative liabilities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Carlyle Warrants with related party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2,869</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redeemable convertible preferred stock warrant liability</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w:t>
            </w:r>
          </w:p>
        </w:tc>
        <w:tc>
          <w:tcPr>
            <w:tcW w:w="9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costs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net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non-operating income, net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$3.5 million and $0.3 million on the change in the fair value of derivative liabilities with related parties in the fiscal years ended December 28, 2025 and December 29, 2024, respectively.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60"/>
        <w:gridCol w:w="94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each of the years ended December 28, 2025 and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loss of $3.0 million on the issuance of a derivative liability with a related party in the fiscal year ended December 29,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260"/>
        <w:gridCol w:w="846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non-cash income with related party of $0.1 million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facilities under non-cancelable operating lease agreements. The Company leases vehicles under finance lease agreements. Operating and financing lease activity was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8591" w:type="dxa"/>
        <w:jc w:val="left"/>
        <w:tblInd w:w="0" w:type="dxa"/>
        <w:tblLayout w:type="fixed"/>
        <w:tblCellMar>
          <w:top w:w="0" w:type="dxa"/>
          <w:left w:w="0" w:type="dxa"/>
          <w:bottom w:w="0" w:type="dxa"/>
          <w:right w:w="0" w:type="dxa"/>
        </w:tblCellMar>
      </w:tblPr>
      <w:tblGrid>
        <w:gridCol w:w="5720"/>
        <w:gridCol w:w="60"/>
        <w:gridCol w:w="240"/>
        <w:gridCol w:w="934"/>
        <w:gridCol w:w="199"/>
        <w:gridCol w:w="64"/>
        <w:gridCol w:w="240"/>
        <w:gridCol w:w="934"/>
        <w:gridCol w:w="200"/>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cost</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cost:</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2,008</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cost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2,221</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cost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cost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1,886</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1,039</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minimum lease payments under non-cancellable leases are as follows as of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2450"/>
        <w:gridCol w:w="60"/>
        <w:gridCol w:w="142"/>
        <w:gridCol w:w="553"/>
        <w:gridCol w:w="80"/>
        <w:gridCol w:w="60"/>
        <w:gridCol w:w="182"/>
        <w:gridCol w:w="708"/>
        <w:gridCol w:w="9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Finance</w:t>
              <w:br/>
              <w:t>Leases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Operating</w:t>
              <w:br/>
              <w:t>Leases</w:t>
            </w:r>
          </w:p>
        </w:tc>
        <w:tc>
          <w:tcPr>
            <w:tcW w:w="9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1,642</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 and thereafter</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undiscounted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5,810</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consolidated balance sheet includes the following lease liabilities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253" w:type="dxa"/>
        <w:jc w:val="left"/>
        <w:tblInd w:w="0" w:type="dxa"/>
        <w:tblLayout w:type="fixed"/>
        <w:tblCellMar>
          <w:top w:w="0" w:type="dxa"/>
          <w:left w:w="0" w:type="dxa"/>
          <w:bottom w:w="0" w:type="dxa"/>
          <w:right w:w="0" w:type="dxa"/>
        </w:tblCellMar>
      </w:tblPr>
      <w:tblGrid>
        <w:gridCol w:w="6650"/>
        <w:gridCol w:w="60"/>
        <w:gridCol w:w="240"/>
        <w:gridCol w:w="934"/>
        <w:gridCol w:w="60"/>
        <w:gridCol w:w="60"/>
        <w:gridCol w:w="240"/>
        <w:gridCol w:w="934"/>
        <w:gridCol w:w="75"/>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current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1,412</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 (Other long-term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2,263</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3,675</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2,053</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 noncurrent (Other long-term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1,907</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668" w:type="dxa"/>
        <w:jc w:val="left"/>
        <w:tblInd w:w="0" w:type="dxa"/>
        <w:tblLayout w:type="fixed"/>
        <w:tblCellMar>
          <w:top w:w="0" w:type="dxa"/>
          <w:left w:w="0" w:type="dxa"/>
          <w:bottom w:w="0" w:type="dxa"/>
          <w:right w:w="0" w:type="dxa"/>
        </w:tblCellMar>
      </w:tblPr>
      <w:tblGrid>
        <w:gridCol w:w="7010"/>
        <w:gridCol w:w="60"/>
        <w:gridCol w:w="218"/>
        <w:gridCol w:w="956"/>
        <w:gridCol w:w="89"/>
        <w:gridCol w:w="66"/>
        <w:gridCol w:w="240"/>
        <w:gridCol w:w="934"/>
        <w:gridCol w:w="95"/>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4,849</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liability from Business Combination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Accruals for new warranties issued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Settlements and other</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(1,561</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end of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sheet classification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warranty current (Classified in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1,594</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2,531</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3,059</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3,437</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warranty liability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and $7.7 million recorded within accrued expenses and other current liabilities on its consolidated balance sheets as of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$3.5 million of outstanding letters of credit as of December 28, 2025 and December 29, 2024.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$3.8 million at each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Income Taxes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loss from continuing and discontinued operations before provision for income taxes for the fiscal years ended December 28, 2025 and December 29, 2024,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13" w:type="dxa"/>
        <w:jc w:val="left"/>
        <w:tblInd w:w="0" w:type="dxa"/>
        <w:tblLayout w:type="fixed"/>
        <w:tblCellMar>
          <w:top w:w="0" w:type="dxa"/>
          <w:left w:w="0" w:type="dxa"/>
          <w:bottom w:w="0" w:type="dxa"/>
          <w:right w:w="0" w:type="dxa"/>
        </w:tblCellMar>
      </w:tblPr>
      <w:tblGrid>
        <w:gridCol w:w="5240"/>
        <w:gridCol w:w="60"/>
        <w:gridCol w:w="230"/>
        <w:gridCol w:w="1244"/>
        <w:gridCol w:w="95"/>
        <w:gridCol w:w="60"/>
        <w:gridCol w:w="230"/>
        <w:gridCol w:w="1244"/>
        <w:gridCol w:w="110"/>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(54,444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(54,444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Loss from discontinued operations before income taxes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(2,007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benefit from continuing and discontinued operations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94" w:type="dxa"/>
        <w:jc w:val="left"/>
        <w:tblInd w:w="0" w:type="dxa"/>
        <w:tblLayout w:type="fixed"/>
        <w:tblCellMar>
          <w:top w:w="0" w:type="dxa"/>
          <w:left w:w="0" w:type="dxa"/>
          <w:bottom w:w="0" w:type="dxa"/>
          <w:right w:w="0" w:type="dxa"/>
        </w:tblCellMar>
      </w:tblPr>
      <w:tblGrid>
        <w:gridCol w:w="5990"/>
        <w:gridCol w:w="60"/>
        <w:gridCol w:w="295"/>
        <w:gridCol w:w="1180"/>
        <w:gridCol w:w="60"/>
        <w:gridCol w:w="60"/>
        <w:gridCol w:w="174"/>
        <w:gridCol w:w="1300"/>
        <w:gridCol w:w="7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Current income tax expense</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Total current income tax expense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Deferred income tax expense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Total deferred income tax expense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Income tax expense from continuing operations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Income tax expense as a component of discontinued operations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2023-09 prospectively for the fiscal year ended December 28, 2025. The following table presents required disclosure pursuant of ASU 2023-09 and reconciles the Company’s federal statutory tax amount and rate, based on its results from continuing operations, to its actual effective amount and rate:</w:t>
      </w:r>
    </w:p>
    <w:p>
      <w:pPr>
        <w:pStyle w:val="TextBody"/>
        <w:bidi w:val="0"/>
        <w:spacing w:before="0" w:after="0"/>
        <w:ind w:left="0" w:right="0" w:hanging="0"/>
        <w:jc w:val="both"/>
        <w:rPr>
          <w:caps w:val="false"/>
          <w:smallCaps w:val="false"/>
        </w:rPr>
      </w:pPr>
      <w:r>
        <w:rPr>
          <w:caps w:val="false"/>
          <w:smallCaps w:val="false"/>
        </w:rPr>
        <w:t> </w:t>
      </w:r>
    </w:p>
    <w:tbl>
      <w:tblPr>
        <w:tblW w:w="6278" w:type="dxa"/>
        <w:jc w:val="left"/>
        <w:tblInd w:w="0" w:type="dxa"/>
        <w:tblLayout w:type="fixed"/>
        <w:tblCellMar>
          <w:top w:w="0" w:type="dxa"/>
          <w:left w:w="0" w:type="dxa"/>
          <w:bottom w:w="0" w:type="dxa"/>
          <w:right w:w="0" w:type="dxa"/>
        </w:tblCellMar>
      </w:tblPr>
      <w:tblGrid>
        <w:gridCol w:w="3875"/>
        <w:gridCol w:w="60"/>
        <w:gridCol w:w="156"/>
        <w:gridCol w:w="763"/>
        <w:gridCol w:w="95"/>
        <w:gridCol w:w="60"/>
        <w:gridCol w:w="205"/>
        <w:gridCol w:w="759"/>
        <w:gridCol w:w="305"/>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Dollars (</w:t>
            </w:r>
            <w:r>
              <w:rPr>
                <w:rFonts w:ascii="Times New Roman;Times;Serif" w:hAnsi="Times New Roman;Times;Serif"/>
                <w:b/>
                <w:i/>
                <w:sz w:val="20"/>
              </w:rPr>
              <w:t>in</w:t>
              <w:br/>
              <w:t>thousands</w:t>
            </w:r>
            <w:r>
              <w:rPr>
                <w:rFonts w:ascii="Times New Roman;Times;Serif" w:hAnsi="Times New Roman;Times;Serif"/>
                <w:b/>
                <w:sz w:val="2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Effect on</w:t>
              <w:br/>
              <w:t>Effective</w:t>
              <w:br/>
              <w:t>Tax Rate</w:t>
            </w:r>
          </w:p>
        </w:tc>
        <w:tc>
          <w:tcPr>
            <w:tcW w:w="305" w:type="dxa"/>
            <w:tcBorders/>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Federal tax (benefit) at statutory rate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(8,962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income taxes, net of federal tax benefit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(0.9</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Tax law changes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Tax credits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11,328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(26.6</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75" w:type="dxa"/>
            <w:tcBorders/>
            <w:shd w:fill="FFFFFF" w:val="clear"/>
            <w:vAlign w:val="center"/>
          </w:tcPr>
          <w:p>
            <w:pPr>
              <w:pStyle w:val="TableContents"/>
              <w:bidi w:val="0"/>
              <w:spacing w:before="0" w:after="283"/>
              <w:jc w:val="left"/>
              <w:rPr/>
            </w:pPr>
            <w:r>
              <w:rPr/>
              <w:t>Nondeductible items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77"/>
              <w:jc w:val="left"/>
              <w:rPr/>
            </w:pPr>
            <w:r>
              <w:rPr/>
              <w:t> </w:t>
            </w:r>
          </w:p>
        </w:tc>
      </w:tr>
      <w:tr>
        <w:trPr/>
        <w:tc>
          <w:tcPr>
            <w:tcW w:w="3875" w:type="dxa"/>
            <w:tcBorders/>
            <w:shd w:fill="CCEEFF" w:val="clear"/>
            <w:vAlign w:val="center"/>
          </w:tcPr>
          <w:p>
            <w:pPr>
              <w:pStyle w:val="TableContents"/>
              <w:bidi w:val="0"/>
              <w:spacing w:before="0" w:after="283"/>
              <w:jc w:val="left"/>
              <w:rPr/>
            </w:pPr>
            <w:r>
              <w:rPr/>
              <w:t>Warranty liability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(1.4</w:t>
            </w:r>
          </w:p>
        </w:tc>
        <w:tc>
          <w:tcPr>
            <w:tcW w:w="305" w:type="dxa"/>
            <w:tcBorders/>
            <w:shd w:fill="CCEEFF" w:val="clear"/>
            <w:vAlign w:val="center"/>
          </w:tcPr>
          <w:p>
            <w:pPr>
              <w:pStyle w:val="TableContents"/>
              <w:bidi w:val="0"/>
              <w:spacing w:before="0" w:after="283"/>
              <w:ind w:left="0" w:right="0" w:hanging="177"/>
              <w:jc w:val="left"/>
              <w:rPr/>
            </w:pPr>
            <w:r>
              <w:rPr/>
              <w:t>)</w:t>
            </w:r>
          </w:p>
        </w:tc>
      </w:tr>
      <w:tr>
        <w:trPr/>
        <w:tc>
          <w:tcPr>
            <w:tcW w:w="3875" w:type="dxa"/>
            <w:tcBorders/>
            <w:shd w:fill="FFFFFF" w:val="clear"/>
            <w:vAlign w:val="center"/>
          </w:tcPr>
          <w:p>
            <w:pPr>
              <w:pStyle w:val="TableContents"/>
              <w:bidi w:val="0"/>
              <w:spacing w:before="0" w:after="283"/>
              <w:jc w:val="left"/>
              <w:rPr/>
            </w:pPr>
            <w:r>
              <w:rPr/>
              <w:t>Other nondeductible items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(0.6</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Changes in unrecognized tax benefits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Deferred tax true-up</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FFFFFF" w:val="clear"/>
            <w:tcMar>
              <w:bottom w:w="28" w:type="dxa"/>
            </w:tcM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Total provision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9"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260"/>
        <w:gridCol w:w="980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9800" w:type="dxa"/>
            <w:tcBorders/>
            <w:vAlign w:val="center"/>
          </w:tcPr>
          <w:p>
            <w:pPr>
              <w:pStyle w:val="TableContents"/>
              <w:bidi w:val="0"/>
              <w:spacing w:before="0" w:after="283"/>
              <w:jc w:val="both"/>
              <w:rPr/>
            </w:pPr>
            <w:r>
              <w:rPr/>
              <w:t>State taxes in California made up the majority (greater than 50 percent) of the tax effect in this category.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represents the required disclosures prior to the Company’s adoption of ASU 2023-09 and is a reconciliation of the Company’s income tax applied at the federal statutory income tax rate compared to the income tax provision reported on its consolidated statements of operations for continuing operations.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69" w:type="dxa"/>
        <w:jc w:val="left"/>
        <w:tblInd w:w="0" w:type="dxa"/>
        <w:tblLayout w:type="fixed"/>
        <w:tblCellMar>
          <w:top w:w="0" w:type="dxa"/>
          <w:left w:w="0" w:type="dxa"/>
          <w:bottom w:w="0" w:type="dxa"/>
          <w:right w:w="0" w:type="dxa"/>
        </w:tblCellMar>
      </w:tblPr>
      <w:tblGrid>
        <w:gridCol w:w="3695"/>
        <w:gridCol w:w="60"/>
        <w:gridCol w:w="196"/>
        <w:gridCol w:w="1023"/>
        <w:gridCol w:w="9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br/>
              <w:t>Ended</w:t>
            </w:r>
          </w:p>
        </w:tc>
        <w:tc>
          <w:tcPr>
            <w:tcW w:w="9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29, </w:t>
              <w:br/>
              <w:t>2024</w:t>
            </w:r>
          </w:p>
        </w:tc>
        <w:tc>
          <w:tcPr>
            <w:tcW w:w="95" w:type="dxa"/>
            <w:tcBorders/>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federal income tax</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income taxes, net of federal tax benefits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compensation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adjustments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Nondeductible items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extinguishment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earnings taxed at different rates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 purchase agreements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changes in tax rates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year adjustments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Provision</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components of deferred tax assets and liabilities are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73" w:type="dxa"/>
        <w:jc w:val="left"/>
        <w:tblInd w:w="0" w:type="dxa"/>
        <w:tblLayout w:type="fixed"/>
        <w:tblCellMar>
          <w:top w:w="0" w:type="dxa"/>
          <w:left w:w="0" w:type="dxa"/>
          <w:bottom w:w="0" w:type="dxa"/>
          <w:right w:w="0" w:type="dxa"/>
        </w:tblCellMar>
      </w:tblPr>
      <w:tblGrid>
        <w:gridCol w:w="3620"/>
        <w:gridCol w:w="60"/>
        <w:gridCol w:w="220"/>
        <w:gridCol w:w="1194"/>
        <w:gridCol w:w="95"/>
        <w:gridCol w:w="60"/>
        <w:gridCol w:w="220"/>
        <w:gridCol w:w="1194"/>
        <w:gridCol w:w="110"/>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b/>
              </w:rPr>
            </w:pPr>
            <w:r>
              <w:rPr>
                <w:b/>
              </w:rPr>
              <w:t>Deferred income tax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Net operating loss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35,792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34,749</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Debt derivatives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27,508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24,591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Bad debt reserve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10,543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431</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452</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1,512</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 reserves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3,381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Interest expense carryover</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7,005</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1,279</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Capitalized research and development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824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3,336</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92,877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77,560</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(70,253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(55,714</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22,624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b/>
              </w:rPr>
            </w:pPr>
            <w:r>
              <w:rPr>
                <w:b/>
              </w:rPr>
              <w:t>Deferred income tax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Convertible loan discount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(21,731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(19,175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(2,671</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(23,924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Net deferred tax liability</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(1,300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regularly assesses its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or realizable deferred tax assets, the Company will adjust its valuation allowance with a corresponding impact to the provision for income taxes in the period in which such determination is made. The Company’s management believes that, based upon a number of factors, it is more likely than not that all or some portion of the deferred tax assets will not be realized. Accordingly, for the fiscal years ended December 28, 2025 and December 29, 2024, the Company provided a valuation allowance against its U.S. net deferred tax assets of $70.3 million and $55.7 million, respectively. The net change in the valuation allowance was an increase of $14.6 million and $17.3 million in the fiscal years ended December 28,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 Company had net operating loss carryforwards for federal and state income tax purposes of approximately $131.4 million and $114.8 million, respectively. Excluding $115.3 million of federal net operating losses which carryforward indefinitely, the net operating loss carryforwards will expire between 2030 and 2044.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IRC Section 382 and similar provisions. Such limitations may result in the expiration of these carryforwards before their utilization. The Company’s acquired net operating loss carryforwards have been reduced based on the estimated amount which will be lost due to these limitations. If the Company has experienced subsequent ownership changes, the Company’s losses may be further limited, which may result in the expiration of net operating losses before utilization. To date, Company has not yet completed a Section 382 ownership change analysis. During the fiscal year ended December 29, 2024, the Company had undergone restructuring and strategic transformation, including the completion of the SunPower Businesses. As a result of the change in facts and lack of certainty regarding the acquired losses of the legacy Solaria business, the Company wrote off the remaining acquired net operating losses as the Company does not intend to pursue the potential tax benefits as it believes those benefits will be lost due to the continuation of business enterprise rules. As a result, the corresponding uncertain tax position was also reversed as the Company does not intend to pursue utilization of those attributes.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for federal and various state jurisdictions as well as foreign jurisdictions each of which have varying statutes of limitations. The Company is in the process of filing returns for prior years, and the penalties related to the delinquent filings are not material. Due to the history of losses, the Company’s tax years remain open for examination by all tax authorities since inception. The Company is not currently under examination in any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unrecognized tax benefits as of December 28, 2025 and December 29, 2024, respectively. The reversal of the uncertain tax benefits would not affect the Company’s effective tax rate to the extent that it continues to maintain a full valuation allowance against its deferred tax assets. As outlined above, the reduction in the uncertain tax positions during the fiscal year ended December 29, 2024, is a result of the Company’s decision to forgo the right to certain acquired attributes for which the Company does not intend to claim any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tabular reconciliation of the total amounts of unrecognized tax benefits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4070"/>
        <w:gridCol w:w="60"/>
        <w:gridCol w:w="151"/>
        <w:gridCol w:w="1024"/>
        <w:gridCol w:w="60"/>
        <w:gridCol w:w="60"/>
        <w:gridCol w:w="189"/>
        <w:gridCol w:w="986"/>
        <w:gridCol w:w="9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beginning of year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current year tax positions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end of year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within the income tax expense line in its consolidated statements of operations and comprehensive loss. Accrued interest and penalties are included as part of income tax payable in the consolidated balance sheets. No accrued interest or penalties have been recorded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pay any federal, state or foreign income taxes during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U.S. income or foreign withholding taxes on the undistributed earnings of its foreign subsidiary as of December 28, 2025 or December 29, 2024, as there are no undistributed earnings within the foreign subsidiaries, which were inactive throughout the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enacted on July 4, 2025 contains significant changes to corporate taxation, including accelerated deductions for capital expenditures, expensing of research and development costs incurred in the U.S., and increased deductibility of interest expense. As the Company maintains a full valuation allowance against its deferred tax assets, any adjustments to the gross value of these assets resulting from the enactment of the OBBBA were offset by a corresponding change in the valuation allowance, resulting in no net impact to the consolidated financial statements. The Company will continue to monitor the impact of the OBBBA as additional guidance is issued and further provisions become effective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Common Stock and Common Stock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December 28, 2025. No preferred stock has been issued and none are outstanding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White Lion Amended SPA, the Company issued 4.0 million and 2.9 million shares of the Company’s common stock for proceeds of $6.7 million and $6.7 million in the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i w:val="false"/>
          <w:caps w:val="false"/>
          <w:smallCaps w:val="false"/>
          <w:sz w:val="20"/>
        </w:rPr>
        <w:t>Note 20 – Subsequent Events</w:t>
      </w:r>
      <w:r>
        <w:rPr>
          <w:rFonts w:ascii="Times New Roman;Times;Serif" w:hAnsi="Times New Roman;Times;Serif"/>
          <w:b w:val="false"/>
          <w:i w:val="false"/>
          <w:caps w:val="false"/>
          <w:smallCaps w:val="false"/>
          <w:sz w:val="20"/>
        </w:rPr>
        <w:t xml:space="preserve"> for information regarding an amendment to the White Lion SPA entered into on after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the Employee Stock Purchase Plan (the “ESPP Plan”) in July 2023. All qualified employees may voluntarily enroll to purchase the Company’s common stock through payroll deductions at a price equal to 85% of the lower of the fair market value of the stock in the offering period or the applicable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left"/>
        <w:rPr>
          <w:caps w:val="false"/>
          <w:smallCaps w:val="false"/>
        </w:rPr>
      </w:pPr>
      <w:r>
        <w:rPr>
          <w:caps w:val="false"/>
          <w:smallCaps w:val="false"/>
        </w:rPr>
        <w:t>  </w:t>
      </w:r>
    </w:p>
    <w:tbl>
      <w:tblPr>
        <w:tblW w:w="9951" w:type="dxa"/>
        <w:jc w:val="left"/>
        <w:tblInd w:w="0" w:type="dxa"/>
        <w:tblLayout w:type="fixed"/>
        <w:tblCellMar>
          <w:top w:w="0" w:type="dxa"/>
          <w:left w:w="0" w:type="dxa"/>
          <w:bottom w:w="0" w:type="dxa"/>
          <w:right w:w="0" w:type="dxa"/>
        </w:tblCellMar>
      </w:tblPr>
      <w:tblGrid>
        <w:gridCol w:w="4985"/>
        <w:gridCol w:w="60"/>
        <w:gridCol w:w="69"/>
        <w:gridCol w:w="1106"/>
        <w:gridCol w:w="66"/>
        <w:gridCol w:w="66"/>
        <w:gridCol w:w="69"/>
        <w:gridCol w:w="1106"/>
        <w:gridCol w:w="60"/>
        <w:gridCol w:w="60"/>
        <w:gridCol w:w="160"/>
        <w:gridCol w:w="624"/>
        <w:gridCol w:w="60"/>
        <w:gridCol w:w="60"/>
        <w:gridCol w:w="1400"/>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Potential shares of common</w:t>
              <w:br/>
              <w:t>stock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date</w:t>
            </w:r>
          </w:p>
        </w:tc>
      </w:tr>
      <w:tr>
        <w:trPr/>
        <w:tc>
          <w:tcPr>
            <w:tcW w:w="49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Liability classified warrants</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liability classified warrants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 classified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pPr>
            <w:r>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B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February 2026</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 Warrants (converted to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2026</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C-1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January 2030</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2031</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2023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2028</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Warrants Issued in 2023 (“Merger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18, 2033</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Ayna Warrant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June 2029</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Cantor Warrant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3,066,141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3,066,141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equity classified warrants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10,061,930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16,061,930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potential shares of common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25,670,265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(as defined below) which was not issued as of December 28, 2025.</w:t>
            </w:r>
          </w:p>
        </w:tc>
      </w:tr>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Ayna Warrant was accounted for under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 it met the conditions for equity classification, and therefore, the Ayna Warrant was not subsequently remeasured in future periods. The Company recognized expense of $9.2 million in the year ended December 29, 2024 for the 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Ayna Warrant became fully exercisable for the 6,000,000 shares of the Company’s common stock on September 9, 2024. The Ayna Warrant was exercised in full for cash of $0.06 million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Cantor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a warrant (“Cantor Warrant”) to a Cantor Fitzgerald &amp; Co., (“Cantor”) to purchase 3,066,141 shares of the Company’s common stock in exchange for services provided in the issuance of the July 2024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and reduced the gain on the troubled debt restructuring recognized in the Company’s annual consolidated statement of operations and comprehensive loss for fiscal 2024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The fair value of the Cantor Warrant was derived using the Black-Scholes model with the following assumptions: expected volatility of 55%; risk-free interest rate of 4.2%; expected term of 5 years; and no dividend yield. The fair value of this warrant is recorded within additional paid-in capital on the Company’s consolidated balance sheets and has not been subsequently remeasured in future periods as it met the conditions for equity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of common stock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5270"/>
        <w:gridCol w:w="60"/>
        <w:gridCol w:w="65"/>
        <w:gridCol w:w="1349"/>
        <w:gridCol w:w="60"/>
        <w:gridCol w:w="60"/>
        <w:gridCol w:w="65"/>
        <w:gridCol w:w="1349"/>
        <w:gridCol w:w="75"/>
      </w:tblGrid>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25,670,265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31,670,265</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3,174,434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2,628,996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19,164,660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11,979,368</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Stock options and RSUs, authorized for future issuance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11,603,508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2,577,895</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SAFE Agreement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2,750,000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Forward purchase agreements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6,720,000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6,720,000</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82,460,428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58,579,636</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Deferred purchase price consideration</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11,640,506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Total shares reserved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163,183,801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116,906,160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the Company’s common stock may be issued under the 2023 Plan. In addition, the number of shares of the Company’s common stock reserved for issuance under the 2023 Plan automatically increases on January 1 of each year, effective January 1, 2024 through January 1, 2033, in an amount equal to the lesser of (1) 4% of the total number of shares of the Company’s common stock outstanding on December 31 of the preceding year, or (2) a lesser number of shares of the Company’s common stock determined by the Company’s Board of Directors prior to the date of the increase. The maximum number of shares of the Company’s common stock that may be issued on the exercise of incentive stock options (“ISOs”) under the 2023 Plan is three times the number of shares available for issuance upon the 2023 Plan becoming effective (or 26,289,966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awards were granted under the Amended and Restated Complete Solaria Omnibus Incentive Plan (“2022 Plan”), the Complete Solar 2011 Stock Plan (“2011 Plan”), the Solaria Corporation 2016 Stock Plan (“2016 Plan”) and the Solaria Corporation 2006 Stock Plan (“2006 Plan”) (collectively with the 2023 Plan, “the Plans”). 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28, 2025 are also generally recognized under the cliff vesting schedule that is recognized equally over the vesting period of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9975" w:type="dxa"/>
        <w:jc w:val="left"/>
        <w:tblInd w:w="0" w:type="dxa"/>
        <w:tblLayout w:type="fixed"/>
        <w:tblCellMar>
          <w:top w:w="0" w:type="dxa"/>
          <w:left w:w="0" w:type="dxa"/>
          <w:bottom w:w="0" w:type="dxa"/>
          <w:right w:w="0" w:type="dxa"/>
        </w:tblCellMar>
      </w:tblPr>
      <w:tblGrid>
        <w:gridCol w:w="4850"/>
        <w:gridCol w:w="60"/>
        <w:gridCol w:w="60"/>
        <w:gridCol w:w="1100"/>
        <w:gridCol w:w="95"/>
        <w:gridCol w:w="60"/>
        <w:gridCol w:w="240"/>
        <w:gridCol w:w="755"/>
        <w:gridCol w:w="60"/>
        <w:gridCol w:w="60"/>
        <w:gridCol w:w="150"/>
        <w:gridCol w:w="1100"/>
        <w:gridCol w:w="60"/>
        <w:gridCol w:w="60"/>
        <w:gridCol w:w="238"/>
        <w:gridCol w:w="952"/>
        <w:gridCol w:w="75"/>
      </w:tblGrid>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75"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11,716,646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2,756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6,121,251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(398,883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(7,441,781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9,997,233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6,356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(712,467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(4,354,466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1,903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Vested and expected to vest— December 28,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4,930,300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1,903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Vested and exercisable—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1,909,809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635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during the fiscal years ended 2025 and 2024 was $0.4 million and $1.9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2615"/>
        <w:gridCol w:w="60"/>
        <w:gridCol w:w="60"/>
        <w:gridCol w:w="950"/>
        <w:gridCol w:w="80"/>
        <w:gridCol w:w="60"/>
        <w:gridCol w:w="222"/>
        <w:gridCol w:w="787"/>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RSUs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Weighted </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(669,059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1,982,135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22,235,871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1.73</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(5,351,434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14,234,360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during the fiscal years ended 2025 and 2024 was $8.1 million and $1.2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grant-date fair value of stock options using the Black-Scholes-Merton option-pricing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to calculate the fair value of stock-based compensation for the options granted in the fiscal year ended December 29, 2024:</w:t>
      </w:r>
    </w:p>
    <w:p>
      <w:pPr>
        <w:pStyle w:val="TextBody"/>
        <w:bidi w:val="0"/>
        <w:spacing w:before="0" w:after="0"/>
        <w:ind w:left="0" w:right="0" w:hanging="0"/>
        <w:jc w:val="left"/>
        <w:rPr>
          <w:caps w:val="false"/>
          <w:smallCaps w:val="false"/>
        </w:rPr>
      </w:pPr>
      <w:r>
        <w:rPr>
          <w:caps w:val="false"/>
          <w:smallCaps w:val="false"/>
        </w:rPr>
        <w:t> </w:t>
      </w:r>
    </w:p>
    <w:tbl>
      <w:tblPr>
        <w:tblW w:w="3675" w:type="dxa"/>
        <w:jc w:val="left"/>
        <w:tblInd w:w="0" w:type="dxa"/>
        <w:tblLayout w:type="fixed"/>
        <w:tblCellMar>
          <w:top w:w="0" w:type="dxa"/>
          <w:left w:w="0" w:type="dxa"/>
          <w:bottom w:w="0" w:type="dxa"/>
          <w:right w:w="0" w:type="dxa"/>
        </w:tblCellMar>
      </w:tblPr>
      <w:tblGrid>
        <w:gridCol w:w="2000"/>
        <w:gridCol w:w="60"/>
        <w:gridCol w:w="60"/>
        <w:gridCol w:w="1355"/>
        <w:gridCol w:w="200"/>
      </w:tblGrid>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 – 6.32</w:t>
            </w:r>
          </w:p>
        </w:tc>
        <w:tc>
          <w:tcPr>
            <w:tcW w:w="20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58.45% – 62.39 </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 – 4.71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 The Company uses the simplified method to calculate the expected term of stock option grants to employees as the Company does not have sufficient comparable historical exercise data to provide a reasonable basis upon which to estimate the expected term of stock options granted to employees. The expected term equals the arithmetic average of the vesting term and the original contractual term of the option (generally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Due to the Company’s limited operating history and a lack of company specific historical and implied volatility data, the Company 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rate assumption is based on U.S. Treasury instruments with maturities similar to the expected term of the Company’s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dividends</w:t>
      </w:r>
      <w:r>
        <w:rPr>
          <w:rFonts w:ascii="Times New Roman;Times;Serif" w:hAnsi="Times New Roman;Times;Serif"/>
          <w:b w:val="false"/>
          <w:i w:val="false"/>
          <w:caps w:val="false"/>
          <w:smallCaps w:val="false"/>
          <w:sz w:val="20"/>
        </w:rPr>
        <w:t xml:space="preserve"> — The Company has not issued any dividends in its history and does not expect to issue dividends over the life of the options and therefore has estimated the dividend yield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Fair value of common stock</w:t>
      </w:r>
      <w:r>
        <w:rPr>
          <w:rFonts w:ascii="Times New Roman;Times;Serif" w:hAnsi="Times New Roman;Times;Serif"/>
          <w:b w:val="false"/>
          <w:i w:val="false"/>
          <w:caps w:val="false"/>
          <w:smallCaps w:val="false"/>
          <w:sz w:val="20"/>
        </w:rPr>
        <w:t xml:space="preserve"> — The fair value of the shares of common stock underlying the stock-based awards is based on the price of the Company’s common stock in the open market on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992" w:type="dxa"/>
        <w:jc w:val="left"/>
        <w:tblInd w:w="0" w:type="dxa"/>
        <w:tblLayout w:type="fixed"/>
        <w:tblCellMar>
          <w:top w:w="0" w:type="dxa"/>
          <w:left w:w="0" w:type="dxa"/>
          <w:bottom w:w="0" w:type="dxa"/>
          <w:right w:w="0" w:type="dxa"/>
        </w:tblCellMar>
      </w:tblPr>
      <w:tblGrid>
        <w:gridCol w:w="3890"/>
        <w:gridCol w:w="60"/>
        <w:gridCol w:w="241"/>
        <w:gridCol w:w="1173"/>
        <w:gridCol w:w="69"/>
        <w:gridCol w:w="69"/>
        <w:gridCol w:w="283"/>
        <w:gridCol w:w="1132"/>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3,003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2,618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598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4,867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2,312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pPr>
            <w:r>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10,488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3,067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was a total of $1.1 million and $23.1 million of unrecognized stock-based compensation costs related to service-based options and RSUs, respectively. Such compensation cost is expected to be recognized over a weighted-average period of approximately 2.4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Company’s Board of Directors approved the modification to accelerate the vesting of 788,192 options, for employees that were terminated. Additionally, the Board of Directors approved an extension of the post termination exercise period for 4,343,172 vested options of terminated employees in the fiscal years ended December 29, 2024. In connection with the modifications, the Company recorded incremental stock-based compensation expense of $0.7 million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loss per share. No dividends were declared or paid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computation of the Company’s basic and diluted net loss per share attributable to common stockholders </w:t>
      </w:r>
      <w:r>
        <w:rPr>
          <w:rFonts w:ascii="Times New Roman;Times;Serif" w:hAnsi="Times New Roman;Times;Serif"/>
          <w:b w:val="false"/>
          <w:i/>
          <w:caps w:val="false"/>
          <w:smallCaps w:val="false"/>
          <w:sz w:val="20"/>
        </w:rPr>
        <w:t>(in thousands, except share and per share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6"/>
        <w:gridCol w:w="60"/>
        <w:gridCol w:w="157"/>
        <w:gridCol w:w="1249"/>
        <w:gridCol w:w="95"/>
        <w:gridCol w:w="60"/>
        <w:gridCol w:w="157"/>
        <w:gridCol w:w="1249"/>
        <w:gridCol w:w="112"/>
      </w:tblGrid>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December 29,</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left"/>
              <w:rPr>
                <w:b/>
              </w:rPr>
            </w:pPr>
            <w:r>
              <w:rPr>
                <w:b/>
              </w:rPr>
              <w:t>Numerator for basic loss per share:</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(54,444</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Net loss from 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b/>
              </w:rPr>
            </w:pPr>
            <w:r>
              <w:rPr>
                <w:b/>
              </w:rPr>
              <w:t>Numerator for diluted loss per share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Impact of September 2024 Notes derivative liability and interest expense, net of tax</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(35,886</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(92,337</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Weighted average shares: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Denominator for basic loss per share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87,108,928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66,655,837</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September 2024 Notes derivative liability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9,137,711</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Denominator for diluted loss per share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75,793,548</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b/>
              </w:rPr>
            </w:pPr>
            <w:r>
              <w:rPr>
                <w:b/>
              </w:rPr>
              <w:t>Net loss per share: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(0.82</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(1.19</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net loss per share attributable to common stockholders is inclusive of warrants with an insignificant exercise price and the minimum number of shares to be issued in connection with the deferred consideration related to the Ambia acquisition. The Company’s calculation of the weighted average shares outstanding with an insignificant exercise price was 234,610 and 3,427,324 warrants (which assumes that the warrants were outstanding as of the beginning of the period or the date of the grant, whichever is earlier) for the fiscal years ended December 28, 2025, and December 29, 2024, respectively. The computation of diluted net loss per share attributable to common stockholders is inclusive of the impact of the Company’s September 2024 Notes (which were dilutive) using the if-converted method for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283" w:type="dxa"/>
        <w:jc w:val="left"/>
        <w:tblInd w:w="0" w:type="dxa"/>
        <w:tblLayout w:type="fixed"/>
        <w:tblCellMar>
          <w:top w:w="0" w:type="dxa"/>
          <w:left w:w="0" w:type="dxa"/>
          <w:bottom w:w="0" w:type="dxa"/>
          <w:right w:w="0" w:type="dxa"/>
        </w:tblCellMar>
      </w:tblPr>
      <w:tblGrid>
        <w:gridCol w:w="6200"/>
        <w:gridCol w:w="60"/>
        <w:gridCol w:w="65"/>
        <w:gridCol w:w="1349"/>
        <w:gridCol w:w="60"/>
        <w:gridCol w:w="60"/>
        <w:gridCol w:w="73"/>
        <w:gridCol w:w="1341"/>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218,847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25,434,069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82,460,428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27,364,717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8,084,064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11,979,368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Third SAFE Agreement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Deferred consideration shares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center"/>
          </w:tcPr>
          <w:p>
            <w:pPr>
              <w:pStyle w:val="TableContents"/>
              <w:bidi w:val="0"/>
              <w:spacing w:before="0" w:after="283"/>
              <w:jc w:val="right"/>
              <w:rPr/>
            </w:pPr>
            <w:r>
              <w:rPr/>
              <w:t>11,640,506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Potential common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FFFFFF" w:val="clear"/>
            <w:tcMar>
              <w:bottom w:w="28" w:type="dxa"/>
            </w:tcMar>
            <w:vAlign w:val="center"/>
          </w:tcPr>
          <w:p>
            <w:pPr>
              <w:pStyle w:val="TableContents"/>
              <w:bidi w:val="0"/>
              <w:spacing w:before="0" w:after="283"/>
              <w:jc w:val="right"/>
              <w:rPr/>
            </w:pPr>
            <w:r>
              <w:rPr/>
              <w:t>105,153,845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10" w:space="0" w:color="000000"/>
            </w:tcBorders>
            <w:shd w:fill="FFFFFF" w:val="clear"/>
            <w:tcMar>
              <w:bottom w:w="28" w:type="dxa"/>
            </w:tcMar>
            <w:vAlign w:val="center"/>
          </w:tcPr>
          <w:p>
            <w:pPr>
              <w:pStyle w:val="TableContents"/>
              <w:bidi w:val="0"/>
              <w:spacing w:before="0" w:after="283"/>
              <w:jc w:val="right"/>
              <w:rPr/>
            </w:pPr>
            <w:r>
              <w:rPr/>
              <w:t>64,778,154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Segment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71"/>
        <w:gridCol w:w="60"/>
        <w:gridCol w:w="172"/>
        <w:gridCol w:w="988"/>
        <w:gridCol w:w="95"/>
        <w:gridCol w:w="60"/>
        <w:gridCol w:w="170"/>
        <w:gridCol w:w="978"/>
        <w:gridCol w:w="60"/>
        <w:gridCol w:w="60"/>
        <w:gridCol w:w="140"/>
        <w:gridCol w:w="680"/>
        <w:gridCol w:w="60"/>
        <w:gridCol w:w="60"/>
        <w:gridCol w:w="140"/>
        <w:gridCol w:w="800"/>
        <w:gridCol w:w="111"/>
      </w:tblGrid>
      <w:tr>
        <w:trPr/>
        <w:tc>
          <w:tcPr>
            <w:tcW w:w="55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111" w:type="dxa"/>
            <w:tcBorders/>
            <w:vAlign w:val="center"/>
          </w:tcPr>
          <w:p>
            <w:pPr>
              <w:pStyle w:val="TableContents"/>
              <w:bidi w:val="0"/>
              <w:spacing w:before="0" w:after="283"/>
              <w:jc w:val="left"/>
              <w:rPr/>
            </w:pPr>
            <w:r>
              <w:rPr/>
              <w:t> </w:t>
            </w:r>
          </w:p>
        </w:tc>
      </w:tr>
      <w:tr>
        <w:trPr/>
        <w:tc>
          <w:tcPr>
            <w:tcW w:w="557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160,987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124,595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300,000</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88,400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82,288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26,298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5,032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25,154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3,253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58,597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center"/>
          </w:tcPr>
          <w:p>
            <w:pPr>
              <w:pStyle w:val="TableContents"/>
              <w:bidi w:val="0"/>
              <w:spacing w:before="0" w:after="283"/>
              <w:jc w:val="right"/>
              <w:rPr/>
            </w:pPr>
            <w:r>
              <w:rPr/>
              <w:t>29,648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(37,462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FFFFFF" w:val="clear"/>
            <w:tcMar>
              <w:bottom w:w="28" w:type="dxa"/>
            </w:tcMar>
            <w:vAlign w:val="center"/>
          </w:tcPr>
          <w:p>
            <w:pPr>
              <w:pStyle w:val="TableContents"/>
              <w:bidi w:val="0"/>
              <w:spacing w:before="0" w:after="283"/>
              <w:jc w:val="right"/>
              <w:rPr/>
            </w:pPr>
            <w:r>
              <w:rPr/>
              <w:t>4,374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(26,931</w:t>
            </w:r>
          </w:p>
        </w:tc>
        <w:tc>
          <w:tcPr>
            <w:tcW w:w="111" w:type="dxa"/>
            <w:tcBorders/>
            <w:shd w:fill="FFFFFF" w:val="clear"/>
            <w:vAlign w:val="center"/>
          </w:tcPr>
          <w:p>
            <w:pPr>
              <w:pStyle w:val="TableContents"/>
              <w:bidi w:val="0"/>
              <w:spacing w:before="0" w:after="283"/>
              <w:jc w:val="left"/>
              <w:rPr/>
            </w:pPr>
            <w:r>
              <w:rPr/>
              <w:t>)</w:t>
            </w:r>
          </w:p>
        </w:tc>
      </w:tr>
      <w:tr>
        <w:trPr/>
        <w:tc>
          <w:tcPr>
            <w:tcW w:w="55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571" w:type="dxa"/>
            <w:tcBorders/>
            <w:shd w:fill="FFFFFF" w:val="clear"/>
            <w:vAlign w:val="center"/>
          </w:tcPr>
          <w:p>
            <w:pPr>
              <w:pStyle w:val="TableContents"/>
              <w:bidi w:val="0"/>
              <w:spacing w:before="0" w:after="283"/>
              <w:jc w:val="left"/>
              <w:rPr>
                <w:i/>
              </w:rPr>
            </w:pPr>
            <w:r>
              <w:rPr>
                <w:i/>
              </w:rPr>
              <w:t>Reconciliation of segment income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571"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(25,095</w:t>
            </w:r>
          </w:p>
        </w:tc>
        <w:tc>
          <w:tcPr>
            <w:tcW w:w="111" w:type="dxa"/>
            <w:tcBorders/>
            <w:shd w:fill="FFFFFF" w:val="clear"/>
            <w:vAlign w:val="center"/>
          </w:tcPr>
          <w:p>
            <w:pPr>
              <w:pStyle w:val="TableContents"/>
              <w:bidi w:val="0"/>
              <w:spacing w:before="0" w:after="283"/>
              <w:jc w:val="left"/>
              <w:rPr/>
            </w:pPr>
            <w:r>
              <w:rPr/>
              <w:t>)</w:t>
            </w:r>
          </w:p>
        </w:tc>
      </w:tr>
      <w:tr>
        <w:trPr/>
        <w:tc>
          <w:tcPr>
            <w:tcW w:w="557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9,347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571"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245"/>
        <w:gridCol w:w="759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28, 2025, depreciation and amortization expense was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50"/>
        <w:gridCol w:w="60"/>
        <w:gridCol w:w="824"/>
        <w:gridCol w:w="1884"/>
        <w:gridCol w:w="60"/>
        <w:gridCol w:w="60"/>
        <w:gridCol w:w="605"/>
        <w:gridCol w:w="1390"/>
        <w:gridCol w:w="60"/>
        <w:gridCol w:w="60"/>
        <w:gridCol w:w="211"/>
        <w:gridCol w:w="484"/>
        <w:gridCol w:w="60"/>
        <w:gridCol w:w="60"/>
        <w:gridCol w:w="170"/>
        <w:gridCol w:w="390"/>
        <w:gridCol w:w="77"/>
      </w:tblGrid>
      <w:tr>
        <w:trPr/>
        <w:tc>
          <w:tcPr>
            <w:tcW w:w="3750" w:type="dxa"/>
            <w:tcBorders>
              <w:bottom w:val="single" w:sz="12" w:space="0" w:color="000000"/>
            </w:tcBorders>
            <w:vAlign w:val="center"/>
          </w:tcPr>
          <w:p>
            <w:pPr>
              <w:pStyle w:val="TableContents"/>
              <w:bidi w:val="0"/>
              <w:spacing w:before="0" w:after="283"/>
              <w:jc w:val="left"/>
              <w:rPr>
                <w:b/>
                <w:i/>
              </w:rPr>
            </w:pPr>
            <w:r>
              <w:rPr>
                <w:b/>
                <w:i/>
              </w:rPr>
              <w:t>(in millions)</w:t>
            </w:r>
          </w:p>
        </w:tc>
        <w:tc>
          <w:tcPr>
            <w:tcW w:w="60" w:type="dxa"/>
            <w:tcBorders/>
            <w:tcMar>
              <w:bottom w:w="0" w:type="dxa"/>
            </w:tcMar>
            <w:vAlign w:val="center"/>
          </w:tcPr>
          <w:p>
            <w:pPr>
              <w:pStyle w:val="TableContents"/>
              <w:bidi w:val="0"/>
              <w:spacing w:before="0" w:after="283"/>
              <w:jc w:val="left"/>
              <w:rPr/>
            </w:pPr>
            <w:r>
              <w:rPr/>
              <w:t> </w:t>
            </w:r>
          </w:p>
        </w:tc>
        <w:tc>
          <w:tcPr>
            <w:tcW w:w="2708" w:type="dxa"/>
            <w:gridSpan w:val="2"/>
            <w:tcBorders>
              <w:bottom w:val="single" w:sz="12" w:space="0" w:color="000000"/>
            </w:tcBorders>
            <w:vAlign w:val="center"/>
          </w:tcPr>
          <w:p>
            <w:pPr>
              <w:pStyle w:val="TableContents"/>
              <w:bidi w:val="0"/>
              <w:spacing w:before="0" w:after="283"/>
              <w:jc w:val="center"/>
              <w:rPr>
                <w:b/>
              </w:rPr>
            </w:pPr>
            <w:r>
              <w:rPr>
                <w:b/>
              </w:rPr>
              <w:t>Residential Solar 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5" w:type="dxa"/>
            <w:gridSpan w:val="2"/>
            <w:tcBorders>
              <w:bottom w:val="single" w:sz="12" w:space="0" w:color="000000"/>
            </w:tcBorders>
            <w:vAlign w:val="center"/>
          </w:tcPr>
          <w:p>
            <w:pPr>
              <w:pStyle w:val="TableContents"/>
              <w:bidi w:val="0"/>
              <w:spacing w:before="0" w:after="283"/>
              <w:jc w:val="center"/>
              <w:rPr>
                <w:b/>
              </w:rPr>
            </w:pPr>
            <w:r>
              <w:rPr>
                <w:b/>
              </w:rPr>
              <w:t>New Homes 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left"/>
              <w:rPr/>
            </w:pPr>
            <w:r>
              <w:rPr/>
              <w:t> </w:t>
            </w:r>
          </w:p>
        </w:tc>
      </w:tr>
      <w:tr>
        <w:trPr/>
        <w:tc>
          <w:tcPr>
            <w:tcW w:w="3750" w:type="dxa"/>
            <w:tcBorders/>
            <w:tcMar>
              <w:bottom w:w="0" w:type="dxa"/>
            </w:tcMar>
            <w:vAlign w:val="center"/>
          </w:tcPr>
          <w:p>
            <w:pPr>
              <w:pStyle w:val="TableContents"/>
              <w:bidi w:val="0"/>
              <w:spacing w:before="0" w:after="283"/>
              <w:jc w:val="left"/>
              <w:rPr/>
            </w:pPr>
            <w:r>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270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3750"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left"/>
              <w:rPr/>
            </w:pPr>
            <w:r>
              <w:rPr/>
              <w:t>$</w:t>
            </w:r>
          </w:p>
        </w:tc>
        <w:tc>
          <w:tcPr>
            <w:tcW w:w="1884" w:type="dxa"/>
            <w:tcBorders/>
            <w:shd w:fill="CCEEFF" w:val="clear"/>
            <w:tcMar>
              <w:bottom w:w="0" w:type="dxa"/>
            </w:tcMar>
            <w:vAlign w:val="center"/>
          </w:tcPr>
          <w:p>
            <w:pPr>
              <w:pStyle w:val="TableContents"/>
              <w:bidi w:val="0"/>
              <w:spacing w:before="0" w:after="283"/>
              <w:jc w:val="right"/>
              <w:rPr/>
            </w:pPr>
            <w:r>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w:t>
            </w:r>
          </w:p>
        </w:tc>
        <w:tc>
          <w:tcPr>
            <w:tcW w:w="1390" w:type="dxa"/>
            <w:tcBorders/>
            <w:shd w:fill="CCEEFF" w:val="clear"/>
            <w:tcMar>
              <w:bottom w:w="0" w:type="dxa"/>
            </w:tcMar>
            <w:vAlign w:val="center"/>
          </w:tcPr>
          <w:p>
            <w:pPr>
              <w:pStyle w:val="TableContents"/>
              <w:bidi w:val="0"/>
              <w:spacing w:before="0" w:after="283"/>
              <w:jc w:val="right"/>
              <w:rPr/>
            </w:pPr>
            <w:r>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484" w:type="dxa"/>
            <w:tcBorders/>
            <w:shd w:fill="CCEEFF" w:val="clear"/>
            <w:tcMar>
              <w:bottom w:w="0" w:type="dxa"/>
            </w:tcMar>
            <w:vAlign w:val="center"/>
          </w:tcPr>
          <w:p>
            <w:pPr>
              <w:pStyle w:val="TableContents"/>
              <w:bidi w:val="0"/>
              <w:spacing w:before="0" w:after="283"/>
              <w:jc w:val="right"/>
              <w:rPr/>
            </w:pPr>
            <w:r>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390" w:type="dxa"/>
            <w:tcBorders/>
            <w:shd w:fill="CCEEFF" w:val="clear"/>
            <w:tcMar>
              <w:bottom w:w="0" w:type="dxa"/>
            </w:tcMar>
            <w:vAlign w:val="center"/>
          </w:tcPr>
          <w:p>
            <w:pPr>
              <w:pStyle w:val="TableContents"/>
              <w:bidi w:val="0"/>
              <w:spacing w:before="0" w:after="283"/>
              <w:jc w:val="right"/>
              <w:rPr/>
            </w:pPr>
            <w:r>
              <w:rPr/>
              <w:t>2.2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75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left"/>
              <w:rPr/>
            </w:pPr>
            <w:r>
              <w:rPr/>
              <w:t> </w:t>
            </w:r>
          </w:p>
        </w:tc>
        <w:tc>
          <w:tcPr>
            <w:tcW w:w="1884" w:type="dxa"/>
            <w:tcBorders>
              <w:bottom w:val="single" w:sz="12" w:space="0" w:color="000000"/>
            </w:tcBorders>
            <w:shd w:fill="FFFFFF" w:val="clear"/>
            <w:vAlign w:val="center"/>
          </w:tcPr>
          <w:p>
            <w:pPr>
              <w:pStyle w:val="TableContents"/>
              <w:bidi w:val="0"/>
              <w:spacing w:before="0" w:after="283"/>
              <w:jc w:val="right"/>
              <w:rPr/>
            </w:pPr>
            <w:r>
              <w:rPr/>
              <w:t>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vAlign w:val="center"/>
          </w:tcPr>
          <w:p>
            <w:pPr>
              <w:pStyle w:val="TableContents"/>
              <w:bidi w:val="0"/>
              <w:spacing w:before="0" w:after="283"/>
              <w:jc w:val="left"/>
              <w:rPr/>
            </w:pPr>
            <w:r>
              <w:rPr/>
              <w:t> </w:t>
            </w:r>
          </w:p>
        </w:tc>
        <w:tc>
          <w:tcPr>
            <w:tcW w:w="1390" w:type="dxa"/>
            <w:tcBorders>
              <w:bottom w:val="single" w:sz="12" w:space="0" w:color="000000"/>
            </w:tcBorders>
            <w:shd w:fill="FFFFFF" w:val="clear"/>
            <w:vAlign w:val="center"/>
          </w:tcPr>
          <w:p>
            <w:pPr>
              <w:pStyle w:val="TableContents"/>
              <w:bidi w:val="0"/>
              <w:spacing w:before="0" w:after="283"/>
              <w:jc w:val="right"/>
              <w:rPr/>
            </w:pPr>
            <w:r>
              <w:rPr/>
              <w:t>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484" w:type="dxa"/>
            <w:tcBorders>
              <w:bottom w:val="single" w:sz="12" w:space="0" w:color="000000"/>
            </w:tcBorders>
            <w:shd w:fill="FFFFFF" w:val="clear"/>
            <w:vAlign w:val="center"/>
          </w:tcPr>
          <w:p>
            <w:pPr>
              <w:pStyle w:val="TableContents"/>
              <w:bidi w:val="0"/>
              <w:spacing w:before="0" w:after="283"/>
              <w:jc w:val="right"/>
              <w:rPr/>
            </w:pPr>
            <w:r>
              <w:rPr/>
              <w:t>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pPr>
            <w:r>
              <w:rPr/>
              <w:t>7.0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75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bottom w:val="double" w:sz="10" w:space="0" w:color="000000"/>
            </w:tcBorders>
            <w:shd w:fill="CCEEFF" w:val="clear"/>
            <w:vAlign w:val="center"/>
          </w:tcPr>
          <w:p>
            <w:pPr>
              <w:pStyle w:val="TableContents"/>
              <w:bidi w:val="0"/>
              <w:spacing w:before="0" w:after="283"/>
              <w:jc w:val="left"/>
              <w:rPr/>
            </w:pPr>
            <w:r>
              <w:rPr/>
              <w:t>$</w:t>
            </w:r>
          </w:p>
        </w:tc>
        <w:tc>
          <w:tcPr>
            <w:tcW w:w="1884" w:type="dxa"/>
            <w:tcBorders>
              <w:bottom w:val="double" w:sz="10" w:space="0" w:color="000000"/>
            </w:tcBorders>
            <w:shd w:fill="CCEEFF" w:val="clear"/>
            <w:vAlign w:val="center"/>
          </w:tcPr>
          <w:p>
            <w:pPr>
              <w:pStyle w:val="TableContents"/>
              <w:bidi w:val="0"/>
              <w:spacing w:before="0" w:after="283"/>
              <w:jc w:val="right"/>
              <w:rPr/>
            </w:pPr>
            <w:r>
              <w:rPr/>
              <w:t>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vAlign w:val="center"/>
          </w:tcPr>
          <w:p>
            <w:pPr>
              <w:pStyle w:val="TableContents"/>
              <w:bidi w:val="0"/>
              <w:spacing w:before="0" w:after="283"/>
              <w:jc w:val="left"/>
              <w:rPr/>
            </w:pPr>
            <w:r>
              <w:rPr/>
              <w:t>$</w:t>
            </w:r>
          </w:p>
        </w:tc>
        <w:tc>
          <w:tcPr>
            <w:tcW w:w="1390" w:type="dxa"/>
            <w:tcBorders>
              <w:bottom w:val="double" w:sz="10" w:space="0" w:color="000000"/>
            </w:tcBorders>
            <w:shd w:fill="CCEEFF" w:val="clear"/>
            <w:vAlign w:val="center"/>
          </w:tcPr>
          <w:p>
            <w:pPr>
              <w:pStyle w:val="TableContents"/>
              <w:bidi w:val="0"/>
              <w:spacing w:before="0" w:after="283"/>
              <w:jc w:val="right"/>
              <w:rPr/>
            </w:pPr>
            <w:r>
              <w:rPr/>
              <w:t>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pPr>
            <w:r>
              <w:rPr/>
              <w:t>$</w:t>
            </w:r>
          </w:p>
        </w:tc>
        <w:tc>
          <w:tcPr>
            <w:tcW w:w="484" w:type="dxa"/>
            <w:tcBorders>
              <w:bottom w:val="double" w:sz="10" w:space="0" w:color="000000"/>
            </w:tcBorders>
            <w:shd w:fill="CCEEFF" w:val="cle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390" w:type="dxa"/>
            <w:tcBorders>
              <w:bottom w:val="double" w:sz="10" w:space="0" w:color="000000"/>
            </w:tcBorders>
            <w:shd w:fill="CCEEFF" w:val="clear"/>
            <w:vAlign w:val="center"/>
          </w:tcPr>
          <w:p>
            <w:pPr>
              <w:pStyle w:val="TableContents"/>
              <w:bidi w:val="0"/>
              <w:spacing w:before="0" w:after="283"/>
              <w:jc w:val="right"/>
              <w:rPr/>
            </w:pPr>
            <w:r>
              <w:rPr/>
              <w:t>9.2</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F-107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1"/>
        <w:gridCol w:w="60"/>
        <w:gridCol w:w="184"/>
        <w:gridCol w:w="989"/>
        <w:gridCol w:w="118"/>
        <w:gridCol w:w="74"/>
        <w:gridCol w:w="204"/>
        <w:gridCol w:w="951"/>
        <w:gridCol w:w="118"/>
        <w:gridCol w:w="74"/>
        <w:gridCol w:w="173"/>
        <w:gridCol w:w="994"/>
        <w:gridCol w:w="115"/>
      </w:tblGrid>
      <w:tr>
        <w:trPr/>
        <w:tc>
          <w:tcPr>
            <w:tcW w:w="6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7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29, 2024</w:t>
            </w:r>
          </w:p>
        </w:tc>
        <w:tc>
          <w:tcPr>
            <w:tcW w:w="115" w:type="dxa"/>
            <w:tcBorders/>
            <w:vAlign w:val="center"/>
          </w:tcPr>
          <w:p>
            <w:pPr>
              <w:pStyle w:val="TableContents"/>
              <w:bidi w:val="0"/>
              <w:spacing w:before="0" w:after="283"/>
              <w:jc w:val="left"/>
              <w:rPr/>
            </w:pPr>
            <w:r>
              <w:rPr/>
              <w:t> </w:t>
            </w:r>
          </w:p>
        </w:tc>
      </w:tr>
      <w:tr>
        <w:trPr/>
        <w:tc>
          <w:tcPr>
            <w:tcW w:w="615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br/>
              <w:t>Business</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67,460</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41,282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108,742</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45,266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23,974</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23,388</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1,202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6,827</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57,641</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18,953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Segment operating (loss)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(65,662</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(2,847</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(68,509</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i/>
              </w:rPr>
            </w:pPr>
            <w:r>
              <w:rPr>
                <w:i/>
              </w:rPr>
              <w:t>Reconciliation of segment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(16,223</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15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19</w:t>
            </w:r>
          </w:p>
        </w:tc>
        <w:tc>
          <w:tcPr>
            <w:tcW w:w="115" w:type="dxa"/>
            <w:tcBorders/>
            <w:shd w:fill="CCEE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7,932</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Gain on troubled debt restructuring</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Loss from continuing operations before taxes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4" w:type="dxa"/>
            <w:tcBorders>
              <w:bottom w:val="double" w:sz="10" w:space="0" w:color="000000"/>
            </w:tcBorders>
            <w:shd w:fill="FFFFFF" w:val="clear"/>
            <w:tcMar>
              <w:bottom w:w="28" w:type="dxa"/>
            </w:tcMar>
            <w:vAlign w:val="center"/>
          </w:tcPr>
          <w:p>
            <w:pPr>
              <w:pStyle w:val="TableContents"/>
              <w:bidi w:val="0"/>
              <w:spacing w:before="0" w:after="283"/>
              <w:jc w:val="right"/>
              <w:rPr/>
            </w:pPr>
            <w:r>
              <w:rPr/>
              <w:t>(54,444</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29, 2024, depreciation and amortization expense was $2.6 million and $0.1 million for the Residential Solar Installation and New Homes Business reportable segments, respectively.</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corporate expense represents costs primarily legacy costs that were not expected to be ongoing subsequent to the acquisition of the SunPower Businesses.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recast its general and administrative expenses within results of operations by reportable segment for the fiscal year ended December 29, 2024 to conform to the fiscal 2025 presentation. In fiscal 2024, the Company allocated those costs which were specifically associated with the specific reportable segment with the remainder being presented as unallocated. Beginning in fiscal 2025, the Company changed its method to an allocation of general and administrative costs based upon relative revenue of each reportable segment consistent with the presentation of fiscal 2025 results segment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Employee Benefit Plan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Related Party Transactions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consolidated financial statements and the following notes to the consolidated financial statements for details and disclosures relating to related party transactions entered into by the Company; </w:t>
      </w:r>
      <w:r>
        <w:rPr>
          <w:rFonts w:ascii="Times New Roman;Times;Serif" w:hAnsi="Times New Roman;Times;Serif"/>
          <w:b/>
          <w:i w:val="false"/>
          <w:caps w:val="false"/>
          <w:smallCaps w:val="false"/>
          <w:sz w:val="20"/>
        </w:rPr>
        <w:t xml:space="preserve">Note 2 – Basis of Presentation and Summary of Significant Accounting Policies; Note 6 – Supplemental Balance Sheet Information; Note 8 – Forward Purchase Agreements, Note 9 – SAFE Agreements, Note 10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White Lion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Purchase Agreement; Convertible Note; Convertible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(the “Investor”). Pursuant to the SEPA, the Investor will advance up to $20.0 million to the Company in the form of a promissory note (“Promissory Note”).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the Investor. The Promissory Notes are convertible into shares of the Company’s common stock. Each tranche of a Promissory Note will be advanced less a discount in the amount equal to 10% of the principal amount of such tranche. The first tranche was disbursed on January 27, 2026 in the principal amount of $1.9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the Company will have the right, from time to time, until January 27, 2029 (unless the SEPA is terminated earlier), to require the Investor to purchase up to $25.0 million of shares of the Company’s common stock (“Commitment Amount”) subject to certain limitations and conditions set forth in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the Investor a structuring and due diligence fee of $0.05 million and agreed to issue to the Investor 175,000 shares of the Company’s common stock within three days of the Effective Date as a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the Investor has purchased from the Company under the SEPA the Commitment Amount in full. The Company may terminate the SEPA at any time upon five trading days’ prior written notice to the Investor, provided that there are no outstanding advance notices under which the Company is yet to issue shares of its common stock, there are no amounts outstanding under the Promissory Notes, and provided that the Company has paid all amounts owed to the Investor pursuant to the SEPA. The Company and the Investor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further Purchase Agreement pursuant to which the Investor purchased and the Company issued a convertible debenture in the principal amount of $10.0 million (the “Debenture”). At the closing under such purchase agreement, the Company issued the Debenture to the Investor in the original principal amount of $10.0 million for a purchase price of $9.0 million less certain fees payable under the purchase agreement. The Debenture accrues interest on the outstanding principal balance at an annual rate equal to 0%, which will increase to an annual rate of 18% upon the occurrence of an event of default under the Debenture for so long as such event remains uncured. The Debenture will mature on March 6, 2027, which may be extended at the option of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May 6, 2026, June 6, 2026, July 6, 2026, August 6, 2026 and September 6, 2026 (each an “Installment Date”), the Company is required to pay an installment amount under the Debenture equal to (i) $2.0 million, plus (ii) a $0.06 million payment premium, and plus (iii) any accrued and unpaid interest (collectively, the “Installment Amount”). The Company may repay each applicable Installment Amount, at the Company’s option, (a) in cash on or before the applicable Installment Date or (b) by submitting an advance notice under the SEPA, or a combination of a payment in cash and delivery of such advance notice. At any time after the Effective Date, the Investor may convert any portion of the outstanding balance under the Debenture into shares of the Company’s common stock at a fixed price of $2.50 per share (the “Fixed Price”). Additionally, at any time on or after any Installment Date, the Investor may convert any portion of any due and unpaid Installment Amount outstanding under the Debenture into shares of the Company’s common stock at a price equal to 95% of the volume weighted average price (“VWAP”) of the common stock during the five trading days prior to the conversion date (but the conversion price will not be lower than the “Floor Price”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its option, shall have the right to redeem early all or a portion of the amounts outstanding under the Debenture upon written notice to the Investor (an “Optional Redemption”), provided, that the Company may only deliver a notice of Optional Redemption if the VWAP of the Common Stock at the time the notice is delivered is less than the Fixed Price. In connection with an Optional Redemption, the redemption price payable by the Company will be equal to (i) the outstanding principal amount of the Debenture being redeemed, plus (ii) a payment premium equal to 3% of the principal amount being repaid, and plus (iii) accrued and unpaid interest under the Debenture; however, the prepayment premium shall not apply to any Optional Redemption of the Debenture if the redemption price is paid on or before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 of Cobalt Power Systems,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(“Share Purchase Agreement”) with Cobalt Power Systems, Inc., a California corporation (“Cobalt”) and its stockholders to acquire all of the outstanding stock of Cobalt (“Cobalt Acquisition”). The Company completed the Cobalt Acquisition on February 2, 2026 (“Cobalt Closing”) for (a) 1.8 million shares of the Company’s common stock issued at the Cobalt Closing and (ii) an agreement to issue an additional $3.33 million shares of the Company’s common stock on each of the 12-month and 18-month anniversaries of the Cobalt Closing.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Cobalt designs and installs solar systems. The initial accounting for the business combination is incomplete as a result of the timing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that if the SEPA Debenture restricts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the Member agreed that the interest rate applicable to the Seller Note will increase to 10.0% per annum if the principal amount of the Seller Note remains outstanding after May 15, 2026. As an inducement to the Member’s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serif" w:hAnsi="Times New Roman;serif"/>
          <w:b/>
          <w:i/>
          <w:caps w:val="false"/>
          <w:smallCaps w:val="false"/>
          <w:sz w:val="20"/>
        </w:rPr>
      </w:pPr>
      <w:r>
        <w:rPr>
          <w:rFonts w:ascii="Times New Roman;serif" w:hAnsi="Times New Roman;serif"/>
          <w:b/>
          <w:i/>
          <w:caps w:val="false"/>
          <w:smallCaps w:val="false"/>
          <w:sz w:val="20"/>
        </w:rPr>
        <w:t>Investor Deposit by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with the Rodgers Revocable Trust in exchange for the $5.0 million received. The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28, 2025, $2.8 million of the September 2024 Notes were converted by holders into 1.6 million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and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50"/>
        <w:gridCol w:w="60"/>
        <w:gridCol w:w="515"/>
      </w:tblGrid>
      <w:tr>
        <w:trPr/>
        <w:tc>
          <w:tcPr>
            <w:tcW w:w="7550"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D_001"/>
      <w:bookmarkEnd w:id="33"/>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Fremont,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Sunder Energy LLC (the Company), which comprise the balance sheets as of December 31, 2024 and 2023, and the related statements of operations, changes in member’s deficit, and cash flows for the years ended December 31, 2024 and 2023,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described in Note 2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Responsibilities of Management for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Responsibilities for the Audit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D_002"/>
      <w:bookmarkEnd w:id="34"/>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1"/>
        <w:gridCol w:w="60"/>
        <w:gridCol w:w="153"/>
        <w:gridCol w:w="744"/>
        <w:gridCol w:w="103"/>
        <w:gridCol w:w="65"/>
        <w:gridCol w:w="153"/>
        <w:gridCol w:w="695"/>
        <w:gridCol w:w="101"/>
      </w:tblGrid>
      <w:tr>
        <w:trPr/>
        <w:tc>
          <w:tcPr>
            <w:tcW w:w="813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91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1,524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1,710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2,018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Accounts receivable, net of allowance for credit losses of $588 and $54 as of December 31, 2024 and 2023, respectively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2,991</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229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559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94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1,839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20,600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3,872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298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349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397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506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pPr>
            <w:r>
              <w:rPr/>
              <w:t>4,977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b/>
              </w:rPr>
            </w:pPr>
            <w:r>
              <w:rPr>
                <w:b/>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1,402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3,487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6,511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255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Line of credit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2,250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17,231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2,381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119</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27,513</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8,231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302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421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27,815</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8,652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Member’s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(6,287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(3,675</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8131" w:type="dxa"/>
            <w:tcBorders/>
            <w:shd w:fill="CCEEFF" w:val="clear"/>
            <w:vAlign w:val="center"/>
          </w:tcPr>
          <w:p>
            <w:pPr>
              <w:pStyle w:val="TableContents"/>
              <w:bidi w:val="0"/>
              <w:spacing w:before="0" w:after="283"/>
              <w:jc w:val="left"/>
              <w:rPr/>
            </w:pPr>
            <w:r>
              <w:rPr/>
              <w:t>Total liabilities and member’s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CCEEFF" w:val="clear"/>
            <w:tcMar>
              <w:bottom w:w="28" w:type="dxa"/>
            </w:tcMar>
            <w:vAlign w:val="center"/>
          </w:tcPr>
          <w:p>
            <w:pPr>
              <w:pStyle w:val="TableContents"/>
              <w:bidi w:val="0"/>
              <w:spacing w:before="0" w:after="283"/>
              <w:jc w:val="right"/>
              <w:rPr/>
            </w:pPr>
            <w:r>
              <w:rPr/>
              <w:t>21,528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pPr>
            <w:r>
              <w:rPr/>
              <w:t>4,977</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D_003"/>
      <w:bookmarkEnd w:id="35"/>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6267" w:type="dxa"/>
        <w:jc w:val="left"/>
        <w:tblInd w:w="0" w:type="dxa"/>
        <w:tblLayout w:type="fixed"/>
        <w:tblCellMar>
          <w:top w:w="0" w:type="dxa"/>
          <w:left w:w="0" w:type="dxa"/>
          <w:bottom w:w="0" w:type="dxa"/>
          <w:right w:w="0" w:type="dxa"/>
        </w:tblCellMar>
      </w:tblPr>
      <w:tblGrid>
        <w:gridCol w:w="3290"/>
        <w:gridCol w:w="60"/>
        <w:gridCol w:w="210"/>
        <w:gridCol w:w="1134"/>
        <w:gridCol w:w="142"/>
        <w:gridCol w:w="90"/>
        <w:gridCol w:w="210"/>
        <w:gridCol w:w="1021"/>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44,293</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56,928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37,554</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46,815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1,170</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989</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16,146</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15,851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54,870</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63,655</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(10,577</w:t>
            </w:r>
          </w:p>
        </w:tc>
        <w:tc>
          <w:tcPr>
            <w:tcW w:w="142"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(6,727</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(180</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18</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4,525</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4,363</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(6,214</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(6,743</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pPr>
            <w:r>
              <w:rPr/>
              <w:t>(6,214</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double" w:sz="10" w:space="0" w:color="000000"/>
            </w:tcBorders>
            <w:shd w:fill="FFFFFF" w:val="clear"/>
            <w:tcMar>
              <w:bottom w:w="28" w:type="dxa"/>
            </w:tcMar>
            <w:vAlign w:val="center"/>
          </w:tcPr>
          <w:p>
            <w:pPr>
              <w:pStyle w:val="TableContents"/>
              <w:bidi w:val="0"/>
              <w:spacing w:before="0" w:after="283"/>
              <w:jc w:val="right"/>
              <w:rPr/>
            </w:pPr>
            <w:r>
              <w:rPr/>
              <w:t>(6,803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D_004"/>
      <w:bookmarkEnd w:id="36"/>
      <w:r>
        <w:rPr>
          <w:rFonts w:ascii="Times New Roman;Times;Serif" w:hAnsi="Times New Roman;Times;Serif"/>
          <w:b/>
          <w:i w:val="false"/>
          <w:caps w:val="false"/>
          <w:smallCaps w:val="false"/>
          <w:sz w:val="20"/>
        </w:rPr>
        <w:t xml:space="preserve">SUNDER ENERGY LLC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MEMBER’S DEFICIT</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jc w:val="center"/>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4085"/>
        <w:gridCol w:w="60"/>
        <w:gridCol w:w="140"/>
        <w:gridCol w:w="635"/>
        <w:gridCol w:w="110"/>
      </w:tblGrid>
      <w:tr>
        <w:trPr/>
        <w:tc>
          <w:tcPr>
            <w:tcW w:w="4085" w:type="dxa"/>
            <w:tcBorders/>
            <w:shd w:fill="CCEEFF" w:val="clear"/>
            <w:vAlign w:val="center"/>
          </w:tcPr>
          <w:p>
            <w:pPr>
              <w:pStyle w:val="TableContents"/>
              <w:bidi w:val="0"/>
              <w:spacing w:before="0" w:after="283"/>
              <w:jc w:val="left"/>
              <w:rPr/>
            </w:pPr>
            <w:r>
              <w:rPr/>
              <w:t>Member’s equity as of January 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6,330</w:t>
            </w:r>
          </w:p>
        </w:tc>
        <w:tc>
          <w:tcPr>
            <w:tcW w:w="11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(6,803</w:t>
            </w:r>
          </w:p>
        </w:tc>
        <w:tc>
          <w:tcPr>
            <w:tcW w:w="110" w:type="dxa"/>
            <w:tcBorders/>
            <w:shd w:fill="FFFFFF" w:val="clear"/>
            <w:vAlign w:val="center"/>
          </w:tcPr>
          <w:p>
            <w:pPr>
              <w:pStyle w:val="TableContents"/>
              <w:bidi w:val="0"/>
              <w:spacing w:before="0" w:after="283"/>
              <w:jc w:val="left"/>
              <w:rPr/>
            </w:pPr>
            <w:r>
              <w:rPr/>
              <w:t>)</w:t>
            </w:r>
          </w:p>
        </w:tc>
      </w:tr>
      <w:tr>
        <w:trPr/>
        <w:tc>
          <w:tcPr>
            <w:tcW w:w="4085" w:type="dxa"/>
            <w:tcBorders/>
            <w:shd w:fill="CCEEFF" w:val="clear"/>
            <w:vAlign w:val="center"/>
          </w:tcPr>
          <w:p>
            <w:pPr>
              <w:pStyle w:val="TableContents"/>
              <w:bidi w:val="0"/>
              <w:spacing w:before="0" w:after="283"/>
              <w:jc w:val="left"/>
              <w:rPr/>
            </w:pPr>
            <w:r>
              <w:rPr/>
              <w:t>Distributions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(3,202</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Member’s deficit as of December 31, 2023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(3,675</w:t>
            </w:r>
          </w:p>
        </w:tc>
        <w:tc>
          <w:tcPr>
            <w:tcW w:w="110" w:type="dxa"/>
            <w:tcBorders/>
            <w:shd w:fill="FFFFFF" w:val="clear"/>
            <w:vAlign w:val="center"/>
          </w:tcPr>
          <w:p>
            <w:pPr>
              <w:pStyle w:val="TableContents"/>
              <w:bidi w:val="0"/>
              <w:spacing w:before="0" w:after="283"/>
              <w:jc w:val="left"/>
              <w:rPr/>
            </w:pPr>
            <w:r>
              <w:rPr/>
              <w:t>)</w:t>
            </w:r>
          </w:p>
        </w:tc>
      </w:tr>
      <w:tr>
        <w:trPr/>
        <w:tc>
          <w:tcPr>
            <w:tcW w:w="40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(6,214</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Capital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4,059</w:t>
            </w:r>
          </w:p>
        </w:tc>
        <w:tc>
          <w:tcPr>
            <w:tcW w:w="11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Distributions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Member’s deficit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(6,287</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D_005"/>
      <w:bookmarkEnd w:id="37"/>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10"/>
        <w:gridCol w:w="60"/>
        <w:gridCol w:w="140"/>
        <w:gridCol w:w="755"/>
        <w:gridCol w:w="95"/>
        <w:gridCol w:w="60"/>
        <w:gridCol w:w="140"/>
        <w:gridCol w:w="635"/>
        <w:gridCol w:w="110"/>
      </w:tblGrid>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10" w:type="dxa"/>
            <w:tcBorders/>
            <w:vAlign w:val="center"/>
          </w:tcPr>
          <w:p>
            <w:pPr>
              <w:pStyle w:val="TableContents"/>
              <w:bidi w:val="0"/>
              <w:spacing w:before="0" w:after="283"/>
              <w:jc w:val="left"/>
              <w:rPr/>
            </w:pPr>
            <w:r>
              <w:rPr/>
              <w:t> </w:t>
            </w:r>
          </w:p>
        </w:tc>
      </w:tr>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8210" w:type="dxa"/>
            <w:tcBorders/>
            <w:vAlign w:val="center"/>
          </w:tcPr>
          <w:p>
            <w:pPr>
              <w:pStyle w:val="TableContents"/>
              <w:bidi w:val="0"/>
              <w:spacing w:before="0" w:after="283"/>
              <w:jc w:val="left"/>
              <w:rPr>
                <w:b/>
              </w:rPr>
            </w:pPr>
            <w:r>
              <w:rPr>
                <w:b/>
              </w:rPr>
              <w:t>Cash flows from operating activities from continuing operations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(6,803</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Net 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(6,743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210" w:type="dxa"/>
            <w:tcBorders/>
            <w:shd w:fill="FFFFFF" w:val="clear"/>
            <w:vAlign w:val="center"/>
          </w:tcPr>
          <w:p>
            <w:pPr>
              <w:pStyle w:val="TableContents"/>
              <w:bidi w:val="0"/>
              <w:spacing w:before="0" w:after="283"/>
              <w:jc w:val="left"/>
              <w:rPr/>
            </w:pPr>
            <w:r>
              <w:rPr/>
              <w:t>Adjustments to reconcile net loss from continuing operations to net cash from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3,677</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Amortization of operating lease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(1,022</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(115</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3,380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(1,125</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2,381</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(80</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cash (used in) provided by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 paid for 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(338</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Cash distribution to member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(3,202</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Cash contributions from member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Borrowings on the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2,000</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Repayments on the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Net cash provided by (used in) financing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(1,202</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(1,022</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Cash and restricted cash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2,732</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 and restricted cash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Total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b/>
              </w:rPr>
            </w:pPr>
            <w:r>
              <w:rPr>
                <w:b/>
              </w:rPr>
              <w:t>Non-cash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Right-of-use assets acquired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609</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D_006"/>
      <w:bookmarkEnd w:id="38"/>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began selling internally developed software as a service (“SaaS”). On October 20, 2023, the Company spun off the internally developed software assets into a separate entity under common ownership. The Company accounted for these activities as discontinued operations within its financial statements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trade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 For the year ended December 31, 2024, the Company earned virtually all of its revenue from solar installation companies. Customer A, Customer B and Customer C accounted for 23%, 15%, and 10%, respectively, of the Company’s revenue for the year ended December 31, 2024. For part of the year ended December 31, 2023, the Company’s sales force worked exclusively with one solar installation company. The exclusive agreement, originally expiring in August 2024, was terminated on September 30, 2023. For the year ended December 31, 2023, 99% of total revenues was earned from this installation company. As of December 31, 2024, Customer D and Customer E accounted for 50% and 12%, respectively, of the Company’s trade accounts receivable. As of December 31, 2023, there were no trade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when reconciling beginning and ending balances on the Statements of Cash Flows and is classified as current on the Balance Sheets based on the expected timing of its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party represents a loan receivable from Enzy Technologies LLC (“Enzy”) an entity related to the Company by common ownership. The Company collected revenues for Enzy and paid certain shared expenses for Enzy’s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Short-term leases with an initial term of 12 months or less (of which there were none during the years ended December 31, 2024 and 2023) are not recorded on the balance sheets, and related lease payments are expensed on a straight-line basis over the term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represent a security deposit for the operating lease, noncurrent prepaid expenses, and bonus install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Through October 2023, such consideration was accounted as contract liabilities prior to having the project installed. Thereafter, such consideration was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Through October 2023, upon entering into a sales contract, the requisite performance obligation of the Company was to assist the customer in the progress of the installation. Subsequent to October 2023,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Company also had revenue from the sale of software as a service (these operations were discontinued, See Note 14 – </w:t>
      </w: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This revenue is considered earned by the Company based on the contract period and is recognized over time. For the year ended December 31, 2023, the Company had gross revenue of $321 that was earned over time. Because of the spin off, there was no further revenue earned for the sale of software as a service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December 31, 2024 and 2023 consist of deferred revenue of $17,231 and $2,381, respectively. The deferred revenue balance increased $14,850 from December 31, 2023 to December 31, 2024 primarily due to the Company’s transition to a new business model following the termination of its partnership with Freedom Forever LLC at the end of September 2023. Revenue for the year ended December 31, 2024 that was included in the contract liability balance at the beginning of the period was approximately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promotions are expensed in the year incurred. Advertising and promotions expense totaled $1,393 and $1,791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 Ownership Interest and 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October 30, 2023, ownership interest in the Company consisted of multiple members. On October 30, 2023, the members of the Company (consisting of common and incentive unit holders) executed multiple simultaneous actions to effectuate the transfer of their interests in the Company from themselves to a new entity, Chicken Parm Pizza LLC (“CPP”). Among these actions was to create the new entity, CPP, with a membership structure that mirrored the Company’s membership structure. Additionally, the Company’s members unanimously consented to the transfer of their interests in the Company from themselves to CPP. Finally, each unit holder executed a “Unit Transfer Power” agreement in which they transferred their personal units in the Company to CPP. Upon completion of the transfer of their interests, CPP became the sole member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obligations of Chicken Parm Pizza, LLC as the sole member (“Parent”, “Sole Member” or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into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December 31, 2024, the Company has incurred net losses for the past two years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15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net are as follows:</w:t>
      </w:r>
    </w:p>
    <w:p>
      <w:pPr>
        <w:pStyle w:val="TextBody"/>
        <w:bidi w:val="0"/>
        <w:spacing w:before="0" w:after="0"/>
        <w:ind w:left="0" w:right="0" w:hanging="0"/>
        <w:jc w:val="both"/>
        <w:rPr>
          <w:caps w:val="false"/>
          <w:smallCaps w:val="false"/>
        </w:rPr>
      </w:pPr>
      <w:r>
        <w:rPr>
          <w:caps w:val="false"/>
          <w:smallCaps w:val="false"/>
        </w:rPr>
        <w:t> </w:t>
      </w:r>
    </w:p>
    <w:tbl>
      <w:tblPr>
        <w:tblW w:w="5787" w:type="dxa"/>
        <w:jc w:val="left"/>
        <w:tblInd w:w="0" w:type="dxa"/>
        <w:tblLayout w:type="fixed"/>
        <w:tblCellMar>
          <w:top w:w="0" w:type="dxa"/>
          <w:left w:w="0" w:type="dxa"/>
          <w:bottom w:w="0" w:type="dxa"/>
          <w:right w:w="0" w:type="dxa"/>
        </w:tblCellMar>
      </w:tblPr>
      <w:tblGrid>
        <w:gridCol w:w="3620"/>
        <w:gridCol w:w="60"/>
        <w:gridCol w:w="203"/>
        <w:gridCol w:w="814"/>
        <w:gridCol w:w="138"/>
        <w:gridCol w:w="87"/>
        <w:gridCol w:w="203"/>
        <w:gridCol w:w="552"/>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1,199</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Contractor advances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786</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Transaction fee receivable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20</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Commissions overpayment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1,574</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Total due from sales representatives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Total accounts receivable,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shd w:fill="FFFFFF" w:val="clear"/>
            <w:tcMar>
              <w:bottom w:w="28" w:type="dxa"/>
            </w:tcMar>
            <w:vAlign w:val="center"/>
          </w:tcPr>
          <w:p>
            <w:pPr>
              <w:pStyle w:val="TableContents"/>
              <w:bidi w:val="0"/>
              <w:spacing w:before="0" w:after="283"/>
              <w:jc w:val="right"/>
              <w:rPr/>
            </w:pPr>
            <w:r>
              <w:rPr/>
              <w:t>2,991</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52" w:type="dxa"/>
            <w:tcBorders>
              <w:bottom w:val="double" w:sz="10" w:space="0" w:color="000000"/>
            </w:tcBorders>
            <w:shd w:fill="FFFFFF" w:val="clear"/>
            <w:tcMar>
              <w:bottom w:w="28" w:type="dxa"/>
            </w:tcMar>
            <w:vAlign w:val="center"/>
          </w:tcPr>
          <w:p>
            <w:pPr>
              <w:pStyle w:val="TableContents"/>
              <w:bidi w:val="0"/>
              <w:spacing w:before="0" w:after="283"/>
              <w:jc w:val="right"/>
              <w:rPr/>
            </w:pPr>
            <w:r>
              <w:rPr/>
              <w:t>229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Note 4.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5"/>
        <w:gridCol w:w="60"/>
        <w:gridCol w:w="311"/>
        <w:gridCol w:w="1245"/>
        <w:gridCol w:w="110"/>
        <w:gridCol w:w="69"/>
        <w:gridCol w:w="433"/>
        <w:gridCol w:w="1039"/>
        <w:gridCol w:w="110"/>
        <w:gridCol w:w="69"/>
        <w:gridCol w:w="391"/>
        <w:gridCol w:w="1277"/>
        <w:gridCol w:w="110"/>
        <w:gridCol w:w="69"/>
        <w:gridCol w:w="513"/>
        <w:gridCol w:w="1397"/>
        <w:gridCol w:w="110"/>
        <w:gridCol w:w="69"/>
        <w:gridCol w:w="163"/>
        <w:gridCol w:w="743"/>
        <w:gridCol w:w="122"/>
      </w:tblGrid>
      <w:tr>
        <w:trPr/>
        <w:tc>
          <w:tcPr>
            <w:tcW w:w="1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28"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2024</w:t>
            </w:r>
          </w:p>
        </w:tc>
        <w:tc>
          <w:tcPr>
            <w:tcW w:w="122"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2" w:type="dxa"/>
            <w:tcBorders/>
            <w:vAlign w:val="center"/>
          </w:tcPr>
          <w:p>
            <w:pPr>
              <w:pStyle w:val="TableContents"/>
              <w:bidi w:val="0"/>
              <w:spacing w:before="0" w:after="283"/>
              <w:jc w:val="left"/>
              <w:rPr/>
            </w:pPr>
            <w:r>
              <w:rPr/>
              <w:t> </w:t>
            </w:r>
          </w:p>
        </w:tc>
      </w:tr>
      <w:tr>
        <w:trPr/>
        <w:tc>
          <w:tcPr>
            <w:tcW w:w="179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54</w:t>
            </w:r>
          </w:p>
        </w:tc>
        <w:tc>
          <w:tcPr>
            <w:tcW w:w="122" w:type="dxa"/>
            <w:tcBorders/>
            <w:shd w:fill="CCEEFF" w:val="clear"/>
            <w:vAlign w:val="center"/>
          </w:tcPr>
          <w:p>
            <w:pPr>
              <w:pStyle w:val="TableContents"/>
              <w:bidi w:val="0"/>
              <w:spacing w:before="0" w:after="283"/>
              <w:ind w:left="0" w:right="0" w:hanging="180"/>
              <w:jc w:val="left"/>
              <w:rPr/>
            </w:pPr>
            <w:r>
              <w:rPr/>
              <w:t> </w:t>
            </w:r>
          </w:p>
        </w:tc>
      </w:tr>
      <w:tr>
        <w:trPr/>
        <w:tc>
          <w:tcPr>
            <w:tcW w:w="1795"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1,053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545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1,813</w:t>
            </w:r>
          </w:p>
        </w:tc>
        <w:tc>
          <w:tcPr>
            <w:tcW w:w="122" w:type="dxa"/>
            <w:tcBorders/>
            <w:shd w:fill="FFFFFF" w:val="clear"/>
            <w:vAlign w:val="center"/>
          </w:tcPr>
          <w:p>
            <w:pPr>
              <w:pStyle w:val="TableContents"/>
              <w:bidi w:val="0"/>
              <w:spacing w:before="0" w:after="283"/>
              <w:jc w:val="left"/>
              <w:rPr/>
            </w:pPr>
            <w:r>
              <w:rPr/>
              <w:t> </w:t>
            </w:r>
          </w:p>
        </w:tc>
      </w:tr>
      <w:tr>
        <w:trPr/>
        <w:tc>
          <w:tcPr>
            <w:tcW w:w="1795"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(767</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(414</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(1,225</w:t>
            </w:r>
          </w:p>
        </w:tc>
        <w:tc>
          <w:tcPr>
            <w:tcW w:w="122" w:type="dxa"/>
            <w:tcBorders/>
            <w:shd w:fill="CCEEFF" w:val="clear"/>
            <w:vAlign w:val="center"/>
          </w:tcPr>
          <w:p>
            <w:pPr>
              <w:pStyle w:val="TableContents"/>
              <w:bidi w:val="0"/>
              <w:spacing w:before="0" w:after="283"/>
              <w:ind w:left="0" w:right="0" w:hanging="180"/>
              <w:jc w:val="left"/>
              <w:rPr/>
            </w:pPr>
            <w:r>
              <w:rPr/>
              <w:t>)</w:t>
            </w:r>
          </w:p>
        </w:tc>
      </w:tr>
      <w:tr>
        <w:trPr/>
        <w:tc>
          <w:tcPr>
            <w:tcW w:w="1795"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5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22" w:type="dxa"/>
            <w:tcBorders/>
            <w:shd w:fill="FFFFFF" w:val="clear"/>
            <w:vAlign w:val="center"/>
          </w:tcPr>
          <w:p>
            <w:pPr>
              <w:pStyle w:val="TableContents"/>
              <w:bidi w:val="0"/>
              <w:spacing w:before="0" w:after="283"/>
              <w:jc w:val="left"/>
              <w:rPr/>
            </w:pPr>
            <w:r>
              <w:rPr/>
              <w:t>)</w:t>
            </w:r>
          </w:p>
        </w:tc>
      </w:tr>
      <w:tr>
        <w:trPr/>
        <w:tc>
          <w:tcPr>
            <w:tcW w:w="179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3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5" w:type="dxa"/>
            <w:tcBorders>
              <w:bottom w:val="double" w:sz="10" w:space="0" w:color="000000"/>
            </w:tcBorders>
            <w:shd w:fill="CCEEFF" w:val="clear"/>
            <w:tcMar>
              <w:bottom w:w="28" w:type="dxa"/>
            </w:tcMar>
            <w:vAlign w:val="center"/>
          </w:tcPr>
          <w:p>
            <w:pPr>
              <w:pStyle w:val="TableContents"/>
              <w:bidi w:val="0"/>
              <w:spacing w:before="0" w:after="283"/>
              <w:jc w:val="right"/>
              <w:rPr/>
            </w:pPr>
            <w:r>
              <w:rPr/>
              <w:t>286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10" w:space="0" w:color="000000"/>
            </w:tcBorders>
            <w:shd w:fill="CCEEFF" w:val="clear"/>
            <w:tcMar>
              <w:bottom w:w="28" w:type="dxa"/>
            </w:tcMar>
            <w:vAlign w:val="center"/>
          </w:tcPr>
          <w:p>
            <w:pPr>
              <w:pStyle w:val="TableContents"/>
              <w:bidi w:val="0"/>
              <w:spacing w:before="0" w:after="283"/>
              <w:jc w:val="right"/>
              <w:rPr/>
            </w:pPr>
            <w:r>
              <w:rPr/>
              <w:t>131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7" w:type="dxa"/>
            <w:tcBorders>
              <w:bottom w:val="double" w:sz="10" w:space="0" w:color="000000"/>
            </w:tcBorders>
            <w:shd w:fill="CCEEFF" w:val="clear"/>
            <w:tcMar>
              <w:bottom w:w="28" w:type="dxa"/>
            </w:tcM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588</w:t>
            </w:r>
          </w:p>
        </w:tc>
        <w:tc>
          <w:tcPr>
            <w:tcW w:w="12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4"/>
        <w:gridCol w:w="60"/>
        <w:gridCol w:w="286"/>
        <w:gridCol w:w="1306"/>
        <w:gridCol w:w="105"/>
        <w:gridCol w:w="66"/>
        <w:gridCol w:w="520"/>
        <w:gridCol w:w="968"/>
        <w:gridCol w:w="66"/>
        <w:gridCol w:w="66"/>
        <w:gridCol w:w="340"/>
        <w:gridCol w:w="1363"/>
        <w:gridCol w:w="105"/>
        <w:gridCol w:w="66"/>
        <w:gridCol w:w="309"/>
        <w:gridCol w:w="1639"/>
        <w:gridCol w:w="66"/>
        <w:gridCol w:w="66"/>
        <w:gridCol w:w="155"/>
        <w:gridCol w:w="705"/>
        <w:gridCol w:w="104"/>
      </w:tblGrid>
      <w:tr>
        <w:trPr/>
        <w:tc>
          <w:tcPr>
            <w:tcW w:w="18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97"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2023</w:t>
            </w:r>
          </w:p>
        </w:tc>
        <w:tc>
          <w:tcPr>
            <w:tcW w:w="104" w:type="dxa"/>
            <w:tcBorders/>
            <w:vAlign w:val="center"/>
          </w:tcPr>
          <w:p>
            <w:pPr>
              <w:pStyle w:val="TableContents"/>
              <w:bidi w:val="0"/>
              <w:spacing w:before="0" w:after="283"/>
              <w:jc w:val="left"/>
              <w:rPr/>
            </w:pPr>
            <w:r>
              <w:rPr/>
              <w:t> </w:t>
            </w:r>
          </w:p>
        </w:tc>
      </w:tr>
      <w:tr>
        <w:trPr/>
        <w:tc>
          <w:tcPr>
            <w:tcW w:w="18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7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04" w:type="dxa"/>
            <w:tcBorders/>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363"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639"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1844"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4,157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right"/>
              <w:rPr/>
            </w:pPr>
            <w:r>
              <w:rPr/>
              <w:t>1,041</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5,206</w:t>
            </w:r>
          </w:p>
        </w:tc>
        <w:tc>
          <w:tcPr>
            <w:tcW w:w="104" w:type="dxa"/>
            <w:tcBorders/>
            <w:shd w:fill="FFFFFF" w:val="clear"/>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(4,157</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(995</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(5,152</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1844"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8"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3" w:type="dxa"/>
            <w:tcBorders>
              <w:bottom w:val="double" w:sz="10" w:space="0" w:color="000000"/>
            </w:tcBorders>
            <w:shd w:fill="CCEEFF" w:val="clear"/>
            <w:tcMar>
              <w:bottom w:w="28" w:type="dxa"/>
            </w:tcMar>
            <w:vAlign w:val="center"/>
          </w:tcPr>
          <w:p>
            <w:pPr>
              <w:pStyle w:val="TableContents"/>
              <w:bidi w:val="0"/>
              <w:spacing w:before="0" w:after="283"/>
              <w:jc w:val="right"/>
              <w:rPr/>
            </w:pPr>
            <w:r>
              <w:rPr/>
              <w:t>46</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39" w:type="dxa"/>
            <w:tcBorders>
              <w:bottom w:val="double" w:sz="10" w:space="0" w:color="000000"/>
            </w:tcBorders>
            <w:shd w:fill="CCEEFF" w:val="clear"/>
            <w:tcMar>
              <w:bottom w:w="28" w:type="dxa"/>
            </w:tcMar>
            <w:vAlign w:val="center"/>
          </w:tcPr>
          <w:p>
            <w:pPr>
              <w:pStyle w:val="TableContents"/>
              <w:bidi w:val="0"/>
              <w:spacing w:before="0" w:after="283"/>
              <w:jc w:val="right"/>
              <w:rPr/>
            </w:pPr>
            <w:r>
              <w:rPr/>
              <w:t>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pPr>
            <w:r>
              <w:rPr/>
              <w:t>54</w:t>
            </w:r>
          </w:p>
        </w:tc>
        <w:tc>
          <w:tcPr>
            <w:tcW w:w="10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p>
    <w:p>
      <w:pPr>
        <w:pStyle w:val="TextBody"/>
        <w:bidi w:val="0"/>
        <w:spacing w:before="0" w:after="0"/>
        <w:ind w:left="0" w:right="0" w:hanging="0"/>
        <w:jc w:val="both"/>
        <w:rPr>
          <w:caps w:val="false"/>
          <w:smallCaps w:val="false"/>
        </w:rPr>
      </w:pPr>
      <w:r>
        <w:rPr>
          <w:caps w:val="false"/>
          <w:smallCaps w:val="false"/>
        </w:rPr>
        <w:t> </w:t>
      </w:r>
    </w:p>
    <w:tbl>
      <w:tblPr>
        <w:tblW w:w="6067" w:type="dxa"/>
        <w:jc w:val="left"/>
        <w:tblInd w:w="0" w:type="dxa"/>
        <w:tblLayout w:type="fixed"/>
        <w:tblCellMar>
          <w:top w:w="0" w:type="dxa"/>
          <w:left w:w="0" w:type="dxa"/>
          <w:bottom w:w="0" w:type="dxa"/>
          <w:right w:w="0" w:type="dxa"/>
        </w:tblCellMar>
      </w:tblPr>
      <w:tblGrid>
        <w:gridCol w:w="3935"/>
        <w:gridCol w:w="60"/>
        <w:gridCol w:w="170"/>
        <w:gridCol w:w="829"/>
        <w:gridCol w:w="73"/>
        <w:gridCol w:w="73"/>
        <w:gridCol w:w="170"/>
        <w:gridCol w:w="682"/>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Deferred commissions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12,840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1,423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Bonus install commitment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435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234</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182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pPr>
            <w:r>
              <w:rPr/>
              <w:t>13,508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2" w:type="dxa"/>
            <w:tcBorders>
              <w:bottom w:val="double" w:sz="10" w:space="0" w:color="000000"/>
            </w:tcBorders>
            <w:shd w:fill="FFFFFF" w:val="clear"/>
            <w:tcMar>
              <w:bottom w:w="28" w:type="dxa"/>
            </w:tcMar>
            <w:vAlign w:val="center"/>
          </w:tcPr>
          <w:p>
            <w:pPr>
              <w:pStyle w:val="TableContents"/>
              <w:bidi w:val="0"/>
              <w:spacing w:before="0" w:after="283"/>
              <w:jc w:val="right"/>
              <w:rPr/>
            </w:pPr>
            <w:r>
              <w:rPr/>
              <w:t>1,839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$1,247 of commission expense in the year ended December 31, 2024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6. </w:t>
      </w: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792" w:type="dxa"/>
        <w:jc w:val="left"/>
        <w:tblInd w:w="0" w:type="dxa"/>
        <w:tblLayout w:type="fixed"/>
        <w:tblCellMar>
          <w:top w:w="0" w:type="dxa"/>
          <w:left w:w="0" w:type="dxa"/>
          <w:bottom w:w="0" w:type="dxa"/>
          <w:right w:w="0" w:type="dxa"/>
        </w:tblCellMar>
      </w:tblPr>
      <w:tblGrid>
        <w:gridCol w:w="4625"/>
        <w:gridCol w:w="60"/>
        <w:gridCol w:w="220"/>
        <w:gridCol w:w="716"/>
        <w:gridCol w:w="149"/>
        <w:gridCol w:w="94"/>
        <w:gridCol w:w="220"/>
        <w:gridCol w:w="598"/>
        <w:gridCol w:w="110"/>
      </w:tblGrid>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202</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188</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176</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Total cost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435</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6" w:type="dxa"/>
            <w:tcBorders>
              <w:bottom w:val="double" w:sz="10" w:space="0" w:color="000000"/>
            </w:tcBorders>
            <w:shd w:fill="FFFFFF" w:val="clear"/>
            <w:tcMar>
              <w:bottom w:w="28" w:type="dxa"/>
            </w:tcMar>
            <w:vAlign w:val="center"/>
          </w:tcPr>
          <w:p>
            <w:pPr>
              <w:pStyle w:val="TableContents"/>
              <w:bidi w:val="0"/>
              <w:spacing w:before="0" w:after="283"/>
              <w:jc w:val="right"/>
              <w:rPr/>
            </w:pPr>
            <w:r>
              <w:rPr/>
              <w:t>298</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98" w:type="dxa"/>
            <w:tcBorders>
              <w:bottom w:val="double" w:sz="10" w:space="0" w:color="000000"/>
            </w:tcBorders>
            <w:shd w:fill="FFFFFF" w:val="clear"/>
            <w:tcMar>
              <w:bottom w:w="28" w:type="dxa"/>
            </w:tcMar>
            <w:vAlign w:val="center"/>
          </w:tcPr>
          <w:p>
            <w:pPr>
              <w:pStyle w:val="TableContents"/>
              <w:bidi w:val="0"/>
              <w:spacing w:before="0" w:after="283"/>
              <w:jc w:val="right"/>
              <w:rPr/>
            </w:pPr>
            <w:r>
              <w:rPr/>
              <w:t>349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for the years ended December 31, 2024 and 2023 was $79 and $160,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6936" w:type="dxa"/>
        <w:jc w:val="left"/>
        <w:tblInd w:w="0" w:type="dxa"/>
        <w:tblLayout w:type="fixed"/>
        <w:tblCellMar>
          <w:top w:w="0" w:type="dxa"/>
          <w:left w:w="0" w:type="dxa"/>
          <w:bottom w:w="0" w:type="dxa"/>
          <w:right w:w="0" w:type="dxa"/>
        </w:tblCellMar>
      </w:tblPr>
      <w:tblGrid>
        <w:gridCol w:w="4805"/>
        <w:gridCol w:w="60"/>
        <w:gridCol w:w="208"/>
        <w:gridCol w:w="835"/>
        <w:gridCol w:w="89"/>
        <w:gridCol w:w="89"/>
        <w:gridCol w:w="208"/>
        <w:gridCol w:w="567"/>
        <w:gridCol w:w="75"/>
      </w:tblGrid>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Accrued salaries, wages and related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5" w:type="dxa"/>
            <w:tcBorders/>
            <w:shd w:fill="CCEEFF" w:val="clear"/>
            <w:vAlign w:val="center"/>
          </w:tcPr>
          <w:p>
            <w:pPr>
              <w:pStyle w:val="TableContents"/>
              <w:bidi w:val="0"/>
              <w:spacing w:before="0" w:after="283"/>
              <w:jc w:val="right"/>
              <w:rPr/>
            </w:pPr>
            <w:r>
              <w:rPr/>
              <w:t>120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67" w:type="dxa"/>
            <w:tcBorders/>
            <w:shd w:fill="CCEEFF" w:val="clear"/>
            <w:vAlign w:val="center"/>
          </w:tcPr>
          <w:p>
            <w:pPr>
              <w:pStyle w:val="TableContents"/>
              <w:bidi w:val="0"/>
              <w:spacing w:before="0" w:after="283"/>
              <w:jc w:val="right"/>
              <w:rPr/>
            </w:pPr>
            <w:r>
              <w:rPr/>
              <w:t>124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Legal fees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4,136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Commissions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1,814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47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19</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41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Credit card obligation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101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39</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5" w:type="dxa"/>
            <w:tcBorders>
              <w:bottom w:val="double" w:sz="10" w:space="0" w:color="000000"/>
            </w:tcBorders>
            <w:shd w:fill="FFFFFF" w:val="clear"/>
            <w:tcMar>
              <w:bottom w:w="28" w:type="dxa"/>
            </w:tcMar>
            <w:vAlign w:val="center"/>
          </w:tcPr>
          <w:p>
            <w:pPr>
              <w:pStyle w:val="TableContents"/>
              <w:bidi w:val="0"/>
              <w:spacing w:before="0" w:after="283"/>
              <w:jc w:val="right"/>
              <w:rPr/>
            </w:pPr>
            <w:r>
              <w:rPr/>
              <w:t>6,511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7" w:type="dxa"/>
            <w:tcBorders>
              <w:bottom w:val="double" w:sz="10" w:space="0" w:color="000000"/>
            </w:tcBorders>
            <w:shd w:fill="FFFFFF" w:val="clear"/>
            <w:tcMar>
              <w:bottom w:w="28" w:type="dxa"/>
            </w:tcMar>
            <w:vAlign w:val="center"/>
          </w:tcPr>
          <w:p>
            <w:pPr>
              <w:pStyle w:val="TableContents"/>
              <w:bidi w:val="0"/>
              <w:spacing w:before="0" w:after="283"/>
              <w:jc w:val="right"/>
              <w:rPr/>
            </w:pPr>
            <w:r>
              <w:rPr/>
              <w:t>255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 xml:space="preserve">LINE OF CREDIT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entered into an unsecured line of credit (“LOC”) agreement with a borrowing limit of $3,000. The LOC had a fixed interest rate of 7.5% and was scheduled to mature on June 30, 2025. The outstanding balance on the line was $2,250 and $2,000 as of December 31, 2024, and 2023, respectively. The remaining available balance under the facility as of December 31, 2024 was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was not in compliance with certain financial covenants under its LOC agreement with SolarEdge Technologies, Inc, specifically related to the maximum additional external financing covenant. The breach in compliance was related to the litigation financing the Company received of $3,325 during 2024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The covenant violation provided the lender the right to accelerate repayment of the outstanding balance at its discretion. The LOC was repaid in full in September 2025 in connection with the sale of the membership interest in the Company. Refer to Note 15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details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dates.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recorded in the Company’s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w:t>
      </w: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with an initial term of 12 months or less are not recorded on the balances sheet. Lease expense is recognized for these leases on a straight-line basis over the lease term.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line items in the balance sheets which include amounts for operating leases:</w:t>
      </w:r>
    </w:p>
    <w:p>
      <w:pPr>
        <w:pStyle w:val="TextBody"/>
        <w:bidi w:val="0"/>
        <w:spacing w:before="0" w:after="0"/>
        <w:ind w:left="0" w:right="0" w:hanging="0"/>
        <w:jc w:val="both"/>
        <w:rPr>
          <w:caps w:val="false"/>
          <w:smallCaps w:val="false"/>
        </w:rPr>
      </w:pPr>
      <w:r>
        <w:rPr>
          <w:caps w:val="false"/>
          <w:smallCaps w:val="false"/>
        </w:rPr>
        <w:t> </w:t>
      </w:r>
    </w:p>
    <w:tbl>
      <w:tblPr>
        <w:tblW w:w="6473" w:type="dxa"/>
        <w:jc w:val="left"/>
        <w:tblInd w:w="0" w:type="dxa"/>
        <w:tblLayout w:type="fixed"/>
        <w:tblCellMar>
          <w:top w:w="0" w:type="dxa"/>
          <w:left w:w="0" w:type="dxa"/>
          <w:bottom w:w="0" w:type="dxa"/>
          <w:right w:w="0" w:type="dxa"/>
        </w:tblCellMar>
      </w:tblPr>
      <w:tblGrid>
        <w:gridCol w:w="4340"/>
        <w:gridCol w:w="60"/>
        <w:gridCol w:w="241"/>
        <w:gridCol w:w="655"/>
        <w:gridCol w:w="103"/>
        <w:gridCol w:w="103"/>
        <w:gridCol w:w="241"/>
        <w:gridCol w:w="655"/>
        <w:gridCol w:w="75"/>
      </w:tblGrid>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506</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119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108</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pPr>
            <w:r>
              <w:rPr/>
              <w:t>Noncurrent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421</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529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$108 and $80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terms and discount rates:</w:t>
      </w:r>
    </w:p>
    <w:p>
      <w:pPr>
        <w:pStyle w:val="TextBody"/>
        <w:bidi w:val="0"/>
        <w:spacing w:before="0" w:after="0"/>
        <w:ind w:left="0" w:right="0" w:hanging="0"/>
        <w:jc w:val="both"/>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55"/>
        <w:gridCol w:w="60"/>
        <w:gridCol w:w="156"/>
        <w:gridCol w:w="838"/>
        <w:gridCol w:w="415"/>
        <w:gridCol w:w="115"/>
        <w:gridCol w:w="155"/>
        <w:gridCol w:w="839"/>
        <w:gridCol w:w="230"/>
      </w:tblGrid>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r>
              <w:rPr/>
              <w:t>3.17 years</w:t>
            </w:r>
          </w:p>
        </w:tc>
        <w:tc>
          <w:tcPr>
            <w:tcW w:w="4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r>
              <w:rPr/>
              <w:t>4.17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6.5</w:t>
            </w:r>
          </w:p>
        </w:tc>
        <w:tc>
          <w:tcPr>
            <w:tcW w:w="415" w:type="dxa"/>
            <w:tcBorders/>
            <w:shd w:fill="FFFFFF" w:val="clear"/>
            <w:vAlign w:val="center"/>
          </w:tcPr>
          <w:p>
            <w:pPr>
              <w:pStyle w:val="TableContents"/>
              <w:bidi w:val="0"/>
              <w:spacing w:before="0" w:after="283"/>
              <w:jc w:val="left"/>
              <w:rPr/>
            </w:pPr>
            <w:r>
              <w:rPr/>
              <w:t>%</w:t>
            </w:r>
          </w:p>
        </w:tc>
        <w:tc>
          <w:tcPr>
            <w:tcW w:w="11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December 31, 2024, were as follows:</w:t>
      </w:r>
    </w:p>
    <w:p>
      <w:pPr>
        <w:pStyle w:val="TextBody"/>
        <w:bidi w:val="0"/>
        <w:spacing w:before="0" w:after="0"/>
        <w:ind w:left="0" w:right="0" w:hanging="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090"/>
        <w:gridCol w:w="60"/>
        <w:gridCol w:w="140"/>
        <w:gridCol w:w="380"/>
        <w:gridCol w:w="110"/>
      </w:tblGrid>
      <w:tr>
        <w:trPr/>
        <w:tc>
          <w:tcPr>
            <w:tcW w:w="2090" w:type="dxa"/>
            <w:tcBorders/>
            <w:vAlign w:val="center"/>
          </w:tcPr>
          <w:p>
            <w:pPr>
              <w:pStyle w:val="TableContents"/>
              <w:bidi w:val="0"/>
              <w:spacing w:before="0" w:after="283"/>
              <w:jc w:val="both"/>
              <w:rPr/>
            </w:pPr>
            <w:r>
              <w:rPr/>
              <w:t>Year ending:</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142</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465</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obtained a number of insurance policies to help protect the Company from potential losses through a captive insurance company related by common ownership. For the years ended December 31, 2024 and 2023, the Company had insurance expense to the captive of $0 and $651, respectively, which is presented within general and administrative expenses in the statements of operations.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$653 and $237 for the years ended December 31, 2024 and 2023, respectively. Expenses incurred for Enzy and fees charged to Enzy totaled $1,015 and $409 for the years ended December 31, 2024 and 2023, respectively. These transactions have resulted in a balance due to the Company from Enzy of $559 and $94 as of December 31, 2024 and 2023,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deficit. The Company recognized expenses of $884 and $926 in the years ended December 31, 2024 and 2023,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 and no loss has been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for further detail on the resolution of the matter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Incentive Units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6239" w:type="dxa"/>
        <w:jc w:val="left"/>
        <w:tblInd w:w="0" w:type="dxa"/>
        <w:tblLayout w:type="fixed"/>
        <w:tblCellMar>
          <w:top w:w="0" w:type="dxa"/>
          <w:left w:w="0" w:type="dxa"/>
          <w:bottom w:w="0" w:type="dxa"/>
          <w:right w:w="0" w:type="dxa"/>
        </w:tblCellMar>
      </w:tblPr>
      <w:tblGrid>
        <w:gridCol w:w="4565"/>
        <w:gridCol w:w="60"/>
        <w:gridCol w:w="121"/>
        <w:gridCol w:w="1383"/>
        <w:gridCol w:w="110"/>
      </w:tblGrid>
      <w:tr>
        <w:trPr/>
        <w:tc>
          <w:tcPr>
            <w:tcW w:w="45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Incentive units</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Incentive units outstanding, January 1, 2023</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51,087</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1,045</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(8,000</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both"/>
              <w:rPr/>
            </w:pPr>
            <w:r>
              <w:rPr/>
              <w:t>Incentive units outstanding, December 31, 2023</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FFFFFF" w:val="clear"/>
            <w:tcMar>
              <w:bottom w:w="28" w:type="dxa"/>
            </w:tcMar>
            <w:vAlign w:val="center"/>
          </w:tcPr>
          <w:p>
            <w:pPr>
              <w:pStyle w:val="TableContents"/>
              <w:bidi w:val="0"/>
              <w:spacing w:before="0" w:after="283"/>
              <w:jc w:val="right"/>
              <w:rPr/>
            </w:pPr>
            <w:r>
              <w:rPr/>
              <w:t>44,132</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Granted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2,442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Incentive units outstanding, December 31, 2024</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double" w:sz="10" w:space="0" w:color="000000"/>
            </w:tcBorders>
            <w:shd w:fill="FFFFFF" w:val="clear"/>
            <w:tcMar>
              <w:bottom w:w="28" w:type="dxa"/>
            </w:tcMar>
            <w:vAlign w:val="center"/>
          </w:tcPr>
          <w:p>
            <w:pPr>
              <w:pStyle w:val="TableContents"/>
              <w:bidi w:val="0"/>
              <w:spacing w:before="0" w:after="283"/>
              <w:jc w:val="right"/>
              <w:rPr/>
            </w:pPr>
            <w:r>
              <w:rPr/>
              <w:t>46,574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de minimis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years ended December 31, 2024, and 2023. As of December 31, 2024, and 2023, unrecognized compensation cost related to unvested Incentive Units was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5195"/>
        <w:gridCol w:w="60"/>
        <w:gridCol w:w="424"/>
        <w:gridCol w:w="1845"/>
        <w:gridCol w:w="230"/>
      </w:tblGrid>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30"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January 1, 2023</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2023</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2024</w:t>
            </w:r>
          </w:p>
        </w:tc>
        <w:tc>
          <w:tcPr>
            <w:tcW w:w="60" w:type="dxa"/>
            <w:tcBorders/>
            <w:shd w:fill="CCEEFF" w:val="clear"/>
            <w:vAlign w:val="center"/>
          </w:tcPr>
          <w:p>
            <w:pPr>
              <w:pStyle w:val="TableContents"/>
              <w:bidi w:val="0"/>
              <w:spacing w:before="0" w:after="283"/>
              <w:jc w:val="left"/>
              <w:rPr/>
            </w:pPr>
            <w:r>
              <w:rPr/>
              <w:t> </w:t>
            </w:r>
          </w:p>
        </w:tc>
        <w:tc>
          <w:tcPr>
            <w:tcW w:w="42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double" w:sz="10"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2023, the Company discontinued operations of SaaS sales through a spin-off of internally developed software to a related party. In connection with this transaction, the Company entered into a shared services agreement (see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The Company will continue to provide administrative support to the new company for a set monthly fee.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related to discontinued operations were not material. The discontinued operations included in the statement of operations and member’s deficit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3290"/>
        <w:gridCol w:w="60"/>
        <w:gridCol w:w="140"/>
        <w:gridCol w:w="635"/>
        <w:gridCol w:w="110"/>
      </w:tblGrid>
      <w:tr>
        <w:trPr/>
        <w:tc>
          <w:tcPr>
            <w:tcW w:w="3290" w:type="dxa"/>
            <w:tcBorders/>
            <w:shd w:fill="CCEEFF" w:val="clear"/>
            <w:vAlign w:val="center"/>
          </w:tcPr>
          <w:p>
            <w:pPr>
              <w:pStyle w:val="TableContents"/>
              <w:bidi w:val="0"/>
              <w:spacing w:before="0" w:after="283"/>
              <w:jc w:val="both"/>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(6,743</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(66</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(315</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Loss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(6,803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the Company was loaned $1,000 by its sole member, who in turn was loaned the funds by one of its owners under a convertible promissory note. This transaction was accounted for as a capital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$57,789. Per the terms of the MIPA, the Member sold all of the outstanding membership interest of Sunder for (1) $20,689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 and December 31, 2024 and the six months ended June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8480"/>
        <w:gridCol w:w="60"/>
        <w:gridCol w:w="515"/>
      </w:tblGrid>
      <w:tr>
        <w:trPr/>
        <w:tc>
          <w:tcPr>
            <w:tcW w:w="8480" w:type="dxa"/>
            <w:tcBorders/>
            <w:shd w:fill="CCEEFF" w:val="clear"/>
            <w:vAlign w:val="center"/>
          </w:tcPr>
          <w:p>
            <w:pPr>
              <w:pStyle w:val="TableContents"/>
              <w:bidi w:val="0"/>
              <w:spacing w:before="0" w:after="283"/>
              <w:ind w:left="0" w:right="0" w:hanging="180"/>
              <w:jc w:val="left"/>
              <w:rPr/>
            </w:pPr>
            <w:hyperlink w:anchor="E_001">
              <w:r>
                <w:rPr>
                  <w:rStyle w:val="InternetLink"/>
                  <w:rFonts w:ascii="Times New Roman;Times;Serif" w:hAnsi="Times New Roman;Times;Serif"/>
                  <w:b w:val="false"/>
                  <w:i w:val="false"/>
                  <w:caps w:val="false"/>
                  <w:smallCaps w:val="false"/>
                  <w:sz w:val="20"/>
                </w:rPr>
                <w:t>Balance Sheets as of June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z w:val="20"/>
                </w:rPr>
                <w:t>Unaudited Statements of Operations for the six months ended June 30, 2025 and June 30,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z w:val="20"/>
                </w:rPr>
                <w:t>Unaudited Statements of Changes in Member’s Deficit for the six months ended June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z w:val="20"/>
                </w:rPr>
                <w:t>Unaudited Statements of Cash Flows for the six months ended June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z w:val="20"/>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E_001"/>
      <w:bookmarkEnd w:id="39"/>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7598" w:type="dxa"/>
        <w:jc w:val="left"/>
        <w:tblInd w:w="0" w:type="dxa"/>
        <w:tblLayout w:type="fixed"/>
        <w:tblCellMar>
          <w:top w:w="0" w:type="dxa"/>
          <w:left w:w="0" w:type="dxa"/>
          <w:bottom w:w="0" w:type="dxa"/>
          <w:right w:w="0" w:type="dxa"/>
        </w:tblCellMar>
      </w:tblPr>
      <w:tblGrid>
        <w:gridCol w:w="4610"/>
        <w:gridCol w:w="60"/>
        <w:gridCol w:w="194"/>
        <w:gridCol w:w="1055"/>
        <w:gridCol w:w="95"/>
        <w:gridCol w:w="60"/>
        <w:gridCol w:w="241"/>
        <w:gridCol w:w="1173"/>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30"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1,524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2,018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2,991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559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20,600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18,750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LIABILITIES AND MEMBER’S DEFICIT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1,402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6,511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Line of credit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2,250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17,231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119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27,513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27,815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Member’s deficit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(10,984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(6,287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18,750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E_002"/>
      <w:bookmarkEnd w:id="40"/>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3200"/>
        <w:gridCol w:w="60"/>
        <w:gridCol w:w="213"/>
        <w:gridCol w:w="1036"/>
        <w:gridCol w:w="144"/>
        <w:gridCol w:w="91"/>
        <w:gridCol w:w="213"/>
        <w:gridCol w:w="1036"/>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40,012</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11,930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33,339</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10,765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771</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628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5,886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45,568</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17,279</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(5,349</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(168</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33</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815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729</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(5,681</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(4,620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E_003"/>
      <w:bookmarkEnd w:id="41"/>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CHANGES IN MEMBER’S DEFICIT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3725"/>
        <w:gridCol w:w="60"/>
        <w:gridCol w:w="140"/>
        <w:gridCol w:w="755"/>
        <w:gridCol w:w="110"/>
      </w:tblGrid>
      <w:tr>
        <w:trPr/>
        <w:tc>
          <w:tcPr>
            <w:tcW w:w="3725" w:type="dxa"/>
            <w:tcBorders/>
            <w:shd w:fill="CCEEFF" w:val="clear"/>
            <w:vAlign w:val="center"/>
          </w:tcPr>
          <w:p>
            <w:pPr>
              <w:pStyle w:val="TableContents"/>
              <w:bidi w:val="0"/>
              <w:spacing w:before="0" w:after="283"/>
              <w:jc w:val="left"/>
              <w:rPr/>
            </w:pPr>
            <w:r>
              <w:rPr/>
              <w:t>Member’s deficit as of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(6,287</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(5,681</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Capital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Member’s deficit as of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(10,984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0" w:type="dxa"/>
        <w:tblLayout w:type="fixed"/>
        <w:tblCellMar>
          <w:top w:w="0" w:type="dxa"/>
          <w:left w:w="0" w:type="dxa"/>
          <w:bottom w:w="0" w:type="dxa"/>
          <w:right w:w="0" w:type="dxa"/>
        </w:tblCellMar>
      </w:tblPr>
      <w:tblGrid>
        <w:gridCol w:w="3725"/>
        <w:gridCol w:w="60"/>
        <w:gridCol w:w="140"/>
        <w:gridCol w:w="635"/>
        <w:gridCol w:w="110"/>
      </w:tblGrid>
      <w:tr>
        <w:trPr/>
        <w:tc>
          <w:tcPr>
            <w:tcW w:w="3725" w:type="dxa"/>
            <w:tcBorders/>
            <w:shd w:fill="CCEEFF" w:val="clear"/>
            <w:vAlign w:val="center"/>
          </w:tcPr>
          <w:p>
            <w:pPr>
              <w:pStyle w:val="TableContents"/>
              <w:bidi w:val="0"/>
              <w:spacing w:before="0" w:after="283"/>
              <w:jc w:val="left"/>
              <w:rPr/>
            </w:pPr>
            <w:r>
              <w:rPr/>
              <w:t>Member’s deficit as of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(3,675</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(4,620</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Capital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Member’s deficit as of June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(6,676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E_004"/>
      <w:bookmarkEnd w:id="42"/>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731" w:type="dxa"/>
        <w:jc w:val="left"/>
        <w:tblInd w:w="0" w:type="dxa"/>
        <w:tblLayout w:type="fixed"/>
        <w:tblCellMar>
          <w:top w:w="0" w:type="dxa"/>
          <w:left w:w="0" w:type="dxa"/>
          <w:bottom w:w="0" w:type="dxa"/>
          <w:right w:w="0" w:type="dxa"/>
        </w:tblCellMar>
      </w:tblPr>
      <w:tblGrid>
        <w:gridCol w:w="6830"/>
        <w:gridCol w:w="60"/>
        <w:gridCol w:w="218"/>
        <w:gridCol w:w="992"/>
        <w:gridCol w:w="148"/>
        <w:gridCol w:w="93"/>
        <w:gridCol w:w="218"/>
        <w:gridCol w:w="1062"/>
        <w:gridCol w:w="110"/>
      </w:tblGrid>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(5,681</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(4,620</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57</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433</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251</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(2,757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(1,501</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Due from related entity</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559</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(519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3,678</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(8,214</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6</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(592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5,370</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1,796</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(2,800</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10,957</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(59</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(1,746</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(1,816</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Borrowing on line of credit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Capital contributions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1,000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984</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2,119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(764</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284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3,542</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2,778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1,994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762</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2" w:type="dxa"/>
            <w:tcBorders/>
            <w:shd w:fill="FFFFFF" w:val="clear"/>
            <w:vAlign w:val="center"/>
          </w:tcPr>
          <w:p>
            <w:pPr>
              <w:pStyle w:val="TableContents"/>
              <w:bidi w:val="0"/>
              <w:spacing w:before="0" w:after="283"/>
              <w:jc w:val="right"/>
              <w:rPr/>
            </w:pPr>
            <w:r>
              <w:rPr/>
              <w:t>1,524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2,016</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2,018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restricted cash</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2,778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3,542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130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E_005"/>
      <w:bookmarkEnd w:id="43"/>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Unaudited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 B and C accounted for 20%, 15% and 11%, of the Company’s revenue, respectively, for the six months ended June 30, 2025. Customers A, B and D accounted for 27%, 12% and 10% of the Company’s revenue, respectively,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Customers E and F accounted for 27% and 12%, respectively, of the Company’s trade accounts receivable balance. As of December 31, 2024, Customers E and G accounted for 50% and 12%, respectively, of the Company’s trade accounts receivable. As of December 31, 2023, there were no trade accounts receivable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and cash equivalents when reconciling beginning and ending balances on the Company’s statements of cash flows and is classified as current on the Company’s balance sheet based on the expected timing of its accessibility.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The Company recognizes an expense for these leases on a straight-line basis over the lease term. Short-term leases are those leases with an initial term of 12 months or less and are not recorded on the Company’s balance sheet. The Company did not have any short-term leases as of and for the periods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Such consideration is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June 30, 2025 and December 31,2024 consist of deferred revenue of $14,431 and $17,231, respectively. Revenue for the six months ended June 30, 2025 that was included in the contract liabilities balance at the beginning of the period was $14,644.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promoting the Company’s goods and services are expensed in the years incurred. Advertising expense totaled $766 and $806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Chicken Parm Pizza, LLC is the sole member (“Parent”, “Sole Member” or “Member”) of the Company. The rights and obligations as the Sole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June 30, 2025, the Company has incurred net losses for the past two years and the six months ended June 30, 2025,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unaudited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14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620"/>
        <w:gridCol w:w="60"/>
        <w:gridCol w:w="175"/>
        <w:gridCol w:w="700"/>
        <w:gridCol w:w="95"/>
        <w:gridCol w:w="60"/>
        <w:gridCol w:w="283"/>
        <w:gridCol w:w="1132"/>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1,199</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Contractor advances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786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Transaction fee receivable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Commissions overpayment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1,574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Total due from sales representatives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3,223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Total accounts receivable,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5,315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2,991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w:t>
      </w:r>
      <w:r>
        <w:rPr>
          <w:rFonts w:ascii="Times New Roman;Times;Serif" w:hAnsi="Times New Roman;Times;Serif"/>
          <w:b/>
          <w:i/>
          <w:caps w:val="false"/>
          <w:smallCaps w:val="false"/>
          <w:sz w:val="20"/>
        </w:rPr>
        <w:t xml:space="preserve">.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allowances for credit losses for receivables by portfolio segment and the related activity for the six months ended June 30, 2025 and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9"/>
        <w:gridCol w:w="60"/>
        <w:gridCol w:w="421"/>
        <w:gridCol w:w="1145"/>
        <w:gridCol w:w="77"/>
        <w:gridCol w:w="77"/>
        <w:gridCol w:w="516"/>
        <w:gridCol w:w="961"/>
        <w:gridCol w:w="122"/>
        <w:gridCol w:w="77"/>
        <w:gridCol w:w="451"/>
        <w:gridCol w:w="1227"/>
        <w:gridCol w:w="122"/>
        <w:gridCol w:w="77"/>
        <w:gridCol w:w="516"/>
        <w:gridCol w:w="1405"/>
        <w:gridCol w:w="77"/>
        <w:gridCol w:w="77"/>
        <w:gridCol w:w="180"/>
        <w:gridCol w:w="723"/>
        <w:gridCol w:w="85"/>
      </w:tblGrid>
      <w:tr>
        <w:trPr/>
        <w:tc>
          <w:tcPr>
            <w:tcW w:w="1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51"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2025</w:t>
            </w:r>
          </w:p>
        </w:tc>
        <w:tc>
          <w:tcPr>
            <w:tcW w:w="85" w:type="dxa"/>
            <w:tcBorders/>
            <w:vAlign w:val="center"/>
          </w:tcPr>
          <w:p>
            <w:pPr>
              <w:pStyle w:val="TableContents"/>
              <w:bidi w:val="0"/>
              <w:spacing w:before="0" w:after="283"/>
              <w:jc w:val="left"/>
              <w:rPr/>
            </w:pPr>
            <w:r>
              <w:rPr/>
              <w:t> </w:t>
            </w:r>
          </w:p>
        </w:tc>
      </w:tr>
      <w:tr>
        <w:trPr/>
        <w:tc>
          <w:tcPr>
            <w:tcW w:w="1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9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5" w:type="dxa"/>
            <w:tcBorders/>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286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131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1405" w:type="dxa"/>
            <w:tcBorders/>
            <w:shd w:fill="CCEEFF" w:val="clear"/>
            <w:vAlign w:val="center"/>
          </w:tcPr>
          <w:p>
            <w:pPr>
              <w:pStyle w:val="TableContents"/>
              <w:bidi w:val="0"/>
              <w:spacing w:before="0" w:after="283"/>
              <w:jc w:val="right"/>
              <w:rPr/>
            </w:pPr>
            <w:r>
              <w:rPr/>
              <w:t>170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588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1809"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248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(1</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(5</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191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433</w:t>
            </w:r>
          </w:p>
        </w:tc>
        <w:tc>
          <w:tcPr>
            <w:tcW w:w="85" w:type="dxa"/>
            <w:tcBorders/>
            <w:shd w:fill="FFFFFF" w:val="clear"/>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1809"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4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4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85" w:type="dxa"/>
            <w:tcBorders/>
            <w:shd w:fill="FFFFFF" w:val="clear"/>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pPr>
            <w:r>
              <w:rPr/>
              <w:t>548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126</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5" w:type="dxa"/>
            <w:tcBorders>
              <w:bottom w:val="double" w:sz="10" w:space="0" w:color="000000"/>
            </w:tcBorders>
            <w:shd w:fill="CCEEFF" w:val="clear"/>
            <w:tcMar>
              <w:bottom w:w="28" w:type="dxa"/>
            </w:tcMar>
            <w:vAlign w:val="center"/>
          </w:tcPr>
          <w:p>
            <w:pPr>
              <w:pStyle w:val="TableContents"/>
              <w:bidi w:val="0"/>
              <w:spacing w:before="0" w:after="283"/>
              <w:jc w:val="right"/>
              <w:rPr/>
            </w:pPr>
            <w:r>
              <w:rPr/>
              <w:t>361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1,035</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9"/>
        <w:gridCol w:w="60"/>
        <w:gridCol w:w="427"/>
        <w:gridCol w:w="1161"/>
        <w:gridCol w:w="132"/>
        <w:gridCol w:w="83"/>
        <w:gridCol w:w="520"/>
        <w:gridCol w:w="967"/>
        <w:gridCol w:w="132"/>
        <w:gridCol w:w="83"/>
        <w:gridCol w:w="457"/>
        <w:gridCol w:w="1243"/>
        <w:gridCol w:w="83"/>
        <w:gridCol w:w="83"/>
        <w:gridCol w:w="680"/>
        <w:gridCol w:w="1265"/>
        <w:gridCol w:w="83"/>
        <w:gridCol w:w="83"/>
        <w:gridCol w:w="212"/>
        <w:gridCol w:w="528"/>
        <w:gridCol w:w="84"/>
      </w:tblGrid>
      <w:tr>
        <w:trPr/>
        <w:tc>
          <w:tcPr>
            <w:tcW w:w="1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2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2024</w:t>
            </w:r>
          </w:p>
        </w:tc>
        <w:tc>
          <w:tcPr>
            <w:tcW w:w="84" w:type="dxa"/>
            <w:tcBorders/>
            <w:vAlign w:val="center"/>
          </w:tcPr>
          <w:p>
            <w:pPr>
              <w:pStyle w:val="TableContents"/>
              <w:bidi w:val="0"/>
              <w:spacing w:before="0" w:after="283"/>
              <w:jc w:val="left"/>
              <w:rPr/>
            </w:pPr>
            <w:r>
              <w:rPr/>
              <w:t> </w:t>
            </w:r>
          </w:p>
        </w:tc>
      </w:tr>
      <w:tr>
        <w:trPr/>
        <w:tc>
          <w:tcPr>
            <w:tcW w:w="1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4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4" w:type="dxa"/>
            <w:tcBorders/>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1161"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46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528" w:type="dxa"/>
            <w:tcBorders/>
            <w:shd w:fill="CCEEFF" w:val="clear"/>
            <w:vAlign w:val="center"/>
          </w:tcPr>
          <w:p>
            <w:pPr>
              <w:pStyle w:val="TableContents"/>
              <w:bidi w:val="0"/>
              <w:spacing w:before="0" w:after="283"/>
              <w:jc w:val="right"/>
              <w:rPr/>
            </w:pPr>
            <w:r>
              <w:rPr/>
              <w:t>54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39"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137</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92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251</w:t>
            </w:r>
          </w:p>
        </w:tc>
        <w:tc>
          <w:tcPr>
            <w:tcW w:w="84" w:type="dxa"/>
            <w:tcBorders/>
            <w:shd w:fill="FFFF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39"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2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10" w:space="0" w:color="000000"/>
            </w:tcBorders>
            <w:shd w:fill="CCEEFF" w:val="clear"/>
            <w:tcMar>
              <w:bottom w:w="28" w:type="dxa"/>
            </w:tcMar>
            <w:vAlign w:val="center"/>
          </w:tcPr>
          <w:p>
            <w:pPr>
              <w:pStyle w:val="TableContents"/>
              <w:bidi w:val="0"/>
              <w:spacing w:before="0" w:after="283"/>
              <w:jc w:val="right"/>
              <w:rPr/>
            </w:pPr>
            <w:r>
              <w:rPr/>
              <w:t>137</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pPr>
            <w:r>
              <w:rPr/>
              <w:t>138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26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pPr>
            <w:r>
              <w:rPr/>
              <w:t>305</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w:t>
      </w:r>
      <w:r>
        <w:rPr>
          <w:rFonts w:ascii="Times New Roman;Times;Serif" w:hAnsi="Times New Roman;Times;Serif"/>
          <w:b/>
          <w:i/>
          <w:caps w:val="false"/>
          <w:smallCaps w:val="false"/>
          <w:sz w:val="20"/>
        </w:rPr>
        <w:t>.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3935"/>
        <w:gridCol w:w="60"/>
        <w:gridCol w:w="175"/>
        <w:gridCol w:w="700"/>
        <w:gridCol w:w="60"/>
        <w:gridCol w:w="60"/>
        <w:gridCol w:w="241"/>
        <w:gridCol w:w="1174"/>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Deferred commissions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9,609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12,840</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Bonus install commitment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435</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9,830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FFFFFF" w:val="clear"/>
            <w:tcMar>
              <w:bottom w:w="28" w:type="dxa"/>
            </w:tcMar>
            <w:vAlign w:val="center"/>
          </w:tcPr>
          <w:p>
            <w:pPr>
              <w:pStyle w:val="TableContents"/>
              <w:bidi w:val="0"/>
              <w:spacing w:before="0" w:after="283"/>
              <w:jc w:val="right"/>
              <w:rPr/>
            </w:pPr>
            <w:r>
              <w:rPr/>
              <w:t>13,508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$10,527 of commission expense in the six months ended June 30, 2025,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w:t>
      </w:r>
      <w:r>
        <w:rPr>
          <w:rFonts w:ascii="Times New Roman;Times;Serif" w:hAnsi="Times New Roman;Times;Serif"/>
          <w:b/>
          <w:i/>
          <w:caps w:val="false"/>
          <w:smallCaps w:val="false"/>
          <w:sz w:val="20"/>
        </w:rPr>
        <w:t>.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7238" w:type="dxa"/>
        <w:jc w:val="left"/>
        <w:tblInd w:w="0" w:type="dxa"/>
        <w:tblLayout w:type="fixed"/>
        <w:tblCellMar>
          <w:top w:w="0" w:type="dxa"/>
          <w:left w:w="0" w:type="dxa"/>
          <w:bottom w:w="0" w:type="dxa"/>
          <w:right w:w="0" w:type="dxa"/>
        </w:tblCellMar>
      </w:tblPr>
      <w:tblGrid>
        <w:gridCol w:w="4625"/>
        <w:gridCol w:w="60"/>
        <w:gridCol w:w="205"/>
        <w:gridCol w:w="669"/>
        <w:gridCol w:w="95"/>
        <w:gridCol w:w="60"/>
        <w:gridCol w:w="332"/>
        <w:gridCol w:w="1082"/>
        <w:gridCol w:w="110"/>
      </w:tblGrid>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669"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pPr>
            <w:r>
              <w:rPr/>
              <w:t>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188</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Total cost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FFFFFF" w:val="clear"/>
            <w:tcMar>
              <w:bottom w:w="28" w:type="dxa"/>
            </w:tcM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pPr>
            <w:r>
              <w:rPr/>
              <w:t>(205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9" w:type="dxa"/>
            <w:tcBorders>
              <w:bottom w:val="double" w:sz="10" w:space="0" w:color="000000"/>
            </w:tcBorders>
            <w:shd w:fill="FFFFFF" w:val="clear"/>
            <w:tcMar>
              <w:bottom w:w="28" w:type="dxa"/>
            </w:tcMar>
            <w:vAlign w:val="center"/>
          </w:tcPr>
          <w:p>
            <w:pPr>
              <w:pStyle w:val="TableContents"/>
              <w:bidi w:val="0"/>
              <w:spacing w:before="0" w:after="283"/>
              <w:jc w:val="right"/>
              <w:rPr/>
            </w:pPr>
            <w:r>
              <w:rPr/>
              <w:t>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82" w:type="dxa"/>
            <w:tcBorders>
              <w:bottom w:val="double" w:sz="10" w:space="0" w:color="000000"/>
            </w:tcBorders>
            <w:shd w:fill="FFFFFF" w:val="clear"/>
            <w:tcMar>
              <w:bottom w:w="28" w:type="dxa"/>
            </w:tcMar>
            <w:vAlign w:val="center"/>
          </w:tcPr>
          <w:p>
            <w:pPr>
              <w:pStyle w:val="TableContents"/>
              <w:bidi w:val="0"/>
              <w:spacing w:before="0" w:after="283"/>
              <w:jc w:val="right"/>
              <w:rPr/>
            </w:pPr>
            <w:r>
              <w:rPr/>
              <w:t>298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2025 and 2024 was $40 and $39,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7349" w:type="dxa"/>
        <w:jc w:val="left"/>
        <w:tblInd w:w="0" w:type="dxa"/>
        <w:tblLayout w:type="fixed"/>
        <w:tblCellMar>
          <w:top w:w="0" w:type="dxa"/>
          <w:left w:w="0" w:type="dxa"/>
          <w:bottom w:w="0" w:type="dxa"/>
          <w:right w:w="0" w:type="dxa"/>
        </w:tblCellMar>
      </w:tblPr>
      <w:tblGrid>
        <w:gridCol w:w="4805"/>
        <w:gridCol w:w="60"/>
        <w:gridCol w:w="149"/>
        <w:gridCol w:w="725"/>
        <w:gridCol w:w="60"/>
        <w:gridCol w:w="60"/>
        <w:gridCol w:w="283"/>
        <w:gridCol w:w="1132"/>
        <w:gridCol w:w="75"/>
      </w:tblGrid>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Accrued salaries, wages and related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Commissions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3,177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1,814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Legal fees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8,195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4,136</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47</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Credit card obligation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Other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293</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pPr>
            <w:r>
              <w:rPr/>
              <w:t>11,881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6,511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entered into an unsecured line of credit (“LOC”) agreement with a borrowing limit of $3,000. The LOC had a fixed interest rate of 7.5% and was scheduled to mature on June 30, 2025. The outstanding balance on the line was $2,250 as of June 30, 2025 and December 31, 2024. The LOC was repaid in September 2025 in connection with the sale of the membership interest in the Company. Refer to Note 2 – </w:t>
      </w:r>
      <w:r>
        <w:rPr>
          <w:rFonts w:ascii="Times New Roman;Times;Serif" w:hAnsi="Times New Roman;Times;Serif"/>
          <w:b w:val="false"/>
          <w:i/>
          <w:caps w:val="false"/>
          <w:smallCaps w:val="false"/>
          <w:sz w:val="20"/>
        </w:rPr>
        <w:t>Liquidity Considerations and Sale of Company</w:t>
      </w:r>
      <w:r>
        <w:rPr>
          <w:rFonts w:ascii="Times New Roman;Times;Serif" w:hAnsi="Times New Roman;Times;Serif"/>
          <w:b w:val="false"/>
          <w:i w:val="false"/>
          <w:caps w:val="false"/>
          <w:smallCaps w:val="false"/>
          <w:sz w:val="20"/>
        </w:rPr>
        <w:t xml:space="preserve"> for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recognized in the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w:t>
      </w:r>
      <w:r>
        <w:rPr>
          <w:rFonts w:ascii="Times New Roman;Times;Serif" w:hAnsi="Times New Roman;Times;Serif"/>
          <w:b/>
          <w:i/>
          <w:caps w:val="false"/>
          <w:smallCaps w:val="false"/>
          <w:sz w:val="20"/>
        </w:rPr>
        <w:t>.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operating lease components recorded in the Company’s balance sheets as of June 30, 2025 and December 31, 2024</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883" w:type="dxa"/>
        <w:jc w:val="left"/>
        <w:tblInd w:w="0" w:type="dxa"/>
        <w:tblLayout w:type="fixed"/>
        <w:tblCellMar>
          <w:top w:w="0" w:type="dxa"/>
          <w:left w:w="0" w:type="dxa"/>
          <w:bottom w:w="0" w:type="dxa"/>
          <w:right w:w="0" w:type="dxa"/>
        </w:tblCellMar>
      </w:tblPr>
      <w:tblGrid>
        <w:gridCol w:w="4340"/>
        <w:gridCol w:w="60"/>
        <w:gridCol w:w="235"/>
        <w:gridCol w:w="639"/>
        <w:gridCol w:w="60"/>
        <w:gridCol w:w="60"/>
        <w:gridCol w:w="380"/>
        <w:gridCol w:w="1034"/>
        <w:gridCol w:w="75"/>
      </w:tblGrid>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119</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pPr>
            <w:r>
              <w:rPr/>
              <w:t>Noncurrent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$58 and $53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 and discount rates for the Company’s operating leases:</w:t>
      </w:r>
    </w:p>
    <w:p>
      <w:pPr>
        <w:pStyle w:val="TextBody"/>
        <w:bidi w:val="0"/>
        <w:spacing w:before="0" w:after="0"/>
        <w:ind w:left="0" w:right="0" w:hanging="0"/>
        <w:jc w:val="both"/>
        <w:rPr>
          <w:caps w:val="false"/>
          <w:smallCaps w:val="false"/>
        </w:rPr>
      </w:pPr>
      <w:r>
        <w:rPr>
          <w:caps w:val="false"/>
          <w:smallCaps w:val="false"/>
        </w:rPr>
        <w:t> </w:t>
      </w:r>
    </w:p>
    <w:tbl>
      <w:tblPr>
        <w:tblW w:w="6639" w:type="dxa"/>
        <w:jc w:val="left"/>
        <w:tblInd w:w="0" w:type="dxa"/>
        <w:tblLayout w:type="fixed"/>
        <w:tblCellMar>
          <w:top w:w="0" w:type="dxa"/>
          <w:left w:w="0" w:type="dxa"/>
          <w:bottom w:w="0" w:type="dxa"/>
          <w:right w:w="0" w:type="dxa"/>
        </w:tblCellMar>
      </w:tblPr>
      <w:tblGrid>
        <w:gridCol w:w="3755"/>
        <w:gridCol w:w="60"/>
        <w:gridCol w:w="60"/>
        <w:gridCol w:w="845"/>
        <w:gridCol w:w="215"/>
        <w:gridCol w:w="60"/>
        <w:gridCol w:w="169"/>
        <w:gridCol w:w="1245"/>
        <w:gridCol w:w="230"/>
      </w:tblGrid>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6.5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June 30, 2025, were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090"/>
        <w:gridCol w:w="60"/>
        <w:gridCol w:w="140"/>
        <w:gridCol w:w="380"/>
        <w:gridCol w:w="110"/>
      </w:tblGrid>
      <w:tr>
        <w:trPr/>
        <w:tc>
          <w:tcPr>
            <w:tcW w:w="2090" w:type="dxa"/>
            <w:tcBorders/>
            <w:vAlign w:val="center"/>
          </w:tcPr>
          <w:p>
            <w:pPr>
              <w:pStyle w:val="TableContents"/>
              <w:bidi w:val="0"/>
              <w:spacing w:before="0" w:after="283"/>
              <w:jc w:val="both"/>
              <w:rPr/>
            </w:pPr>
            <w:r>
              <w:rPr/>
              <w:t>Years ending:</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394</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Enzy Technologies LLC (Enzy) is an entity related to the Company by common ownership. 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$50 and $536 for the six months ended June 30, 2025 and 2024, respectively. Expenses incurred for Enzy and fees charged to Enzy totaled $Nil and $924 for the six months ended June 30, 2025 and 2024, respectively. The Company has balances due from Enzy of $Nil and $559 as of June 30, 2025 and December 31, 2024,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obtained a number of insurance policies to help protect the Company from potential losses through a captive insurance company related by common ownership.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equity deficit. The Company recognized expenses of $486 and $442 for the six months ended June 30, 2025 and 2024,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Company’s CEO directly paid $1,000 to certain legal firms for services provided to the Company. The Company’s CEO and the Sole Member entered into an arrangement on or around March 19, 2025 that resulted in the Sole Member and the Company recognizing this payment on behalf of the Company as a capital contribution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activity in the Incentive Units during the six months ended June 30, 2025. The number of outstanding Incentive Units was 46,574 at each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$0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six months ended June 30, 2025 and 2024. As of June 30, 2025 and December 31, 2024, unrecognized compensation cost related to unvested Incentive Units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activity for the six months ended June 30, 2025 is presented below:</w:t>
      </w:r>
    </w:p>
    <w:p>
      <w:pPr>
        <w:pStyle w:val="TextBody"/>
        <w:bidi w:val="0"/>
        <w:spacing w:before="0" w:after="0"/>
        <w:ind w:left="0" w:right="0" w:hanging="0"/>
        <w:jc w:val="both"/>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5195"/>
        <w:gridCol w:w="60"/>
        <w:gridCol w:w="424"/>
        <w:gridCol w:w="1845"/>
        <w:gridCol w:w="230"/>
      </w:tblGrid>
      <w:tr>
        <w:trPr/>
        <w:tc>
          <w:tcPr>
            <w:tcW w:w="51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2024</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1845"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Forfeitures</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Compensation award outstanding, June 30, 2025</w:t>
            </w:r>
          </w:p>
        </w:tc>
        <w:tc>
          <w:tcPr>
            <w:tcW w:w="60" w:type="dxa"/>
            <w:tcBorders/>
            <w:shd w:fill="FFFFFF" w:val="clear"/>
            <w:vAlign w:val="center"/>
          </w:tcPr>
          <w:p>
            <w:pPr>
              <w:pStyle w:val="TableContents"/>
              <w:bidi w:val="0"/>
              <w:spacing w:before="0" w:after="283"/>
              <w:jc w:val="left"/>
              <w:rPr/>
            </w:pPr>
            <w:r>
              <w:rPr/>
              <w:t> </w:t>
            </w:r>
          </w:p>
        </w:tc>
        <w:tc>
          <w:tcPr>
            <w:tcW w:w="42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double" w:sz="10" w:space="0" w:color="000000"/>
            </w:tcBorders>
            <w:shd w:fill="FFFFFF" w:val="clear"/>
            <w:tcMar>
              <w:bottom w:w="28" w:type="dxa"/>
            </w:tcM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in either of the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$57,800. Per the terms of the MIPA, the Member sold all of the outstanding membership interest of Sunder for (1) $20,700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38300" cy="676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3048000"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48000" cy="200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G_001"/>
      <w:bookmarkEnd w:id="44"/>
      <w:r>
        <w:rPr>
          <w:rFonts w:ascii="Times New Roman;Times;Serif" w:hAnsi="Times New Roman;Times;Serif"/>
          <w:b/>
          <w:i w:val="false"/>
          <w:caps w:val="false"/>
          <w:smallCaps w:val="false"/>
          <w:sz w:val="20"/>
        </w:rPr>
        <w:t>To the Members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financial statements of Ambia Energy, LLC (the Company), which comprise the balance sheet as of December 31, 2024, and the related statement of operations and member’s deficit , and cash flows for the year then ended, and the related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referred to above present fairly, in all material respects, the financial position of the Company as of December 31, 2024 and the results of its operations and its cash flows for the year then ended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audit in accordance with auditing standards generally accepted in the United States of America (US GAAS). Our responsibilities under those standards are further described in the </w:t>
      </w:r>
      <w:r>
        <w:rPr>
          <w:rFonts w:ascii="Times New Roman;Times;Serif" w:hAnsi="Times New Roman;Times;Serif"/>
          <w:b w:val="false"/>
          <w:i/>
          <w:caps w:val="false"/>
          <w:smallCaps w:val="false"/>
          <w:sz w:val="20"/>
        </w:rPr>
        <w:t>Auditors’ Responsibilities for the Audit of the Financial Statements</w:t>
      </w:r>
      <w:r>
        <w:rPr>
          <w:rFonts w:ascii="Times New Roman;Times;Serif" w:hAnsi="Times New Roman;Times;Serif"/>
          <w:b w:val="false"/>
          <w:i w:val="false"/>
          <w:caps w:val="false"/>
          <w:smallCaps w:val="false"/>
          <w:sz w:val="20"/>
        </w:rPr>
        <w:t xml:space="preserve">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US GAAP,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generally accepted auditing standards, we:</w:t>
      </w:r>
    </w:p>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pPr>
            <w:r>
              <w:rPr/>
              <w:t xml:space="preserve">Exercise professional judgment and maintain professional skepticism throughout the audit.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Tanner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F-149</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5" w:name="G_002"/>
      <w:bookmarkEnd w:id="45"/>
      <w:r>
        <w:rPr>
          <w:rFonts w:ascii="Times New Roman;Times;Serif" w:hAnsi="Times New Roman;Times;Serif"/>
          <w:b/>
          <w:i/>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8459" w:type="dxa"/>
        <w:jc w:val="left"/>
        <w:tblInd w:w="0" w:type="dxa"/>
        <w:tblLayout w:type="fixed"/>
        <w:tblCellMar>
          <w:top w:w="0" w:type="dxa"/>
          <w:left w:w="0" w:type="dxa"/>
          <w:bottom w:w="0" w:type="dxa"/>
          <w:right w:w="0" w:type="dxa"/>
        </w:tblCellMar>
      </w:tblPr>
      <w:tblGrid>
        <w:gridCol w:w="6380"/>
        <w:gridCol w:w="60"/>
        <w:gridCol w:w="214"/>
        <w:gridCol w:w="1695"/>
        <w:gridCol w:w="11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As of December 31,</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Assets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1,043,269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$123,000</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1,010,295</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4,601,890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366,027</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 receivable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423,719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3,511,328</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costs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6,137,615</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531,238</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17,625,381</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385,192</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740,654</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1,971,170</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116,819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2,168,566</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2,799,860</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commissions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180,114</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accounts payable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509,649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10,585,293</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401,456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315,541</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16,960,479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367,346</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1,228,546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lines of credit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2,175,000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notes payable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7,140,109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27,871,480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 deficit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(7,032,264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 w:name="G_003"/>
      <w:bookmarkEnd w:id="46"/>
      <w:r>
        <w:rPr>
          <w:rFonts w:ascii="Times New Roman;Times;Serif" w:hAnsi="Times New Roman;Times;Serif"/>
          <w:b/>
          <w:i/>
          <w:caps w:val="false"/>
          <w:smallCaps w:val="false"/>
          <w:sz w:val="20"/>
        </w:rPr>
        <w:t>Statement of Operations and Member’s Deficit</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849" w:type="dxa"/>
        <w:jc w:val="left"/>
        <w:tblInd w:w="0" w:type="dxa"/>
        <w:tblLayout w:type="fixed"/>
        <w:tblCellMar>
          <w:top w:w="0" w:type="dxa"/>
          <w:left w:w="0" w:type="dxa"/>
          <w:bottom w:w="0" w:type="dxa"/>
          <w:right w:w="0" w:type="dxa"/>
        </w:tblCellMar>
      </w:tblPr>
      <w:tblGrid>
        <w:gridCol w:w="3770"/>
        <w:gridCol w:w="60"/>
        <w:gridCol w:w="215"/>
        <w:gridCol w:w="1694"/>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i/>
              </w:rPr>
            </w:pPr>
            <w:r>
              <w:rPr>
                <w:i/>
              </w:rPr>
              <w:t>For the Year Ended</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94" w:type="dxa"/>
            <w:tcBorders/>
            <w:shd w:fill="CCEEFF" w:val="clear"/>
            <w:vAlign w:val="center"/>
          </w:tcPr>
          <w:p>
            <w:pPr>
              <w:pStyle w:val="TableContents"/>
              <w:bidi w:val="0"/>
              <w:spacing w:before="0" w:after="283"/>
              <w:jc w:val="right"/>
              <w:rPr/>
            </w:pPr>
            <w:r>
              <w:rPr/>
              <w:t>54,273,721</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31,932,462</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22,341,259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11,156,319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Commissions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14,399,701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Rent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1,198,814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401,665</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27,156,499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(4,815,240</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(1,233,685</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(204,126</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(1,437,811</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4" w:type="dxa"/>
            <w:tcBorders>
              <w:bottom w:val="double" w:sz="10" w:space="0" w:color="000000"/>
            </w:tcBorders>
            <w:shd w:fill="CCEEFF" w:val="clear"/>
            <w:tcMar>
              <w:bottom w:w="28" w:type="dxa"/>
            </w:tcMar>
            <w:vAlign w:val="center"/>
          </w:tcPr>
          <w:p>
            <w:pPr>
              <w:pStyle w:val="TableContents"/>
              <w:bidi w:val="0"/>
              <w:spacing w:before="0" w:after="283"/>
              <w:jc w:val="right"/>
              <w:rPr/>
            </w:pPr>
            <w:r>
              <w:rPr/>
              <w:t>(6,253,051</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Member’s deficit, beginning of the year</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694" w:type="dxa"/>
            <w:tcBorders/>
            <w:shd w:fill="FFFFFF" w:val="clear"/>
            <w:vAlign w:val="center"/>
          </w:tcPr>
          <w:p>
            <w:pPr>
              <w:pStyle w:val="TableContents"/>
              <w:bidi w:val="0"/>
              <w:spacing w:before="0" w:after="283"/>
              <w:jc w:val="right"/>
              <w:rPr/>
            </w:pPr>
            <w:r>
              <w:rPr/>
              <w:t>(5,112,377</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Member’s contribution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4,333,164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(6,253,051</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Member’s deficit, end of the year</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4" w:type="dxa"/>
            <w:tcBorders>
              <w:bottom w:val="double" w:sz="10" w:space="0" w:color="000000"/>
            </w:tcBorders>
            <w:shd w:fill="CCEEFF" w:val="clear"/>
            <w:tcMar>
              <w:bottom w:w="28" w:type="dxa"/>
            </w:tcMar>
            <w:vAlign w:val="center"/>
          </w:tcPr>
          <w:p>
            <w:pPr>
              <w:pStyle w:val="TableContents"/>
              <w:bidi w:val="0"/>
              <w:spacing w:before="0" w:after="283"/>
              <w:jc w:val="right"/>
              <w:rPr/>
            </w:pPr>
            <w:r>
              <w:rPr/>
              <w:t>(7,032,264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 w:name="G_004"/>
      <w:bookmarkEnd w:id="47"/>
      <w:r>
        <w:rPr>
          <w:rFonts w:ascii="Times New Roman;Times;Serif" w:hAnsi="Times New Roman;Times;Serif"/>
          <w:b/>
          <w:i/>
          <w:caps w:val="false"/>
          <w:smallCaps w:val="false"/>
          <w:sz w:val="20"/>
        </w:rPr>
        <w:t>Statement of Cash Flows</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109" w:type="dxa"/>
        <w:jc w:val="left"/>
        <w:tblInd w:w="0" w:type="dxa"/>
        <w:tblLayout w:type="fixed"/>
        <w:tblCellMar>
          <w:top w:w="0" w:type="dxa"/>
          <w:left w:w="0" w:type="dxa"/>
          <w:bottom w:w="0" w:type="dxa"/>
          <w:right w:w="0" w:type="dxa"/>
        </w:tblCellMar>
      </w:tblPr>
      <w:tblGrid>
        <w:gridCol w:w="8030"/>
        <w:gridCol w:w="60"/>
        <w:gridCol w:w="223"/>
        <w:gridCol w:w="1686"/>
        <w:gridCol w:w="110"/>
      </w:tblGrid>
      <w:tr>
        <w:trPr/>
        <w:tc>
          <w:tcPr>
            <w:tcW w:w="80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i/>
              </w:rPr>
            </w:pPr>
            <w:r>
              <w:rPr>
                <w:i/>
              </w:rPr>
              <w:t>For the Year Ended</w:t>
              <w:br/>
              <w:t>December 31,</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(6,253,051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Amortization of operating right-of-use assets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759,705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401,665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(854,494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(685,328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(70,215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Sales commissions receivable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143,272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74,447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Deferred costs and commissions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(701,857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(323,190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(14,304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696,549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2,009,806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Accrued commissions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180,114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Related-party accounts payable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89,561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(1,076,155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(698,091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(6,321,566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(335,303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Proceeds from related-party notes payable and revolving lines of credit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8,925,000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Payments on related-party notes payable and revolving lines of credit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(3,305,747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Payments on finance lease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(530,918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Proceeds from members’ contribution</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1,883,164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6,971,499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314,630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728,639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Cash at end of year</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10" w:space="0" w:color="000000"/>
            </w:tcBorders>
            <w:shd w:fill="CCEEFF" w:val="clear"/>
            <w:tcMar>
              <w:bottom w:w="28" w:type="dxa"/>
            </w:tcMar>
            <w:vAlign w:val="center"/>
          </w:tcPr>
          <w:p>
            <w:pPr>
              <w:pStyle w:val="TableContents"/>
              <w:bidi w:val="0"/>
              <w:spacing w:before="0" w:after="283"/>
              <w:jc w:val="right"/>
              <w:rPr/>
            </w:pPr>
            <w:r>
              <w:rPr/>
              <w:t>1,043,269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235,503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61,313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Finance lease right-of-use assets obtained in exchange for finance lease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1,477,040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Conversion of related-party notes payable to members’ equity</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2,450,000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8" w:name="G_005"/>
      <w:bookmarkEnd w:id="48"/>
      <w:r>
        <w:rPr>
          <w:rFonts w:ascii="Times New Roman;Times;Serif" w:hAnsi="Times New Roman;Times;Serif"/>
          <w:b/>
          <w:i/>
          <w:caps w:val="false"/>
          <w:smallCaps w:val="false"/>
          <w:sz w:val="20"/>
        </w:rPr>
        <w:t>Notes to Financial Statements</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0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2195" w:type="dxa"/>
            <w:tcBorders/>
            <w:vAlign w:val="center"/>
          </w:tcPr>
          <w:p>
            <w:pPr>
              <w:pStyle w:val="TableContents"/>
              <w:bidi w:val="0"/>
              <w:spacing w:before="0" w:after="283"/>
              <w:jc w:val="both"/>
              <w:rPr>
                <w:b/>
              </w:rPr>
            </w:pPr>
            <w:r>
              <w:rPr>
                <w:b/>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Organization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0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4475"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1740" w:type="dxa"/>
        <w:jc w:val="left"/>
        <w:tblInd w:w="0" w:type="dxa"/>
        <w:tblLayout w:type="fixed"/>
        <w:tblCellMar>
          <w:top w:w="0" w:type="dxa"/>
          <w:left w:w="0" w:type="dxa"/>
          <w:bottom w:w="0" w:type="dxa"/>
          <w:right w:w="0" w:type="dxa"/>
        </w:tblCellMar>
      </w:tblPr>
      <w:tblGrid>
        <w:gridCol w:w="950"/>
        <w:gridCol w:w="60"/>
        <w:gridCol w:w="93"/>
        <w:gridCol w:w="407"/>
        <w:gridCol w:w="230"/>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Lender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64</w:t>
            </w:r>
          </w:p>
        </w:tc>
        <w:tc>
          <w:tcPr>
            <w:tcW w:w="230" w:type="dxa"/>
            <w:tcBorders/>
            <w:shd w:fill="CCEEFF" w:val="clear"/>
            <w:vAlign w:val="center"/>
          </w:tcPr>
          <w:p>
            <w:pPr>
              <w:pStyle w:val="TableContents"/>
              <w:bidi w:val="0"/>
              <w:spacing w:before="0" w:after="283"/>
              <w:jc w:val="left"/>
              <w:rPr/>
            </w:pPr>
            <w:r>
              <w:rPr/>
              <w:t>%</w:t>
            </w:r>
          </w:p>
        </w:tc>
      </w:tr>
      <w:tr>
        <w:trPr/>
        <w:tc>
          <w:tcPr>
            <w:tcW w:w="950" w:type="dxa"/>
            <w:tcBorders/>
            <w:shd w:fill="FFFFFF" w:val="clear"/>
            <w:vAlign w:val="center"/>
          </w:tcPr>
          <w:p>
            <w:pPr>
              <w:pStyle w:val="TableContents"/>
              <w:bidi w:val="0"/>
              <w:spacing w:before="0" w:after="283"/>
              <w:jc w:val="left"/>
              <w:rPr/>
            </w:pPr>
            <w:r>
              <w:rPr/>
              <w:t>Lender B</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26</w:t>
            </w:r>
          </w:p>
        </w:tc>
        <w:tc>
          <w:tcPr>
            <w:tcW w:w="230" w:type="dxa"/>
            <w:tcBorders/>
            <w:shd w:fill="FFFFFF" w:val="clear"/>
            <w:vAlign w:val="center"/>
          </w:tcPr>
          <w:p>
            <w:pPr>
              <w:pStyle w:val="TableContents"/>
              <w:bidi w:val="0"/>
              <w:spacing w:before="0" w:after="283"/>
              <w:jc w:val="left"/>
              <w:rPr/>
            </w:pPr>
            <w:r>
              <w:rPr/>
              <w:t>%</w:t>
            </w:r>
          </w:p>
        </w:tc>
      </w:tr>
      <w:tr>
        <w:trPr/>
        <w:tc>
          <w:tcPr>
            <w:tcW w:w="950" w:type="dxa"/>
            <w:tcBorders/>
            <w:shd w:fill="CCEEFF" w:val="clear"/>
            <w:vAlign w:val="center"/>
          </w:tcPr>
          <w:p>
            <w:pPr>
              <w:pStyle w:val="TableContents"/>
              <w:bidi w:val="0"/>
              <w:spacing w:before="0" w:after="283"/>
              <w:jc w:val="left"/>
              <w:rPr/>
            </w:pPr>
            <w:r>
              <w:rPr/>
              <w:t>Lender C</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55"/>
        <w:gridCol w:w="4775"/>
      </w:tblGrid>
      <w:tr>
        <w:trPr/>
        <w:tc>
          <w:tcPr>
            <w:tcW w:w="155" w:type="dxa"/>
            <w:tcBorders/>
            <w:vAlign w:val="center"/>
          </w:tcPr>
          <w:p>
            <w:pPr>
              <w:pStyle w:val="TableContents"/>
              <w:bidi w:val="0"/>
              <w:spacing w:before="0" w:after="283"/>
              <w:jc w:val="left"/>
              <w:rPr>
                <w:i/>
              </w:rPr>
            </w:pPr>
            <w:r>
              <w:rPr>
                <w:i/>
              </w:rPr>
              <w:t>*</w:t>
            </w:r>
          </w:p>
        </w:tc>
        <w:tc>
          <w:tcPr>
            <w:tcW w:w="4775" w:type="dxa"/>
            <w:tcBorders/>
            <w:vAlign w:val="center"/>
          </w:tcPr>
          <w:p>
            <w:pPr>
              <w:pStyle w:val="TableContents"/>
              <w:bidi w:val="0"/>
              <w:spacing w:before="0" w:after="283"/>
              <w:jc w:val="both"/>
              <w:rPr>
                <w:i/>
              </w:rPr>
            </w:pPr>
            <w:r>
              <w:rPr>
                <w:i/>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December 31:</w:t>
      </w:r>
    </w:p>
    <w:p>
      <w:pPr>
        <w:pStyle w:val="TextBody"/>
        <w:bidi w:val="0"/>
        <w:spacing w:before="0" w:after="0"/>
        <w:ind w:left="0" w:right="0" w:hanging="0"/>
        <w:jc w:val="both"/>
        <w:rPr>
          <w:caps w:val="false"/>
          <w:smallCaps w:val="false"/>
        </w:rPr>
      </w:pPr>
      <w:r>
        <w:rPr>
          <w:caps w:val="false"/>
          <w:smallCaps w:val="false"/>
        </w:rPr>
        <w:t> </w:t>
      </w:r>
    </w:p>
    <w:tbl>
      <w:tblPr>
        <w:tblW w:w="1740" w:type="dxa"/>
        <w:jc w:val="left"/>
        <w:tblInd w:w="0" w:type="dxa"/>
        <w:tblLayout w:type="fixed"/>
        <w:tblCellMar>
          <w:top w:w="0" w:type="dxa"/>
          <w:left w:w="0" w:type="dxa"/>
          <w:bottom w:w="0" w:type="dxa"/>
          <w:right w:w="0" w:type="dxa"/>
        </w:tblCellMar>
      </w:tblPr>
      <w:tblGrid>
        <w:gridCol w:w="950"/>
        <w:gridCol w:w="60"/>
        <w:gridCol w:w="93"/>
        <w:gridCol w:w="407"/>
        <w:gridCol w:w="230"/>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Lender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46</w:t>
            </w:r>
          </w:p>
        </w:tc>
        <w:tc>
          <w:tcPr>
            <w:tcW w:w="230" w:type="dxa"/>
            <w:tcBorders/>
            <w:shd w:fill="CCEEFF" w:val="clear"/>
            <w:vAlign w:val="center"/>
          </w:tcPr>
          <w:p>
            <w:pPr>
              <w:pStyle w:val="TableContents"/>
              <w:bidi w:val="0"/>
              <w:spacing w:before="0" w:after="283"/>
              <w:jc w:val="left"/>
              <w:rPr/>
            </w:pPr>
            <w:r>
              <w:rPr/>
              <w:t>%</w:t>
            </w:r>
          </w:p>
        </w:tc>
      </w:tr>
      <w:tr>
        <w:trPr/>
        <w:tc>
          <w:tcPr>
            <w:tcW w:w="950" w:type="dxa"/>
            <w:tcBorders/>
            <w:shd w:fill="FFFFFF" w:val="clear"/>
            <w:vAlign w:val="center"/>
          </w:tcPr>
          <w:p>
            <w:pPr>
              <w:pStyle w:val="TableContents"/>
              <w:bidi w:val="0"/>
              <w:spacing w:before="0" w:after="283"/>
              <w:jc w:val="left"/>
              <w:rPr/>
            </w:pPr>
            <w:r>
              <w:rPr/>
              <w:t>Lender B</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31</w:t>
            </w:r>
          </w:p>
        </w:tc>
        <w:tc>
          <w:tcPr>
            <w:tcW w:w="230" w:type="dxa"/>
            <w:tcBorders/>
            <w:shd w:fill="FFFFFF" w:val="clear"/>
            <w:vAlign w:val="center"/>
          </w:tcPr>
          <w:p>
            <w:pPr>
              <w:pStyle w:val="TableContents"/>
              <w:bidi w:val="0"/>
              <w:spacing w:before="0" w:after="283"/>
              <w:jc w:val="left"/>
              <w:rPr/>
            </w:pPr>
            <w:r>
              <w:rPr/>
              <w:t>%</w:t>
            </w:r>
          </w:p>
        </w:tc>
      </w:tr>
      <w:tr>
        <w:trPr/>
        <w:tc>
          <w:tcPr>
            <w:tcW w:w="950" w:type="dxa"/>
            <w:tcBorders/>
            <w:shd w:fill="CCEEFF" w:val="clear"/>
            <w:vAlign w:val="center"/>
          </w:tcPr>
          <w:p>
            <w:pPr>
              <w:pStyle w:val="TableContents"/>
              <w:bidi w:val="0"/>
              <w:spacing w:before="0" w:after="283"/>
              <w:jc w:val="left"/>
              <w:rPr/>
            </w:pPr>
            <w:r>
              <w:rPr/>
              <w:t>Lender D</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55"/>
        <w:gridCol w:w="6770"/>
      </w:tblGrid>
      <w:tr>
        <w:trPr/>
        <w:tc>
          <w:tcPr>
            <w:tcW w:w="15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pPr>
            <w:r>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purchases. The following was a major vendor for the year ended December 31:</w:t>
      </w:r>
    </w:p>
    <w:p>
      <w:pPr>
        <w:pStyle w:val="TextBody"/>
        <w:bidi w:val="0"/>
        <w:spacing w:before="0" w:after="0"/>
        <w:ind w:left="0" w:right="0" w:hanging="0"/>
        <w:jc w:val="right"/>
        <w:rPr>
          <w:caps w:val="false"/>
          <w:smallCaps w:val="false"/>
        </w:rPr>
      </w:pPr>
      <w:r>
        <w:rPr>
          <w:caps w:val="false"/>
          <w:smallCaps w:val="false"/>
        </w:rPr>
        <w:t> </w:t>
      </w:r>
    </w:p>
    <w:tbl>
      <w:tblPr>
        <w:tblW w:w="1785" w:type="dxa"/>
        <w:jc w:val="left"/>
        <w:tblInd w:w="0" w:type="dxa"/>
        <w:tblLayout w:type="fixed"/>
        <w:tblCellMar>
          <w:top w:w="0" w:type="dxa"/>
          <w:left w:w="0" w:type="dxa"/>
          <w:bottom w:w="0" w:type="dxa"/>
          <w:right w:w="0" w:type="dxa"/>
        </w:tblCellMar>
      </w:tblPr>
      <w:tblGrid>
        <w:gridCol w:w="995"/>
        <w:gridCol w:w="60"/>
        <w:gridCol w:w="93"/>
        <w:gridCol w:w="407"/>
        <w:gridCol w:w="230"/>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Vendor A</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143750" cy="57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571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year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December 31, 2024, the allowance for credit losses was $123,000.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05"/>
        <w:gridCol w:w="60"/>
        <w:gridCol w:w="905"/>
      </w:tblGrid>
      <w:tr>
        <w:trPr/>
        <w:tc>
          <w:tcPr>
            <w:tcW w:w="2405" w:type="dxa"/>
            <w:tcBorders/>
            <w:shd w:fill="CCEEFF" w:val="clear"/>
            <w:vAlign w:val="center"/>
          </w:tcPr>
          <w:p>
            <w:pPr>
              <w:pStyle w:val="TableContents"/>
              <w:bidi w:val="0"/>
              <w:spacing w:before="0" w:after="283"/>
              <w:jc w:val="left"/>
              <w:rPr/>
            </w:pPr>
            <w:r>
              <w:rPr/>
              <w:t>Tools and gear</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3 years</w:t>
            </w:r>
          </w:p>
        </w:tc>
      </w:tr>
      <w:tr>
        <w:trPr/>
        <w:tc>
          <w:tcPr>
            <w:tcW w:w="2405"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 years</w:t>
            </w:r>
          </w:p>
        </w:tc>
      </w:tr>
      <w:tr>
        <w:trPr/>
        <w:tc>
          <w:tcPr>
            <w:tcW w:w="2405" w:type="dxa"/>
            <w:tcBorders/>
            <w:shd w:fill="CCEEFF" w:val="clear"/>
            <w:vAlign w:val="center"/>
          </w:tcPr>
          <w:p>
            <w:pPr>
              <w:pStyle w:val="TableContents"/>
              <w:bidi w:val="0"/>
              <w:spacing w:before="0" w:after="283"/>
              <w:jc w:val="left"/>
              <w:rPr/>
            </w:pPr>
            <w:r>
              <w:rPr/>
              <w:t>Furniture</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5 years</w:t>
            </w:r>
          </w:p>
        </w:tc>
      </w:tr>
      <w:tr>
        <w:trPr/>
        <w:tc>
          <w:tcPr>
            <w:tcW w:w="2405" w:type="dxa"/>
            <w:tcBorders/>
            <w:shd w:fill="FFFFFF" w:val="clear"/>
            <w:vAlign w:val="center"/>
          </w:tcPr>
          <w:p>
            <w:pPr>
              <w:pStyle w:val="TableContents"/>
              <w:bidi w:val="0"/>
              <w:spacing w:before="0" w:after="283"/>
              <w:jc w:val="left"/>
              <w:rPr/>
            </w:pPr>
            <w:r>
              <w:rPr/>
              <w:t>Vehicles</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 years</w:t>
            </w:r>
          </w:p>
        </w:tc>
      </w:tr>
      <w:tr>
        <w:trPr/>
        <w:tc>
          <w:tcPr>
            <w:tcW w:w="240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1-3 years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December 31,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taxed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December 31,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are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contract, or contracts, with a customer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6"/>
        <w:gridCol w:w="298"/>
        <w:gridCol w:w="9841"/>
      </w:tblGrid>
      <w:tr>
        <w:trPr/>
        <w:tc>
          <w:tcPr>
            <w:tcW w:w="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8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1"/>
        <w:gridCol w:w="457"/>
        <w:gridCol w:w="9647"/>
      </w:tblGrid>
      <w:tr>
        <w:trPr/>
        <w:tc>
          <w:tcPr>
            <w:tcW w:w="10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w:t>
            </w:r>
          </w:p>
        </w:tc>
        <w:tc>
          <w:tcPr>
            <w:tcW w:w="96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Determination of the transaction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Allocation of the transaction price to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Sales Dealer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sale of solar energy systems for third parties who then perform the installation. The Company recognizes revenue upon the closing of each sale in the amount of the fee they earn for closing the sale, as that is when the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2690"/>
        <w:gridCol w:w="60"/>
        <w:gridCol w:w="140"/>
        <w:gridCol w:w="110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Installation services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54,164,441</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Sales dealer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109,280</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54,273,721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5833" w:type="dxa"/>
        <w:jc w:val="left"/>
        <w:tblInd w:w="0" w:type="dxa"/>
        <w:tblLayout w:type="fixed"/>
        <w:tblCellMar>
          <w:top w:w="0" w:type="dxa"/>
          <w:left w:w="0" w:type="dxa"/>
          <w:bottom w:w="0" w:type="dxa"/>
          <w:right w:w="0" w:type="dxa"/>
        </w:tblCellMar>
      </w:tblPr>
      <w:tblGrid>
        <w:gridCol w:w="1970"/>
        <w:gridCol w:w="60"/>
        <w:gridCol w:w="219"/>
        <w:gridCol w:w="1735"/>
        <w:gridCol w:w="60"/>
        <w:gridCol w:w="60"/>
        <w:gridCol w:w="186"/>
        <w:gridCol w:w="1468"/>
        <w:gridCol w:w="75"/>
      </w:tblGrid>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1, 2024</w:t>
            </w:r>
          </w:p>
        </w:tc>
        <w:tc>
          <w:tcPr>
            <w:tcW w:w="75" w:type="dxa"/>
            <w:tcBorders/>
            <w:vAlign w:val="center"/>
          </w:tcPr>
          <w:p>
            <w:pPr>
              <w:pStyle w:val="TableContents"/>
              <w:bidi w:val="0"/>
              <w:spacing w:before="0" w:after="283"/>
              <w:jc w:val="center"/>
              <w:rPr/>
            </w:pPr>
            <w:r>
              <w:rPr/>
              <w:t> </w:t>
            </w:r>
          </w:p>
        </w:tc>
      </w:tr>
      <w:tr>
        <w:trPr/>
        <w:tc>
          <w:tcPr>
            <w:tcW w:w="197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35" w:type="dxa"/>
            <w:tcBorders/>
            <w:shd w:fill="CCEEFF" w:val="clear"/>
            <w:vAlign w:val="center"/>
          </w:tcPr>
          <w:p>
            <w:pPr>
              <w:pStyle w:val="TableContents"/>
              <w:bidi w:val="0"/>
              <w:spacing w:before="0" w:after="283"/>
              <w:jc w:val="right"/>
              <w:rPr/>
            </w:pPr>
            <w:r>
              <w:rPr/>
              <w:t>1,010,295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155,801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Unbilled receivables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right"/>
              <w:rPr/>
            </w:pPr>
            <w:r>
              <w:rPr/>
              <w:t>4,601,890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3,916,562</w:t>
            </w:r>
          </w:p>
        </w:tc>
        <w:tc>
          <w:tcPr>
            <w:tcW w:w="7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10,585,293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11,661,448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F-156</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that they will be watertight. The Company bases its estimates on historical estimates and known conditions at the time. To date, warranty claims have been nominal. Accordingly, there was no warranty accrual recorded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did not exist.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 The Company had $6,137,615 in deferred contract fulfillment costs classified as deferred costs in the accompanying balance sheet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year ended December 31, 2024 totaled approximately $291,000.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December 22, 2025,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0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980" w:type="dxa"/>
            <w:tcBorders/>
            <w:vAlign w:val="center"/>
          </w:tcPr>
          <w:p>
            <w:pPr>
              <w:pStyle w:val="TableContents"/>
              <w:bidi w:val="0"/>
              <w:spacing w:before="0" w:after="283"/>
              <w:jc w:val="both"/>
              <w:rPr>
                <w:b/>
              </w:rPr>
            </w:pPr>
            <w:r>
              <w:rPr>
                <w:b/>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in the future to support its operating and capital expenditure commitments. The Company’s liquidity needs are to meet its operating expense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 working capital surplus of approximately $665,000 and stockholders’ deficit of approximately $7,032,000. For the year ended December 31, 2024, the Company had a net loss of approximately $6,253,000 and used cash in operating activities of approximately $6,322,000.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evaluated these conditions and believes the Company’s working capital and sales from operations will allow the Company to fund operations and pay current liabilities. Additionally, the Company raised additional funds in 2025 (See Note 13) that will assist the Company with liquidity needs, and finally, management believes the pending acquisition of the Company as previously mentioned will provide sufficient liquidity for the Company’s needs. The financial statements do not include any adjustments that might be necessary if the Company is unable to continue as a going concern. Although there can be no assurances, management believes that the capital raised and pending acquisition of the Company, combined with continued operational improvements as needed will provide the Company with the resources necessary to meet its liquidity needs for 12 months from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2600" w:type="dxa"/>
            <w:tcBorders/>
            <w:vAlign w:val="center"/>
          </w:tcPr>
          <w:p>
            <w:pPr>
              <w:pStyle w:val="TableContents"/>
              <w:bidi w:val="0"/>
              <w:spacing w:before="0" w:after="283"/>
              <w:jc w:val="both"/>
              <w:rPr>
                <w:b/>
              </w:rPr>
            </w:pPr>
            <w:r>
              <w:rPr>
                <w:b/>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4565"/>
        <w:gridCol w:w="60"/>
        <w:gridCol w:w="140"/>
        <w:gridCol w:w="87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Tools and gear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296,085</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76,701</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52,552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54,392</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Furniture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30,946</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510,676</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(125,484</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385,192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year ended December 31, 2024 was $101,680. Amortization of right-of-use assets held under finance leases was $299,985 for the year ended December 31, 2024; and is included in depreciation and amortization expense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0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2960" w:type="dxa"/>
            <w:tcBorders/>
            <w:vAlign w:val="center"/>
          </w:tcPr>
          <w:p>
            <w:pPr>
              <w:pStyle w:val="TableContents"/>
              <w:bidi w:val="0"/>
              <w:spacing w:before="0" w:after="283"/>
              <w:jc w:val="both"/>
              <w:rPr>
                <w:b/>
              </w:rPr>
            </w:pPr>
            <w:r>
              <w:rPr>
                <w:b/>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4,040,109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7,140,109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0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3050" w:type="dxa"/>
            <w:tcBorders/>
            <w:vAlign w:val="center"/>
          </w:tcPr>
          <w:p>
            <w:pPr>
              <w:pStyle w:val="TableContents"/>
              <w:bidi w:val="0"/>
              <w:spacing w:before="0" w:after="283"/>
              <w:jc w:val="both"/>
              <w:rPr>
                <w:b/>
              </w:rPr>
            </w:pPr>
            <w:r>
              <w:rPr>
                <w:b/>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$250,000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2,175,000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2,175,000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0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1790" w:type="dxa"/>
            <w:tcBorders/>
            <w:vAlign w:val="center"/>
          </w:tcPr>
          <w:p>
            <w:pPr>
              <w:pStyle w:val="TableContents"/>
              <w:bidi w:val="0"/>
              <w:spacing w:before="0" w:after="283"/>
              <w:jc w:val="both"/>
              <w:rPr>
                <w:b/>
              </w:rPr>
            </w:pPr>
            <w:r>
              <w:rPr>
                <w:b/>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a 100% of the membership interests outstanding are held by Ambia Holdings, Inc.</w:t>
      </w:r>
    </w:p>
    <w:p>
      <w:pPr>
        <w:pStyle w:val="TextBody"/>
        <w:bidi w:val="0"/>
        <w:spacing w:before="0" w:after="0"/>
        <w:ind w:left="0" w:right="0" w:hanging="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20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3395"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no amounts were forgiven. As of December 31, 2024, the outstanding balance under this loan agreement was $400,000, and is included within accrued liabilities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8" w:type="dxa"/>
        <w:jc w:val="left"/>
        <w:tblInd w:w="0" w:type="dxa"/>
        <w:tblLayout w:type="fixed"/>
        <w:tblCellMar>
          <w:top w:w="0" w:type="dxa"/>
          <w:left w:w="0" w:type="dxa"/>
          <w:bottom w:w="0" w:type="dxa"/>
          <w:right w:w="0" w:type="dxa"/>
        </w:tblCellMar>
      </w:tblPr>
      <w:tblGrid>
        <w:gridCol w:w="38"/>
        <w:gridCol w:w="20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710" w:type="dxa"/>
            <w:tcBorders/>
            <w:vAlign w:val="center"/>
          </w:tcPr>
          <w:p>
            <w:pPr>
              <w:pStyle w:val="TableContents"/>
              <w:bidi w:val="0"/>
              <w:spacing w:before="0" w:after="283"/>
              <w:jc w:val="both"/>
              <w:rPr>
                <w:b/>
              </w:rPr>
            </w:pPr>
            <w:r>
              <w:rPr>
                <w:b/>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$313,445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tbl>
      <w:tblPr>
        <w:tblW w:w="5975" w:type="dxa"/>
        <w:jc w:val="left"/>
        <w:tblInd w:w="0" w:type="dxa"/>
        <w:tblLayout w:type="fixed"/>
        <w:tblCellMar>
          <w:top w:w="0" w:type="dxa"/>
          <w:left w:w="0" w:type="dxa"/>
          <w:bottom w:w="28" w:type="dxa"/>
          <w:right w:w="0" w:type="dxa"/>
        </w:tblCellMar>
      </w:tblPr>
      <w:tblGrid>
        <w:gridCol w:w="1790"/>
        <w:gridCol w:w="60"/>
        <w:gridCol w:w="2870"/>
        <w:gridCol w:w="60"/>
        <w:gridCol w:w="140"/>
        <w:gridCol w:w="980"/>
        <w:gridCol w:w="75"/>
      </w:tblGrid>
      <w:tr>
        <w:trPr/>
        <w:tc>
          <w:tcPr>
            <w:tcW w:w="1790" w:type="dxa"/>
            <w:tcBorders>
              <w:bottom w:val="single" w:sz="12" w:space="0" w:color="000000"/>
            </w:tcBorders>
            <w:vAlign w:val="center"/>
          </w:tcPr>
          <w:p>
            <w:pPr>
              <w:pStyle w:val="TableContents"/>
              <w:bidi w:val="0"/>
              <w:spacing w:before="0" w:after="283"/>
              <w:jc w:val="left"/>
              <w:rPr>
                <w:b/>
              </w:rPr>
            </w:pPr>
            <w:r>
              <w:rPr>
                <w:b/>
              </w:rPr>
              <w:t>Lease Cost</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Operating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759,705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Asset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299,985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Interest 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Net 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44,223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Net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1,103,913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The weighted average remaining lease terms and interest rates were as follows as of December 31, 2024:</w:t>
      </w:r>
    </w:p>
    <w:p>
      <w:pPr>
        <w:pStyle w:val="TextBody"/>
        <w:bidi w:val="0"/>
        <w:spacing w:before="0" w:after="283"/>
        <w:jc w:val="left"/>
        <w:rPr/>
      </w:pPr>
      <w:r>
        <w:rPr/>
        <w:t> </w:t>
      </w:r>
    </w:p>
    <w:tbl>
      <w:tblPr>
        <w:tblW w:w="5250" w:type="dxa"/>
        <w:jc w:val="left"/>
        <w:tblInd w:w="0" w:type="dxa"/>
        <w:tblLayout w:type="fixed"/>
        <w:tblCellMar>
          <w:top w:w="0" w:type="dxa"/>
          <w:left w:w="0" w:type="dxa"/>
          <w:bottom w:w="28" w:type="dxa"/>
          <w:right w:w="0" w:type="dxa"/>
        </w:tblCellMar>
      </w:tblPr>
      <w:tblGrid>
        <w:gridCol w:w="4460"/>
        <w:gridCol w:w="60"/>
        <w:gridCol w:w="60"/>
        <w:gridCol w:w="440"/>
        <w:gridCol w:w="230"/>
      </w:tblGrid>
      <w:tr>
        <w:trPr/>
        <w:tc>
          <w:tcPr>
            <w:tcW w:w="446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Weighted average remaining lease term (years)</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2.26</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4.36</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Weighted average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4.07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60" w:type="dxa"/>
            <w:tcBorders/>
            <w:shd w:fill="CCEEFF" w:val="clear"/>
            <w:tcMar>
              <w:bottom w:w="0" w:type="dxa"/>
            </w:tcMar>
            <w:vAlign w:val="center"/>
          </w:tcPr>
          <w:p>
            <w:pPr>
              <w:pStyle w:val="TableContents"/>
              <w:bidi w:val="0"/>
              <w:spacing w:before="0" w:after="283"/>
              <w:jc w:val="left"/>
              <w:rPr/>
            </w:pPr>
            <w:r>
              <w:rPr/>
              <w:t>Finance leaess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4.31</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December 31, 2024:</w:t>
      </w:r>
    </w:p>
    <w:p>
      <w:pPr>
        <w:pStyle w:val="TextBody"/>
        <w:bidi w:val="0"/>
        <w:spacing w:before="0" w:after="0"/>
        <w:ind w:left="0" w:right="0" w:hanging="0"/>
        <w:jc w:val="both"/>
        <w:rPr>
          <w:caps w:val="false"/>
          <w:smallCaps w:val="false"/>
        </w:rPr>
      </w:pPr>
      <w:r>
        <w:rPr>
          <w:caps w:val="false"/>
          <w:smallCaps w:val="false"/>
        </w:rPr>
        <w:t> </w:t>
      </w:r>
    </w:p>
    <w:tbl>
      <w:tblPr>
        <w:tblW w:w="6015" w:type="dxa"/>
        <w:jc w:val="left"/>
        <w:tblInd w:w="0" w:type="dxa"/>
        <w:tblLayout w:type="fixed"/>
        <w:tblCellMar>
          <w:top w:w="0" w:type="dxa"/>
          <w:left w:w="0" w:type="dxa"/>
          <w:bottom w:w="28" w:type="dxa"/>
          <w:right w:w="0" w:type="dxa"/>
        </w:tblCellMar>
      </w:tblPr>
      <w:tblGrid>
        <w:gridCol w:w="3515"/>
        <w:gridCol w:w="60"/>
        <w:gridCol w:w="157"/>
        <w:gridCol w:w="898"/>
        <w:gridCol w:w="95"/>
        <w:gridCol w:w="60"/>
        <w:gridCol w:w="140"/>
        <w:gridCol w:w="980"/>
        <w:gridCol w:w="110"/>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10"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898" w:type="dxa"/>
            <w:tcBorders/>
            <w:shd w:fill="CCEEFF" w:val="clear"/>
            <w:tcMar>
              <w:bottom w:w="0" w:type="dxa"/>
            </w:tcMar>
            <w:vAlign w:val="center"/>
          </w:tcPr>
          <w:p>
            <w:pPr>
              <w:pStyle w:val="TableContents"/>
              <w:bidi w:val="0"/>
              <w:spacing w:before="0" w:after="283"/>
              <w:jc w:val="right"/>
              <w:rPr/>
            </w:pPr>
            <w:r>
              <w:rPr/>
              <w:t>424,140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375,721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215,620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374,183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93,048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374,183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70,521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353,318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231,674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803,329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1,709,079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Less: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(34,527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(164,992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15"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FFFFFF" w:val="clear"/>
            <w:vAlign w:val="center"/>
          </w:tcPr>
          <w:p>
            <w:pPr>
              <w:pStyle w:val="TableContents"/>
              <w:bidi w:val="0"/>
              <w:spacing w:before="0" w:after="283"/>
              <w:jc w:val="left"/>
              <w:rPr/>
            </w:pPr>
            <w:r>
              <w:rPr/>
              <w:t>$</w:t>
            </w:r>
          </w:p>
        </w:tc>
        <w:tc>
          <w:tcPr>
            <w:tcW w:w="898" w:type="dxa"/>
            <w:tcBorders>
              <w:bottom w:val="double" w:sz="10" w:space="0" w:color="000000"/>
            </w:tcBorders>
            <w:shd w:fill="FFFFFF" w:val="clear"/>
            <w:vAlign w:val="center"/>
          </w:tcPr>
          <w:p>
            <w:pPr>
              <w:pStyle w:val="TableContents"/>
              <w:bidi w:val="0"/>
              <w:spacing w:before="0" w:after="283"/>
              <w:jc w:val="right"/>
              <w:rPr/>
            </w:pPr>
            <w:r>
              <w:rPr/>
              <w:t>768,802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1,544,087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32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5375" w:type="dxa"/>
            <w:tcBorders/>
            <w:vAlign w:val="center"/>
          </w:tcPr>
          <w:p>
            <w:pPr>
              <w:pStyle w:val="TableContents"/>
              <w:bidi w:val="0"/>
              <w:spacing w:before="0" w:after="283"/>
              <w:jc w:val="both"/>
              <w:rPr>
                <w:b/>
              </w:rPr>
            </w:pPr>
            <w:r>
              <w:rPr>
                <w:b/>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December 31, 2024 in the amount of approximately $424,000.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December 31, 2024, the Company owed approximately $510,000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accrued interest to related parties of approximately $1,091,000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leased certain office space from a related-party entity. This lease terminated on December 31, 2024. Amortization expense for the year ended December 31, 2024 was approximately $279,000, and is included in rent expense in the accompanying statement of operations and member’s deficit. The present value of the lease payments for this related-party lease was computed using a discount rate of 4.33%.</w:t>
      </w:r>
    </w:p>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32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1280" w:type="dxa"/>
            <w:tcBorders/>
            <w:vAlign w:val="center"/>
          </w:tcPr>
          <w:p>
            <w:pPr>
              <w:pStyle w:val="TableContents"/>
              <w:bidi w:val="0"/>
              <w:spacing w:before="0" w:after="283"/>
              <w:jc w:val="both"/>
              <w:rPr>
                <w:b/>
              </w:rPr>
            </w:pPr>
            <w:r>
              <w:rPr>
                <w:b/>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year ending December 31, 2024, the Company made $217,639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32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1970"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existing related-party lenders loaned the Company a combined $500,000 in additional funds to increase maximum line of credit balances that were in place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signed a lease agreement extending the lease for its main office through May 31, 2030. Total lease payments to be made during the 5 year extension are $3,533,133.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2025, the Company entered into a sale and purchase of future receivables agreement with a lender. This third-party lender lent the Company $1,000,000 and in return the Company agreed to pay the lender 8% of all cash collections from customers until a total of $1,320,000 has been paid. This agreement was paid in full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September 30, 2025 and December 31, 2024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For the Nine Months Ended September 30,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9" w:name="H_001"/>
      <w:bookmarkEnd w:id="49"/>
      <w:r>
        <w:rPr>
          <w:rFonts w:ascii="Times New Roman;Times;Serif" w:hAnsi="Times New Roman;Times;Serif"/>
          <w:b/>
          <w:i/>
          <w:caps w:val="false"/>
          <w:smallCaps w:val="false"/>
          <w:sz w:val="20"/>
        </w:rPr>
        <w:t>Unaudited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6"/>
        <w:gridCol w:w="60"/>
        <w:gridCol w:w="158"/>
        <w:gridCol w:w="1247"/>
        <w:gridCol w:w="95"/>
        <w:gridCol w:w="60"/>
        <w:gridCol w:w="150"/>
        <w:gridCol w:w="1187"/>
        <w:gridCol w:w="112"/>
      </w:tblGrid>
      <w:tr>
        <w:trPr/>
        <w:tc>
          <w:tcPr>
            <w:tcW w:w="713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b/>
                <w:i/>
              </w:rPr>
            </w:pPr>
            <w:r>
              <w:rPr>
                <w:b/>
                <w:i/>
              </w:rPr>
              <w:t xml:space="preserve">As of </w:t>
              <w:br/>
              <w:t xml:space="preserve">September 30,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b/>
                <w:i/>
              </w:rPr>
            </w:pPr>
            <w:r>
              <w:rPr>
                <w:b/>
                <w:i/>
              </w:rPr>
              <w:t>As of</w:t>
              <w:br/>
              <w:t>December 31,</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693,520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1,043,269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Accounts receivable, net of allowance for credit losses of $225,000 and $123,000, respectively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1,293,174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1,010,295</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5,715,605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4,601,890</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485,863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366,027</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Sales commissions receivable, net of allowance of $760,413</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1,580,974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423,719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Deferred commissions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1,145,672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3,511,328</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Deferred costs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3,943,059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6,137,615</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343,410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531,238</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15,201,277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17,625,381</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424,031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385,192</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2,856,409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740,654</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1,602,376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1,971,170</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181,510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116,819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20,265,603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20,839,216</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b/>
                <w:u w:val="single"/>
              </w:rPr>
            </w:pPr>
            <w:r>
              <w:rPr>
                <w:b/>
                <w:u w:val="single"/>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247" w:type="dxa"/>
            <w:tcBorders/>
            <w:shd w:fill="FFFFFF" w:val="clear"/>
            <w:vAlign w:val="center"/>
          </w:tcPr>
          <w:p>
            <w:pPr>
              <w:pStyle w:val="TableContents"/>
              <w:bidi w:val="0"/>
              <w:spacing w:before="0" w:after="283"/>
              <w:jc w:val="right"/>
              <w:rPr/>
            </w:pPr>
            <w:r>
              <w:rPr/>
              <w:t>2,489,153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2,168,566</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3,431,906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2,799,860</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Accrued commissions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212,469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180,114</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Merchant cash advance, net of debt discount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487,500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Related-party accounts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294,384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509,649</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7,701,532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10,585,293</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622,419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401,456</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308,794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315,541</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15,548,157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16,960,479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2,145,929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367,346</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Finance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985,849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1,228,546</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Related-party lines of credit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2,675,000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2,175,000</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Related-party notes payable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7,140,109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7,140,109</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28,495,044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27,871,480</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Member’s deficit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(8,229,441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(7,032,264</w:t>
            </w:r>
          </w:p>
        </w:tc>
        <w:tc>
          <w:tcPr>
            <w:tcW w:w="112" w:type="dxa"/>
            <w:tcBorders/>
            <w:shd w:fill="FFFFFF" w:val="clear"/>
            <w:vAlign w:val="center"/>
          </w:tcPr>
          <w:p>
            <w:pPr>
              <w:pStyle w:val="TableContents"/>
              <w:bidi w:val="0"/>
              <w:spacing w:before="0" w:after="283"/>
              <w:jc w:val="left"/>
              <w:rPr/>
            </w:pPr>
            <w:r>
              <w:rPr/>
              <w:t>)</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20,265,603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20,839,216</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0" w:name="H_002"/>
      <w:bookmarkEnd w:id="50"/>
      <w:r>
        <w:rPr>
          <w:rFonts w:ascii="Times New Roman;Times;Serif" w:hAnsi="Times New Roman;Times;Serif"/>
          <w:b/>
          <w:i/>
          <w:caps w:val="false"/>
          <w:smallCaps w:val="false"/>
          <w:sz w:val="20"/>
        </w:rPr>
        <w:t xml:space="preserve">Unaudited Statements of Operations and Member’s Deficit </w:t>
      </w:r>
    </w:p>
    <w:p>
      <w:pPr>
        <w:pStyle w:val="TextBody"/>
        <w:bidi w:val="0"/>
        <w:spacing w:before="0" w:after="0"/>
        <w:ind w:left="0" w:right="0" w:hanging="0"/>
        <w:jc w:val="both"/>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5660"/>
        <w:gridCol w:w="60"/>
        <w:gridCol w:w="125"/>
        <w:gridCol w:w="950"/>
        <w:gridCol w:w="80"/>
        <w:gridCol w:w="60"/>
        <w:gridCol w:w="125"/>
        <w:gridCol w:w="1010"/>
        <w:gridCol w:w="95"/>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95"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61,075,725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28,114,668</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32,622,179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20,517,813</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28,453,546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7,596,855</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10,845,446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7,303,877</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16,003,211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8,043,929</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888,362</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28,381,482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16,472,472</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(8,875,617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(1,285,993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(925,263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(936,233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beginning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(7,032,264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(5,112,377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contribution and conversion of related-party notes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4,333,164</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end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(8,229,441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(10,591,063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F-164</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1" w:name="H_003"/>
      <w:bookmarkEnd w:id="51"/>
      <w:r>
        <w:rPr>
          <w:rFonts w:ascii="Times New Roman;Times;Serif" w:hAnsi="Times New Roman;Times;Serif"/>
          <w:b/>
          <w:i/>
          <w:caps w:val="false"/>
          <w:smallCaps w:val="false"/>
          <w:sz w:val="20"/>
        </w:rPr>
        <w:t>Unaudited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0"/>
        <w:gridCol w:w="60"/>
        <w:gridCol w:w="125"/>
        <w:gridCol w:w="905"/>
        <w:gridCol w:w="80"/>
        <w:gridCol w:w="60"/>
        <w:gridCol w:w="125"/>
        <w:gridCol w:w="905"/>
        <w:gridCol w:w="95"/>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95"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operating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643,603</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(282,879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(413,593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(1,113,715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739,308</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295,812</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commissions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(134,894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74,447</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costs and commissions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4,560,212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(848,215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(427,389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539,602</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3,229,015</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395,000</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51,411</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(2,883,761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(1,314,260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(618,953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(1,185,693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(7,377,989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(222,908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related-party revolving lines of credit and notes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8,925,000</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related-party revolving lines of credits and notes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(3,305,747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member’s contribution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1,883,164</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repayments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(222,813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(363,900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7,138,517</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(349,749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(462,380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728,639</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266,259</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50,441</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125,849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operating right-of-use assets and accounts payable for lessor owned tenant improvements paid by the Company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right-of-use assets obtained in exchange for 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1,169,095</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terminations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related-party notes payable to member’s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2,450,000</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 accrued guaranteed interest payment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F-165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bookmarkStart w:id="52" w:name="H_004"/>
      <w:bookmarkEnd w:id="52"/>
      <w:r>
        <w:rPr>
          <w:rFonts w:ascii="Times New Roman;Times;Serif" w:hAnsi="Times New Roman;Times;Serif"/>
          <w:b/>
          <w:i/>
          <w:caps w:val="false"/>
          <w:smallCaps w:val="false"/>
          <w:sz w:val="20"/>
        </w:rPr>
        <w:t>Notes to Unaudited Financial Statements</w:t>
      </w:r>
    </w:p>
    <w:p>
      <w:pPr>
        <w:pStyle w:val="TextBody"/>
        <w:bidi w:val="0"/>
        <w:spacing w:before="0" w:after="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7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85"/>
        <w:gridCol w:w="60"/>
        <w:gridCol w:w="91"/>
        <w:gridCol w:w="349"/>
        <w:gridCol w:w="185"/>
        <w:gridCol w:w="60"/>
        <w:gridCol w:w="91"/>
        <w:gridCol w:w="349"/>
        <w:gridCol w:w="20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C</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40"/>
        <w:gridCol w:w="4100"/>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1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85"/>
        <w:gridCol w:w="60"/>
        <w:gridCol w:w="91"/>
        <w:gridCol w:w="349"/>
        <w:gridCol w:w="185"/>
        <w:gridCol w:w="60"/>
        <w:gridCol w:w="91"/>
        <w:gridCol w:w="349"/>
        <w:gridCol w:w="20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40"/>
        <w:gridCol w:w="591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59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solar materials costs. The following was a major vendor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815"/>
        <w:gridCol w:w="60"/>
        <w:gridCol w:w="91"/>
        <w:gridCol w:w="349"/>
        <w:gridCol w:w="185"/>
        <w:gridCol w:w="60"/>
        <w:gridCol w:w="91"/>
        <w:gridCol w:w="349"/>
        <w:gridCol w:w="200"/>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B</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7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Vendor did not represent more than 10% of expenditures.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period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September 30, 2025 and 2024, the allowance for credit losses was $225,000 and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075"/>
        <w:gridCol w:w="60"/>
        <w:gridCol w:w="60"/>
        <w:gridCol w:w="755"/>
        <w:gridCol w:w="75"/>
      </w:tblGrid>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Tools and gear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September 30, 2025 and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taxes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its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September 30, 2025 and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is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contract, or contracts, with a customer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the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HVAC and Roofing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installation of the HVAC system or roof. The Company recognizes revenue upon the completion of the HVAC system or roof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2690"/>
        <w:gridCol w:w="60"/>
        <w:gridCol w:w="140"/>
        <w:gridCol w:w="1100"/>
        <w:gridCol w:w="60"/>
        <w:gridCol w:w="60"/>
        <w:gridCol w:w="140"/>
        <w:gridCol w:w="110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Installation services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59,438,442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28,114,668</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HVAC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990,177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Roofing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647,106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61,075,725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28,114,668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6323" w:type="dxa"/>
        <w:jc w:val="left"/>
        <w:tblInd w:w="0" w:type="dxa"/>
        <w:tblLayout w:type="fixed"/>
        <w:tblCellMar>
          <w:top w:w="0" w:type="dxa"/>
          <w:left w:w="0" w:type="dxa"/>
          <w:bottom w:w="28" w:type="dxa"/>
          <w:right w:w="0" w:type="dxa"/>
        </w:tblCellMar>
      </w:tblPr>
      <w:tblGrid>
        <w:gridCol w:w="1970"/>
        <w:gridCol w:w="60"/>
        <w:gridCol w:w="158"/>
        <w:gridCol w:w="1106"/>
        <w:gridCol w:w="60"/>
        <w:gridCol w:w="60"/>
        <w:gridCol w:w="140"/>
        <w:gridCol w:w="1100"/>
        <w:gridCol w:w="60"/>
        <w:gridCol w:w="60"/>
        <w:gridCol w:w="166"/>
        <w:gridCol w:w="1308"/>
        <w:gridCol w:w="75"/>
      </w:tblGrid>
      <w:tr>
        <w:trPr/>
        <w:tc>
          <w:tcPr>
            <w:tcW w:w="1970" w:type="dxa"/>
            <w:tcBorders>
              <w:bottom w:val="single" w:sz="12" w:space="0" w:color="000000"/>
            </w:tcBorders>
            <w:vAlign w:val="center"/>
          </w:tcPr>
          <w:p>
            <w:pPr>
              <w:pStyle w:val="TableContents"/>
              <w:bidi w:val="0"/>
              <w:spacing w:before="0" w:after="283"/>
              <w:jc w:val="left"/>
              <w:rPr>
                <w:b/>
              </w:rPr>
            </w:pPr>
            <w:r>
              <w:rPr>
                <w:b/>
              </w:rPr>
              <w:t>As of:</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31, </w:t>
              <w:br/>
              <w:t>2024 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2023</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106" w:type="dxa"/>
            <w:tcBorders/>
            <w:shd w:fill="CCEEFF" w:val="clear"/>
            <w:tcMar>
              <w:bottom w:w="0" w:type="dxa"/>
            </w:tcMar>
            <w:vAlign w:val="center"/>
          </w:tcPr>
          <w:p>
            <w:pPr>
              <w:pStyle w:val="TableContents"/>
              <w:bidi w:val="0"/>
              <w:spacing w:before="0" w:after="283"/>
              <w:jc w:val="right"/>
              <w:rPr/>
            </w:pPr>
            <w:r>
              <w:rPr/>
              <w:t>1,293,174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1,010,295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right"/>
              <w:rPr/>
            </w:pPr>
            <w:r>
              <w:rPr/>
              <w:t>155,801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left"/>
              <w:rPr/>
            </w:pPr>
            <w:r>
              <w:rPr/>
              <w:t>Unbilled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5,715,605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4,601,890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3,916,562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7,701,532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10,585,293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11,661,448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will be watertight. The Company estimates its liability for warranty claims based historical claim patterns and known conditions at the time. To date, warranty claims have been nominal. Accordingly, there was no warranty accrual recorded as of September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had not existed.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nine months ended September 30, 2025 and 2024 totaled approximately $304,000 and $140,000,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January 12, 2026,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85"/>
        <w:gridCol w:w="8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to support its operating and capital expenditure commitments. As of September 30, 2025, the Company had a working capital surplus of approximately $347,000 and stockholders’ deficit of approximately $8,229,000. For the nine months ended September 30, 2025, the Company had a net loss of approximately $1,197,000 and used cash in operating activities of approximately $1,186,000.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 resulting in the Company becoming a wholly owned subsidiary of SunPower, Inc. The acquisition of the Company effectively merged the Company’s operations into SunPower, Inc., which provided the Company with any additional liquidity that may have been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4565"/>
        <w:gridCol w:w="60"/>
        <w:gridCol w:w="140"/>
        <w:gridCol w:w="875"/>
        <w:gridCol w:w="95"/>
        <w:gridCol w:w="60"/>
        <w:gridCol w:w="140"/>
        <w:gridCol w:w="87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251,199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Tools and gear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296,085</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54,392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92,373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76,701</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52,552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Furniture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30,946</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701,918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510,676</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(277,887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(125,484</w:t>
            </w:r>
          </w:p>
        </w:tc>
        <w:tc>
          <w:tcPr>
            <w:tcW w:w="110" w:type="dxa"/>
            <w:tcBorders/>
            <w:shd w:fill="FFFFFF" w:val="clear"/>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424,031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385,192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nine months ended September 30, 2025 and 2024 was $152,404 and $62,514, respectively. Amortization of right-of-use assets held under finance leases for the nine months ended September 30, 2025 and 2024 was $342,163 and $173,790, respectively; and is included in depreciation and amortization expense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4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4,040,109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7,140,109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$500,000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2,675,000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2,675,000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1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Merchant Cash Advance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April 22, 2025. Under the terms of the agreement, the Company received $1,000,000 in cash, exclusive of a transaction fee of 3.00%, or $25,000. The Company repaid the advance as of September 30, 2025, plus an additional $320,000, which is included as interest expense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September 26, 2025. Under the terms of the agreement, the Company received $750,000 in cash, exclusive of a transaction fee of 3.00%, or $22,500. The amount to be repaid is as follows under the terms of the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30 days, $862,500.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60 days, $892,500.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90 days, $922,500.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4"/>
        <w:gridCol w:w="692"/>
        <w:gridCol w:w="9359"/>
      </w:tblGrid>
      <w:tr>
        <w:trPr/>
        <w:tc>
          <w:tcPr>
            <w:tcW w:w="1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w:t>
            </w:r>
          </w:p>
        </w:tc>
        <w:tc>
          <w:tcPr>
            <w:tcW w:w="9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120 days, $952,500.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5"/>
        <w:gridCol w:w="696"/>
        <w:gridCol w:w="9354"/>
      </w:tblGrid>
      <w:tr>
        <w:trPr/>
        <w:tc>
          <w:tcPr>
            <w:tcW w:w="15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w:t>
            </w:r>
          </w:p>
        </w:tc>
        <w:tc>
          <w:tcPr>
            <w:tcW w:w="9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120 days, $1,012,500.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agreement depends upon the Company’s cash receipts, and is calculated as 11.00% of receipts, as defined in the terms of the agreement. The estimated weekly payment is $21,094. Management estimates that the amount will not be repaid within 120 days and as of September 30, 2025 have accrued the additional $262,500 above the amount borrowed, which is included as part of accrued expenses on the balance sheet. The $262,500 is recorded as a debt discount against the merchant cash advance and is being amortized over the term of the advance to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100% of the membership interests outstanding are held by Ambia Holdings, Inc. A members liability is limited, and all such debts, obligations and liabilities of the Company are solely the debts and obligations of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75"/>
        <w:gridCol w:w="9502"/>
      </w:tblGrid>
      <w:tr>
        <w:trPr/>
        <w:tc>
          <w:tcPr>
            <w:tcW w:w="12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950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forgave $200,000 in draws. As of September 30, 2025 and December 31, 2024, the outstanding balance under this loan agreement was $200,000 and $400,000, respectively, and is included within accrued expenses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90"/>
        <w:gridCol w:w="60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$632,934 and $187,249, respectively, as of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790"/>
        <w:gridCol w:w="60"/>
        <w:gridCol w:w="2870"/>
        <w:gridCol w:w="60"/>
        <w:gridCol w:w="140"/>
        <w:gridCol w:w="980"/>
        <w:gridCol w:w="60"/>
        <w:gridCol w:w="60"/>
        <w:gridCol w:w="140"/>
        <w:gridCol w:w="800"/>
        <w:gridCol w:w="75"/>
      </w:tblGrid>
      <w:tr>
        <w:trPr/>
        <w:tc>
          <w:tcPr>
            <w:tcW w:w="1790" w:type="dxa"/>
            <w:tcBorders>
              <w:bottom w:val="single" w:sz="12" w:space="0" w:color="000000"/>
            </w:tcBorders>
            <w:vAlign w:val="center"/>
          </w:tcPr>
          <w:p>
            <w:pPr>
              <w:pStyle w:val="TableContents"/>
              <w:bidi w:val="0"/>
              <w:spacing w:before="0" w:after="283"/>
              <w:jc w:val="left"/>
              <w:rPr>
                <w:b/>
              </w:rPr>
            </w:pPr>
            <w:r>
              <w:rPr>
                <w:b/>
              </w:rPr>
              <w:t>Lease Cost</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Operating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611,224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632,804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Asset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342,163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173,790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Interest 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Net 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47,543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27,937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Net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1,000,930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800" w:type="dxa"/>
            <w:tcBorders>
              <w:bottom w:val="single" w:sz="12" w:space="0" w:color="000000"/>
            </w:tcBorders>
            <w:shd w:fill="CCEEFF" w:val="clear"/>
            <w:vAlign w:val="center"/>
          </w:tcPr>
          <w:p>
            <w:pPr>
              <w:pStyle w:val="TableContents"/>
              <w:bidi w:val="0"/>
              <w:spacing w:before="0" w:after="283"/>
              <w:jc w:val="right"/>
              <w:rPr/>
            </w:pPr>
            <w:r>
              <w:rPr/>
              <w:t>834,531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interest rates were as follows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28" w:type="dxa"/>
          <w:right w:w="0" w:type="dxa"/>
        </w:tblCellMar>
      </w:tblPr>
      <w:tblGrid>
        <w:gridCol w:w="4460"/>
        <w:gridCol w:w="60"/>
        <w:gridCol w:w="60"/>
        <w:gridCol w:w="440"/>
        <w:gridCol w:w="215"/>
        <w:gridCol w:w="60"/>
        <w:gridCol w:w="60"/>
        <w:gridCol w:w="440"/>
        <w:gridCol w:w="230"/>
      </w:tblGrid>
      <w:tr>
        <w:trPr/>
        <w:tc>
          <w:tcPr>
            <w:tcW w:w="446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Weighted average remaining lease term (years)</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 xml:space="preserve">Operating leases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4.23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2.34</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 xml:space="preserve">Finance leases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3.69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4.51</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 xml:space="preserve">Weighted average discount rate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 xml:space="preserve">Operating leases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6.60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4.25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60" w:type="dxa"/>
            <w:tcBorders/>
            <w:shd w:fill="CCEEFF" w:val="clear"/>
            <w:tcMar>
              <w:bottom w:w="0" w:type="dxa"/>
            </w:tcMar>
            <w:vAlign w:val="center"/>
          </w:tcPr>
          <w:p>
            <w:pPr>
              <w:pStyle w:val="TableContents"/>
              <w:bidi w:val="0"/>
              <w:spacing w:before="0" w:after="283"/>
              <w:jc w:val="left"/>
              <w:rPr/>
            </w:pPr>
            <w:r>
              <w:rPr/>
              <w:t xml:space="preserve">Finance leaess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4.31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4.13</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September 30, 2025:</w:t>
      </w:r>
    </w:p>
    <w:p>
      <w:pPr>
        <w:pStyle w:val="TextBody"/>
        <w:bidi w:val="0"/>
        <w:spacing w:before="0" w:after="0"/>
        <w:ind w:left="0" w:right="0" w:hanging="0"/>
        <w:jc w:val="both"/>
        <w:rPr>
          <w:caps w:val="false"/>
          <w:smallCaps w:val="false"/>
        </w:rPr>
      </w:pPr>
      <w:r>
        <w:rPr>
          <w:caps w:val="false"/>
          <w:smallCaps w:val="false"/>
        </w:rPr>
        <w:t> </w:t>
      </w:r>
    </w:p>
    <w:tbl>
      <w:tblPr>
        <w:tblW w:w="6080" w:type="dxa"/>
        <w:jc w:val="left"/>
        <w:tblInd w:w="0" w:type="dxa"/>
        <w:tblLayout w:type="fixed"/>
        <w:tblCellMar>
          <w:top w:w="0" w:type="dxa"/>
          <w:left w:w="0" w:type="dxa"/>
          <w:bottom w:w="28" w:type="dxa"/>
          <w:right w:w="0" w:type="dxa"/>
        </w:tblCellMar>
      </w:tblPr>
      <w:tblGrid>
        <w:gridCol w:w="3515"/>
        <w:gridCol w:w="60"/>
        <w:gridCol w:w="140"/>
        <w:gridCol w:w="980"/>
        <w:gridCol w:w="95"/>
        <w:gridCol w:w="60"/>
        <w:gridCol w:w="140"/>
        <w:gridCol w:w="980"/>
        <w:gridCol w:w="110"/>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10"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187,097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114,134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570,490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364,512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689,483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374,183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759,660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399,923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741,734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232,443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312,086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3,260,550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1,485,195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Less: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(492,202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(190,552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15"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2,768,348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1,294,643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short-term leases for the nine months ended September 30, 2025 and 2024 was $224,202 and $36,513, respectively. Cash payments made for the nine months ended September 30, 2025 and 2024 that are included in the measurement of lease liabilities was $681,392 and $643,415, respectively.</w:t>
      </w:r>
    </w:p>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90"/>
        <w:gridCol w:w="446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44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September 30, 2025 sales commissions receivable was approximately $1,581,000, net of allowance of approximately $760,000. As of December 31, 2024, sales commissions receivable was approximately $424,000, net of allowance of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September 30, 2025 and December 31, 2024, the Company owed approximately $294,000 and $510,000, respectively,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accrued interest due to related parties of approximately $1,343,000 and $1,091,000, respectively,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2029"/>
        <w:gridCol w:w="7896"/>
      </w:tblGrid>
      <w:tr>
        <w:trPr/>
        <w:tc>
          <w:tcPr>
            <w:tcW w:w="28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89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nine months ended September 30, 2025 and 2024, the Company made $219,037 and $148,663, respectively,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470"/>
        <w:gridCol w:w="8532"/>
      </w:tblGrid>
      <w:tr>
        <w:trPr/>
        <w:tc>
          <w:tcPr>
            <w:tcW w:w="20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853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combined statement of operations is derived from the historical consolidated financial statements of SunPower Inc. and Subsidiaries (the “Company”, “SunPower”), the historical financial statements of Sunder Energy, LLC (“Sunder”) and the historical financial statements of Ambia Energy LLC (“Ambia”) and reflects (1) the acquisition of Ambia which closed on November 21, 2025 (the “Ambia Acquisition”), (2) the acquisition of Sunder which closed on September 24, 2025 (the “Sunder Acquisition” and collectively with the Ambia Acquisition and Sunder Acquisition “Acquisitions”) and (3) the financing of the Sunder Acquisition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related to the Acquisitions has been prepared by the Company using the acquisition method of accounting in accordance with GAAP. The Company has been treated as the acquirer for accounting purposes and thus accounts for the Acquisitions as a business combination in accordance with Accounting Standards Codification (“ASC”) Topic 805, Business Combinations (“ASC 805”). The estimated fair values of the assets acquired and liabilities assumed and the related purchase price allocation for both Ambia and Sunder are provisional and have been made solely for the purpose of providing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Acquisitions and the Financing had been consummated on January 1, 2025, the beginning of the earliest period presented. An unaudited combined balance sheet is not presented as the Acquisitions and the Financing have been reflected in the Company’s balance as of March 29, 2026, included in the Company’s Quarterly Report on Form 10-Q for the quarterly period ended March 29, 2026 filed with the SEC on May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give effect to any cost savings, operating synergies or revenue synergies that may result from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 of operations has been developed from and should be read in conjunction with:</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the accompanying notes to the Unaudited Pro Forma Combined Statement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financial statements of the Company for the fiscal year ended December 28, 2025 and the related notes in its Annual Report for such fiscal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Ambia as of and for the year ended December 31, 2024, and the unaudited financial statements of Ambia as of and for the nine months ended September 30, 2025;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Sunder as of and for the year ended December 31, 2024, and the unaudited financial statements of Sunder as of and for the six months ended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and estimates underlying the unaudited pro forma adjustments set forth in the unaudited pro forma combined statement of operations are described in the accompanying notes. The unaudited pro forma combined statement of operations has been presented for illustrative purposes only and are not necessarily indicative of the operating results and financial position that would have been achieved had the Acquisition and Financing occurred on the dates indicated. Further, the unaudited pro forma combined financial statements do not purport to project the future operating results or financial position of SunPower following the completion of the Acquisitions.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k_001"/>
      <w:bookmarkEnd w:id="53"/>
      <w:r>
        <w:rPr>
          <w:rFonts w:ascii="Times New Roman;Times;Serif" w:hAnsi="Times New Roman;Times;Serif"/>
          <w:b/>
          <w:i w:val="false"/>
          <w:caps w:val="false"/>
          <w:smallCaps w:val="false"/>
          <w:sz w:val="20"/>
        </w:rPr>
        <w:t>UNAUDITED PRO FORMA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28,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1950" w:type="dxa"/>
        <w:jc w:val="left"/>
        <w:tblInd w:w="0" w:type="dxa"/>
        <w:tblLayout w:type="fixed"/>
        <w:tblCellMar>
          <w:top w:w="0" w:type="dxa"/>
          <w:left w:w="0" w:type="dxa"/>
          <w:bottom w:w="0" w:type="dxa"/>
          <w:right w:w="0" w:type="dxa"/>
        </w:tblCellMar>
      </w:tblPr>
      <w:tblGrid>
        <w:gridCol w:w="1010"/>
        <w:gridCol w:w="60"/>
        <w:gridCol w:w="126"/>
        <w:gridCol w:w="959"/>
        <w:gridCol w:w="80"/>
        <w:gridCol w:w="60"/>
        <w:gridCol w:w="146"/>
        <w:gridCol w:w="684"/>
        <w:gridCol w:w="80"/>
        <w:gridCol w:w="60"/>
        <w:gridCol w:w="119"/>
        <w:gridCol w:w="801"/>
        <w:gridCol w:w="245"/>
        <w:gridCol w:w="60"/>
        <w:gridCol w:w="110"/>
        <w:gridCol w:w="740"/>
        <w:gridCol w:w="80"/>
        <w:gridCol w:w="60"/>
        <w:gridCol w:w="146"/>
        <w:gridCol w:w="684"/>
        <w:gridCol w:w="80"/>
        <w:gridCol w:w="60"/>
        <w:gridCol w:w="110"/>
        <w:gridCol w:w="1460"/>
        <w:gridCol w:w="260"/>
        <w:gridCol w:w="60"/>
        <w:gridCol w:w="110"/>
        <w:gridCol w:w="830"/>
        <w:gridCol w:w="200"/>
        <w:gridCol w:w="60"/>
        <w:gridCol w:w="110"/>
        <w:gridCol w:w="830"/>
        <w:gridCol w:w="80"/>
        <w:gridCol w:w="60"/>
        <w:gridCol w:w="170"/>
        <w:gridCol w:w="1085"/>
        <w:gridCol w:w="75"/>
      </w:tblGrid>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Sunder Energy LLC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0" w:type="dxa"/>
            <w:gridSpan w:val="14"/>
            <w:tcBorders>
              <w:bottom w:val="single" w:sz="12" w:space="0" w:color="000000"/>
            </w:tcBorders>
            <w:tcMar>
              <w:bottom w:w="28" w:type="dxa"/>
            </w:tcMar>
            <w:vAlign w:val="center"/>
          </w:tcPr>
          <w:p>
            <w:pPr>
              <w:pStyle w:val="TableContents"/>
              <w:bidi w:val="0"/>
              <w:spacing w:before="0" w:after="283"/>
              <w:jc w:val="center"/>
              <w:rPr>
                <w:b/>
                <w:sz w:val="16"/>
              </w:rPr>
            </w:pPr>
            <w:r>
              <w:rPr>
                <w:b/>
                <w:sz w:val="16"/>
              </w:rPr>
              <w:t>Ambia Energy LLC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SunPower</w:t>
              <w:br/>
            </w:r>
            <w:r>
              <w:rPr>
                <w:b/>
                <w:sz w:val="16"/>
              </w:rPr>
              <w:t>Historical</w:t>
              <w:br/>
              <w:t>Results of</w:t>
              <w:br/>
              <w:t>Operations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Reclassification</w:t>
              <w:br/>
              <w:t>Adjustments</w:t>
              <w:br/>
              <w:t>(Note 4)</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b/>
              </w:rPr>
            </w:pPr>
            <w:r>
              <w:rPr>
                <w:b/>
              </w:rPr>
              <w:t>Combined</w:t>
              <w:br/>
            </w:r>
            <w:r>
              <w:rPr>
                <w:b/>
                <w:sz w:val="16"/>
              </w:rPr>
              <w:t>Pro Forma Results of</w:t>
              <w:br/>
              <w:t>Operations</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Revenues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16"/>
              </w:rPr>
            </w:pPr>
            <w:r>
              <w:rPr>
                <w:sz w:val="16"/>
              </w:rPr>
              <w:t>$</w:t>
            </w:r>
          </w:p>
        </w:tc>
        <w:tc>
          <w:tcPr>
            <w:tcW w:w="959" w:type="dxa"/>
            <w:tcBorders/>
            <w:shd w:fill="CCEEFF" w:val="clear"/>
            <w:vAlign w:val="center"/>
          </w:tcPr>
          <w:p>
            <w:pPr>
              <w:pStyle w:val="TableContents"/>
              <w:bidi w:val="0"/>
              <w:spacing w:before="0" w:after="283"/>
              <w:jc w:val="right"/>
              <w:rPr>
                <w:sz w:val="16"/>
              </w:rPr>
            </w:pPr>
            <w:r>
              <w:rPr>
                <w:sz w:val="16"/>
              </w:rPr>
              <w:t>300,000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16"/>
              </w:rPr>
            </w:pPr>
            <w:r>
              <w:rPr>
                <w:sz w:val="16"/>
              </w:rPr>
              <w:t>$</w:t>
            </w:r>
          </w:p>
        </w:tc>
        <w:tc>
          <w:tcPr>
            <w:tcW w:w="684" w:type="dxa"/>
            <w:tcBorders/>
            <w:shd w:fill="CCEEFF" w:val="clear"/>
            <w:vAlign w:val="center"/>
          </w:tcPr>
          <w:p>
            <w:pPr>
              <w:pStyle w:val="TableContents"/>
              <w:bidi w:val="0"/>
              <w:spacing w:before="0" w:after="283"/>
              <w:jc w:val="right"/>
              <w:rPr>
                <w:sz w:val="16"/>
              </w:rPr>
            </w:pPr>
            <w:r>
              <w:rPr>
                <w:sz w:val="16"/>
              </w:rPr>
              <w:t>56,084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16"/>
              </w:rPr>
            </w:pPr>
            <w:r>
              <w:rPr>
                <w:sz w:val="16"/>
              </w:rPr>
              <w:t>$</w:t>
            </w:r>
          </w:p>
        </w:tc>
        <w:tc>
          <w:tcPr>
            <w:tcW w:w="801" w:type="dxa"/>
            <w:tcBorders/>
            <w:shd w:fill="CCEEFF" w:val="cle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740" w:type="dxa"/>
            <w:tcBorders/>
            <w:shd w:fill="CCEEFF" w:val="clear"/>
            <w:vAlign w:val="center"/>
          </w:tcPr>
          <w:p>
            <w:pPr>
              <w:pStyle w:val="TableContents"/>
              <w:bidi w:val="0"/>
              <w:spacing w:before="0" w:after="283"/>
              <w:jc w:val="right"/>
              <w:rPr>
                <w:sz w:val="16"/>
              </w:rPr>
            </w:pPr>
            <w:r>
              <w:rPr>
                <w:sz w:val="16"/>
              </w:rPr>
              <w:t>56,084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16"/>
              </w:rPr>
            </w:pPr>
            <w:r>
              <w:rPr>
                <w:sz w:val="16"/>
              </w:rPr>
              <w:t>$</w:t>
            </w:r>
          </w:p>
        </w:tc>
        <w:tc>
          <w:tcPr>
            <w:tcW w:w="684" w:type="dxa"/>
            <w:tcBorders/>
            <w:shd w:fill="CCEEFF" w:val="clear"/>
            <w:vAlign w:val="center"/>
          </w:tcPr>
          <w:p>
            <w:pPr>
              <w:pStyle w:val="TableContents"/>
              <w:bidi w:val="0"/>
              <w:spacing w:before="0" w:after="283"/>
              <w:jc w:val="right"/>
              <w:rPr>
                <w:sz w:val="16"/>
              </w:rPr>
            </w:pPr>
            <w:r>
              <w:rPr>
                <w:sz w:val="16"/>
              </w:rPr>
              <w:t>73,604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1460" w:type="dxa"/>
            <w:tcBorders/>
            <w:shd w:fill="CCEEFF" w:val="clear"/>
            <w:vAlign w:val="center"/>
          </w:tcPr>
          <w:p>
            <w:pPr>
              <w:pStyle w:val="TableContents"/>
              <w:bidi w:val="0"/>
              <w:spacing w:before="0" w:after="283"/>
              <w:jc w:val="right"/>
              <w:rPr/>
            </w:pPr>
            <w:r>
              <w:rPr/>
              <w:t>                       </w:t>
            </w: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73,604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r>
              <w:rPr>
                <w:sz w:val="16"/>
              </w:rPr>
              <w:t>$</w:t>
            </w:r>
          </w:p>
        </w:tc>
        <w:tc>
          <w:tcPr>
            <w:tcW w:w="1085" w:type="dxa"/>
            <w:tcBorders/>
            <w:shd w:fill="CCEEFF" w:val="clear"/>
            <w:vAlign w:val="center"/>
          </w:tcPr>
          <w:p>
            <w:pPr>
              <w:pStyle w:val="TableContents"/>
              <w:bidi w:val="0"/>
              <w:spacing w:before="0" w:after="283"/>
              <w:jc w:val="right"/>
              <w:rPr>
                <w:sz w:val="16"/>
              </w:rPr>
            </w:pPr>
            <w:r>
              <w:rPr>
                <w:sz w:val="16"/>
              </w:rPr>
              <w:t>429,688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Cost of revenues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170,788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300</w:t>
            </w:r>
          </w:p>
        </w:tc>
        <w:tc>
          <w:tcPr>
            <w:tcW w:w="245" w:type="dxa"/>
            <w:tcBorders/>
            <w:shd w:fill="FFFFFF" w:val="clear"/>
            <w:vAlign w:val="center"/>
          </w:tcPr>
          <w:p>
            <w:pPr>
              <w:pStyle w:val="TableContents"/>
              <w:bidi w:val="0"/>
              <w:spacing w:before="0" w:after="283"/>
              <w:jc w:val="left"/>
              <w:rPr>
                <w:sz w:val="16"/>
              </w:rPr>
            </w:pPr>
            <w:r>
              <w:rPr>
                <w:sz w:val="16"/>
              </w:rPr>
              <w:t>(C)</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38,881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38,881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209,969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Gross profit (loss)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129,212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56,084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(300</w:t>
            </w:r>
          </w:p>
        </w:tc>
        <w:tc>
          <w:tcPr>
            <w:tcW w:w="24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53,952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219,719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Sales commissions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37,009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45,615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45,615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18,813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18,813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101,437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Sales and marketing</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sz w:val="16"/>
              </w:rPr>
            </w:pPr>
            <w:r>
              <w:rPr>
                <w:sz w:val="16"/>
              </w:rPr>
              <w:t>29,030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16"/>
              </w:rPr>
            </w:pPr>
            <w:r>
              <w:rPr>
                <w:sz w:val="16"/>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1,251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16"/>
              </w:rPr>
            </w:pPr>
            <w:r>
              <w:rPr>
                <w:sz w:val="16"/>
              </w:rPr>
              <w:t>30,409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General and administrative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90,104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15,916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2,753</w:t>
            </w:r>
          </w:p>
        </w:tc>
        <w:tc>
          <w:tcPr>
            <w:tcW w:w="245" w:type="dxa"/>
            <w:tcBorders/>
            <w:shd w:fill="CCEEFF" w:val="clear"/>
            <w:vAlign w:val="center"/>
          </w:tcPr>
          <w:p>
            <w:pPr>
              <w:pStyle w:val="TableContents"/>
              <w:bidi w:val="0"/>
              <w:spacing w:before="0" w:after="283"/>
              <w:jc w:val="left"/>
              <w:rPr>
                <w:sz w:val="16"/>
              </w:rPr>
            </w:pPr>
            <w:r>
              <w:rPr>
                <w:sz w:val="16"/>
              </w:rPr>
              <w:t>(C)</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18,669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13,979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sz w:val="16"/>
              </w:rPr>
            </w:pPr>
            <w:r>
              <w:rPr>
                <w:sz w:val="16"/>
              </w:rPr>
              <w:t>1,975</w:t>
            </w:r>
          </w:p>
        </w:tc>
        <w:tc>
          <w:tcPr>
            <w:tcW w:w="260" w:type="dxa"/>
            <w:tcBorders/>
            <w:shd w:fill="CCEEFF" w:val="clear"/>
            <w:vAlign w:val="center"/>
          </w:tcPr>
          <w:p>
            <w:pPr>
              <w:pStyle w:val="TableContents"/>
              <w:bidi w:val="0"/>
              <w:spacing w:before="0" w:after="283"/>
              <w:jc w:val="left"/>
              <w:rPr>
                <w:sz w:val="16"/>
              </w:rPr>
            </w:pPr>
            <w:r>
              <w:rPr>
                <w:sz w:val="16"/>
              </w:rPr>
              <w:t>(H)</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1,792</w:t>
            </w:r>
          </w:p>
        </w:tc>
        <w:tc>
          <w:tcPr>
            <w:tcW w:w="200" w:type="dxa"/>
            <w:tcBorders/>
            <w:shd w:fill="CCEEFF" w:val="clear"/>
            <w:vAlign w:val="center"/>
          </w:tcPr>
          <w:p>
            <w:pPr>
              <w:pStyle w:val="TableContents"/>
              <w:bidi w:val="0"/>
              <w:spacing w:before="0" w:after="283"/>
              <w:jc w:val="left"/>
              <w:rPr>
                <w:sz w:val="16"/>
              </w:rPr>
            </w:pPr>
            <w:r>
              <w:rPr>
                <w:sz w:val="16"/>
              </w:rPr>
              <w:t>(D)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17,746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126,519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Rent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16"/>
              </w:rPr>
            </w:pPr>
            <w:r>
              <w:rPr>
                <w:sz w:val="16"/>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1,338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sz w:val="16"/>
              </w:rPr>
            </w:pPr>
            <w:r>
              <w:rPr>
                <w:sz w:val="16"/>
              </w:rPr>
              <w:t>(1,338</w:t>
            </w:r>
          </w:p>
        </w:tc>
        <w:tc>
          <w:tcPr>
            <w:tcW w:w="260" w:type="dxa"/>
            <w:tcBorders/>
            <w:shd w:fill="FFFFFF" w:val="clear"/>
            <w:vAlign w:val="center"/>
          </w:tcPr>
          <w:p>
            <w:pPr>
              <w:pStyle w:val="TableContents"/>
              <w:bidi w:val="0"/>
              <w:spacing w:before="0" w:after="283"/>
              <w:jc w:val="left"/>
              <w:rPr>
                <w:sz w:val="16"/>
              </w:rPr>
            </w:pPr>
            <w:r>
              <w:rPr>
                <w:sz w:val="16"/>
              </w:rPr>
              <w:t>)(H)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16"/>
              </w:rPr>
            </w:pPr>
            <w:r>
              <w:rPr>
                <w:sz w:val="16"/>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260" w:type="dxa"/>
            <w:tcBorders/>
            <w:shd w:fill="CCEEFF" w:val="clear"/>
            <w:vAlign w:val="center"/>
          </w:tcPr>
          <w:p>
            <w:pPr>
              <w:pStyle w:val="TableContents"/>
              <w:bidi w:val="0"/>
              <w:spacing w:before="0" w:after="283"/>
              <w:jc w:val="left"/>
              <w:rPr>
                <w:sz w:val="16"/>
              </w:rPr>
            </w:pPr>
            <w:r>
              <w:rPr>
                <w:sz w:val="16"/>
              </w:rPr>
              <w:t>)(H)</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Total operating expenses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156,143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62,782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2,753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65,535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34,895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(1,792</w:t>
            </w:r>
          </w:p>
        </w:tc>
        <w:tc>
          <w:tcPr>
            <w:tcW w:w="20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36,687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258,365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(26,931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(6,698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(3,053</w:t>
            </w:r>
          </w:p>
        </w:tc>
        <w:tc>
          <w:tcPr>
            <w:tcW w:w="24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(9,194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(38,646</w:t>
            </w:r>
          </w:p>
        </w:tc>
        <w:tc>
          <w:tcPr>
            <w:tcW w:w="75" w:type="dxa"/>
            <w:tcBorders/>
            <w:shd w:fill="CCEEFF" w:val="clear"/>
            <w:vAlign w:val="center"/>
          </w:tcPr>
          <w:p>
            <w:pPr>
              <w:pStyle w:val="TableContents"/>
              <w:bidi w:val="0"/>
              <w:spacing w:before="0" w:after="283"/>
              <w:ind w:left="0" w:right="0" w:hanging="180"/>
              <w:jc w:val="left"/>
              <w:rPr>
                <w:sz w:val="16"/>
              </w:rPr>
            </w:pPr>
            <w:r>
              <w:rPr>
                <w:sz w:val="16"/>
              </w:rPr>
              <w:t>) </w:t>
            </w:r>
          </w:p>
        </w:tc>
      </w:tr>
      <w:tr>
        <w:trPr/>
        <w:tc>
          <w:tcPr>
            <w:tcW w:w="1010" w:type="dxa"/>
            <w:tcBorders/>
            <w:shd w:fill="FFFFFF" w:val="clear"/>
            <w:vAlign w:val="center"/>
          </w:tcPr>
          <w:p>
            <w:pPr>
              <w:pStyle w:val="TableContents"/>
              <w:bidi w:val="0"/>
              <w:spacing w:before="0" w:after="283"/>
              <w:jc w:val="left"/>
              <w:rPr>
                <w:sz w:val="16"/>
              </w:rPr>
            </w:pPr>
            <w:r>
              <w:rPr>
                <w:sz w:val="16"/>
              </w:rPr>
              <w:t>Interest expense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sz w:val="16"/>
              </w:rPr>
            </w:pPr>
            <w:r>
              <w:rPr>
                <w:sz w:val="16"/>
              </w:rPr>
              <w:t>(25,095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(246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16"/>
              </w:rPr>
            </w:pPr>
            <w:r>
              <w:rPr>
                <w:sz w:val="16"/>
              </w:rPr>
              <w:t>(2,658</w:t>
            </w:r>
          </w:p>
        </w:tc>
        <w:tc>
          <w:tcPr>
            <w:tcW w:w="245" w:type="dxa"/>
            <w:tcBorders/>
            <w:shd w:fill="FFFFFF" w:val="clear"/>
            <w:vAlign w:val="center"/>
          </w:tcPr>
          <w:p>
            <w:pPr>
              <w:pStyle w:val="TableContents"/>
              <w:bidi w:val="0"/>
              <w:spacing w:before="0" w:after="283"/>
              <w:jc w:val="left"/>
              <w:rPr>
                <w:sz w:val="16"/>
              </w:rPr>
            </w:pPr>
            <w:r>
              <w:rPr>
                <w:sz w:val="16"/>
              </w:rPr>
              <w: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(2,904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(1,286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1,286</w:t>
            </w:r>
          </w:p>
        </w:tc>
        <w:tc>
          <w:tcPr>
            <w:tcW w:w="200" w:type="dxa"/>
            <w:tcBorders/>
            <w:shd w:fill="FFFFFF" w:val="clear"/>
            <w:vAlign w:val="center"/>
          </w:tcPr>
          <w:p>
            <w:pPr>
              <w:pStyle w:val="TableContents"/>
              <w:bidi w:val="0"/>
              <w:spacing w:before="0" w:after="283"/>
              <w:jc w:val="left"/>
              <w:rPr>
                <w:sz w:val="16"/>
              </w:rPr>
            </w:pPr>
            <w:r>
              <w:rPr>
                <w:sz w:val="16"/>
              </w:rPr>
              <w:t>(F)</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sz w:val="16"/>
              </w:rPr>
            </w:pPr>
            <w:r>
              <w:rPr>
                <w:sz w:val="16"/>
              </w:rPr>
              <w:t>(27,999</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Interest income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sz w:val="16"/>
              </w:rPr>
            </w:pPr>
            <w:r>
              <w:rPr>
                <w:sz w:val="16"/>
              </w:rPr>
              <w:t>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Other income (expense), net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9,684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(15,745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(2,658</w:t>
            </w:r>
          </w:p>
        </w:tc>
        <w:tc>
          <w:tcPr>
            <w:tcW w:w="24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(2,548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(1,269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1,286</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(18,276</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FFFFFF" w:val="clear"/>
            <w:vAlign w:val="center"/>
          </w:tcPr>
          <w:p>
            <w:pPr>
              <w:pStyle w:val="TableContents"/>
              <w:bidi w:val="0"/>
              <w:spacing w:before="0" w:after="283"/>
              <w:jc w:val="left"/>
              <w:rPr>
                <w:sz w:val="16"/>
              </w:rPr>
            </w:pPr>
            <w:r>
              <w:rPr>
                <w:sz w:val="16"/>
              </w:rPr>
              <w:t>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(42,676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(6,588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(5,711</w:t>
            </w:r>
          </w:p>
        </w:tc>
        <w:tc>
          <w:tcPr>
            <w:tcW w:w="24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(12,299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(1,441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(506</w:t>
            </w:r>
          </w:p>
        </w:tc>
        <w:tc>
          <w:tcPr>
            <w:tcW w:w="20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(1,947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(56,922</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FFFFFF" w:val="clear"/>
            <w:vAlign w:val="center"/>
          </w:tcPr>
          <w:p>
            <w:pPr>
              <w:pStyle w:val="TableContents"/>
              <w:bidi w:val="0"/>
              <w:spacing w:before="0" w:after="283"/>
              <w:jc w:val="left"/>
              <w:rPr>
                <w:sz w:val="16"/>
              </w:rPr>
            </w:pPr>
            <w:r>
              <w:rPr>
                <w:sz w:val="16"/>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959"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(44,254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84"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(6,588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(5,711</w:t>
            </w:r>
          </w:p>
        </w:tc>
        <w:tc>
          <w:tcPr>
            <w:tcW w:w="24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(12,299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84"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(1,441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46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(506</w:t>
            </w:r>
          </w:p>
        </w:tc>
        <w:tc>
          <w:tcPr>
            <w:tcW w:w="20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(1,947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(58,500</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Net loss from continuing operations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959"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(0.51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r>
              <w:rPr>
                <w:sz w:val="16"/>
              </w:rPr>
              <w:t>$</w:t>
            </w:r>
          </w:p>
        </w:tc>
        <w:tc>
          <w:tcPr>
            <w:tcW w:w="1085"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(0.56</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Weighted average shares used to compute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87,108,928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245" w:type="dxa"/>
            <w:tcBorders/>
            <w:shd w:fill="CCEEFF" w:val="clear"/>
            <w:vAlign w:val="center"/>
          </w:tcPr>
          <w:p>
            <w:pPr>
              <w:pStyle w:val="TableContents"/>
              <w:bidi w:val="0"/>
              <w:spacing w:before="0" w:after="283"/>
              <w:jc w:val="left"/>
              <w:rPr>
                <w:sz w:val="16"/>
              </w:rPr>
            </w:pPr>
            <w:r>
              <w:rPr>
                <w:sz w:val="16"/>
              </w:rPr>
              <w:t>(G)</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200" w:type="dxa"/>
            <w:tcBorders/>
            <w:shd w:fill="CCEEFF" w:val="clear"/>
            <w:vAlign w:val="center"/>
          </w:tcPr>
          <w:p>
            <w:pPr>
              <w:pStyle w:val="TableContents"/>
              <w:bidi w:val="0"/>
              <w:spacing w:before="0" w:after="283"/>
              <w:jc w:val="left"/>
              <w:rPr>
                <w:sz w:val="16"/>
              </w:rPr>
            </w:pPr>
            <w:r>
              <w:rPr>
                <w:sz w:val="16"/>
              </w:rPr>
              <w:t>(I)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104,731,542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pro forma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54" w:name="k_002"/>
      <w:bookmarkEnd w:id="54"/>
      <w:r>
        <w:rPr>
          <w:rFonts w:ascii="Times New Roman;Times;Serif" w:hAnsi="Times New Roman;Times;Serif"/>
          <w:b/>
          <w:i/>
          <w:caps w:val="false"/>
          <w:smallCaps w:val="false"/>
          <w:sz w:val="20"/>
        </w:rPr>
        <w:t>Notes to Unaudited Pro Forma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was prepared in accordance with Article 11 of Regulation S-X, and presents the pro forma results of operations of the Company based on the historical financial information of the Company, Sunder and Ambia after giving effect to the Acquisitions, the Financing, and reclassifications as set forth in the notes to the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reflect any management adjustments for expected effects of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Sunder and Ambia Acquisitions and the financing of the Sunder Acquisition had been consummated on January 1, 2025, the beginning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entered into a Membership Interest Purchase Agreement (“MIPA”) with Sunder Energy LLC (“Sunder” or “Sunder Acquisition”) and the seller, Chicken Parm Pizza LLC (“Seller/Member”), the sole member of Sunder. The acquisition of Sunder was completed in the Company’s third fiscal quarter on September 24, 2025, and the financial results of Sunder have been included in the Company’s unaudited condensed consolidated financial statements since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consideration is summarized as follows </w:t>
      </w:r>
      <w:r>
        <w:rPr>
          <w:rFonts w:ascii="Times New Roman;Times;Serif" w:hAnsi="Times New Roman;Times;Serif"/>
          <w:b w:val="false"/>
          <w:i/>
          <w:caps w:val="false"/>
          <w:smallCaps w:val="false"/>
          <w:sz w:val="20"/>
        </w:rPr>
        <w:t>(in thousands except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50"/>
        <w:gridCol w:w="60"/>
        <w:gridCol w:w="140"/>
        <w:gridCol w:w="680"/>
        <w:gridCol w:w="75"/>
      </w:tblGrid>
      <w:tr>
        <w:trPr/>
        <w:tc>
          <w:tcPr>
            <w:tcW w:w="9250" w:type="dxa"/>
            <w:tcBorders/>
            <w:vAlign w:val="center"/>
          </w:tcPr>
          <w:p>
            <w:pPr>
              <w:pStyle w:val="TableContents"/>
              <w:bidi w:val="0"/>
              <w:spacing w:before="0" w:after="283"/>
              <w:ind w:left="0" w:right="0" w:hanging="180"/>
              <w:jc w:val="left"/>
              <w:rPr>
                <w:b/>
              </w:rPr>
            </w:pPr>
            <w:r>
              <w:rPr>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92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20,689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250" w:type="dxa"/>
            <w:tcBorders/>
            <w:shd w:fill="FFFFFF" w:val="clear"/>
            <w:vAlign w:val="center"/>
          </w:tcPr>
          <w:p>
            <w:pPr>
              <w:pStyle w:val="TableContents"/>
              <w:bidi w:val="0"/>
              <w:spacing w:before="0" w:after="283"/>
              <w:jc w:val="left"/>
              <w:rPr/>
            </w:pPr>
            <w:r>
              <w:rPr/>
              <w:t>Seller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250" w:type="dxa"/>
            <w:tcBorders/>
            <w:shd w:fill="CCEEFF" w:val="clear"/>
            <w:vAlign w:val="center"/>
          </w:tcPr>
          <w:p>
            <w:pPr>
              <w:pStyle w:val="TableContents"/>
              <w:bidi w:val="0"/>
              <w:spacing w:before="0" w:after="283"/>
              <w:jc w:val="left"/>
              <w:rPr/>
            </w:pPr>
            <w:r>
              <w:rPr/>
              <w:t>3,333,334 shares of the Company’s common stock issued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250" w:type="dxa"/>
            <w:tcBorders/>
            <w:shd w:fill="FFFFFF" w:val="clear"/>
            <w:vAlign w:val="center"/>
          </w:tcPr>
          <w:p>
            <w:pPr>
              <w:pStyle w:val="TableContents"/>
              <w:bidi w:val="0"/>
              <w:spacing w:before="0" w:after="283"/>
              <w:jc w:val="left"/>
              <w:rPr/>
            </w:pPr>
            <w:r>
              <w:rPr/>
              <w:t>Contingent consideration arrangement – up to 6,666,666 shares of the Company’s common stock to be issued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11,400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250" w:type="dxa"/>
            <w:tcBorders/>
            <w:shd w:fill="CCEEFF" w:val="clear"/>
            <w:vAlign w:val="center"/>
          </w:tcPr>
          <w:p>
            <w:pPr>
              <w:pStyle w:val="TableContents"/>
              <w:bidi w:val="0"/>
              <w:spacing w:before="0" w:after="283"/>
              <w:jc w:val="left"/>
              <w:rPr/>
            </w:pPr>
            <w:r>
              <w:rPr/>
              <w:t>Fair value of total 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assets acquired and liabilities assumed are based upon a provisional valuation of the assets acquired and liabilities assumed, and the Company’s estimates and assumptions are subject to change within the measurement period. Finalization of the fair values remains open for the components of working capital, identification and valuation of intangibles and allocation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4325"/>
        <w:gridCol w:w="60"/>
        <w:gridCol w:w="140"/>
        <w:gridCol w:w="755"/>
        <w:gridCol w:w="110"/>
      </w:tblGrid>
      <w:tr>
        <w:trPr/>
        <w:tc>
          <w:tcPr>
            <w:tcW w:w="4325" w:type="dxa"/>
            <w:tcBorders/>
            <w:vAlign w:val="center"/>
          </w:tcPr>
          <w:p>
            <w:pPr>
              <w:pStyle w:val="TableContents"/>
              <w:bidi w:val="0"/>
              <w:spacing w:before="0" w:after="283"/>
              <w:jc w:val="left"/>
              <w:rPr>
                <w:b/>
              </w:rPr>
            </w:pPr>
            <w:r>
              <w:rPr>
                <w:b/>
              </w:rPr>
              <w:t>Net assets acquired:</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797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37,500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(11,673</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(3,850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Fair value of net tangible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Goodwill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31,822</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estimated consideration transferred over the fair value of the net tangible and intangible assets acquired that is associated with the excess cash flows that the acquisition is expected to generate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“Membership Interest Purchase Agreement”) with Ambia and Ambia Holdings, Inc., a Delaware corporation and the sole member of Ambia (“Ambia Holdings”).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Membership Interest Purchase Agreement (the “Ambia Closing”) on November 21, 2025. At the Ambia Closing, the Company acquired all of the outstanding membership interests of Ambia from Ambia Holdings for: (a) 10,243,924 shares (the “Ambia Closing Consideration Shares”) of common stock of the Company, issued at the Ambia Closing to Ambia Holdings; and (b) the agreement to issue an additional $9.375 million of shares of the Company’s common stock on each of the six-month anniversary of the Ambia Closing and the 12-month anniversary of the Ambia Closing (such additional shares of common stock, the “Deferred Ambia Consideration Shares”). The issuance of the Deferred Ambia Consideration Shares is subject to approval by the Company’s stockholders following the Closing in accordance with the rules and regulations of the Nasdaq Stock Market (including Nasdaq Listing Rule 5635(a)).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Membership Interest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closing share price for its common stock of $1.61 on November 21, 2025 was used to fair value the shares issued at the Ambia Closing.. The Fair value of contingent consideration was $16,879 as of December 28, 2025. The total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7325"/>
        <w:gridCol w:w="60"/>
        <w:gridCol w:w="140"/>
        <w:gridCol w:w="680"/>
        <w:gridCol w:w="75"/>
      </w:tblGrid>
      <w:tr>
        <w:trPr/>
        <w:tc>
          <w:tcPr>
            <w:tcW w:w="7325" w:type="dxa"/>
            <w:tcBorders/>
            <w:vAlign w:val="center"/>
          </w:tcPr>
          <w:p>
            <w:pPr>
              <w:pStyle w:val="TableContents"/>
              <w:bidi w:val="0"/>
              <w:spacing w:before="0" w:after="283"/>
              <w:jc w:val="left"/>
              <w:rPr>
                <w:b/>
              </w:rPr>
            </w:pPr>
            <w:r>
              <w:rPr>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10,243,924 shares of the Company’s common stock issued at Ambia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16,493</w:t>
            </w:r>
          </w:p>
        </w:tc>
        <w:tc>
          <w:tcPr>
            <w:tcW w:w="7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Deferred Ambia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7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4190"/>
        <w:gridCol w:w="60"/>
        <w:gridCol w:w="125"/>
        <w:gridCol w:w="590"/>
        <w:gridCol w:w="95"/>
      </w:tblGrid>
      <w:tr>
        <w:trPr/>
        <w:tc>
          <w:tcPr>
            <w:tcW w:w="4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Provisional fair value of net assets acquired:</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1,368</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net tangible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2,564</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common stock issued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Deferred Ambia Consideration Shares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 recognized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30,808</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Consideration transferred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of the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Sunder was financed as follows: (i) on September 21, 2025, the Company issued $22.0 million of 7% senior unsecured convertible notes (the “September 2025 Notes”), (ii) at closing on September 24, 2025, the Company issued a $20.0 million note to the sellers of Sunder (the “Seller Note”) and (iii) also at closing the Company agreed to issue 10.0 million shares of the Company’s stock which had a fair value of $17.1 million at the closing date of the 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Notes were issued pursuant to an Indenture agreement with U.S. Bank Trust Company, National Association, as trustee (the “Indenture”). The September 2025 Notes issued under the Indenture bear interest at 7.0% per annum, and the interest is payable semiannually in arrears on January 1 and July 1 of each year beginning on January 1, 2025. The principal is payable in full at maturity on July 1, 2029. The September 2025 Notes are convertible into shares of the Company’s common stock at the option of the holder at a conversion rate of $2.14 per common share. Holders of the September 2025 Notes may convert at any time. The September 2025 Notes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Company concluded that since the sellers joined the Company and have a level of influence that is not insignificant, they are related parties of the Company and therefore the Seller Note is a related party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Sunder Acquisition was also financed through the issuance of shares of the Company’s common stock. The Company agreed to issue 10.0 million shares of the Company’s common stock (valued at the closing share price on September 24, 2025, of $1.71 per share). At closing the Company issued 3,333,334 shares of the Company’s common stock and subject to approval of such issuances by the Company’s stockholders, the Company will issue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transaction adjustments within the pro forma results of operations for the year ended December 28, 2025 present the shares of common stock issuable in connection with the Sunder acquisition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Ambia Acquisition was consummated through the issuance of shares of the Company’s common stock. At the Ambia Closing the Company paid initial consideration through the issuance of 10,243,924 shares of the Company’s common stock, a non-cash transaction. The Deferred Ambia Consideration Shares will also be paid in shares of the Company’s common stock.</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185"/>
        <w:gridCol w:w="48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48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Sunder Year to Date Results through September 23, 2025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September 23, 2025 were derived from the unaudited financial statements for the six months ended June 30, 2025 and interim results of operations for the period from July 1, 2025 through September 23,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04" w:type="dxa"/>
        <w:jc w:val="left"/>
        <w:tblInd w:w="0" w:type="dxa"/>
        <w:tblLayout w:type="fixed"/>
        <w:tblCellMar>
          <w:top w:w="0" w:type="dxa"/>
          <w:left w:w="0" w:type="dxa"/>
          <w:bottom w:w="0" w:type="dxa"/>
          <w:right w:w="0" w:type="dxa"/>
        </w:tblCellMar>
      </w:tblPr>
      <w:tblGrid>
        <w:gridCol w:w="3200"/>
        <w:gridCol w:w="60"/>
        <w:gridCol w:w="200"/>
        <w:gridCol w:w="974"/>
        <w:gridCol w:w="95"/>
        <w:gridCol w:w="60"/>
        <w:gridCol w:w="251"/>
        <w:gridCol w:w="1224"/>
        <w:gridCol w:w="95"/>
        <w:gridCol w:w="60"/>
        <w:gridCol w:w="251"/>
        <w:gridCol w:w="1224"/>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1, 2025</w:t>
              <w:br/>
              <w:t xml:space="preserve">thru </w:t>
              <w:br/>
              <w:t>September 23,</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September 23,</w:t>
              <w:br/>
              <w:t>2025</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40,012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16,072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56,084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12,276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45,615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1,251</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4,458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15,916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45,568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17,214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62,782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(6,698</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(246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320</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Loss from before income taxes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(5,681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(6,588</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74" w:type="dxa"/>
            <w:tcBorders>
              <w:bottom w:val="double" w:sz="10" w:space="0" w:color="000000"/>
            </w:tcBorders>
            <w:shd w:fill="FFFFFF" w:val="clear"/>
            <w:tcMar>
              <w:bottom w:w="28" w:type="dxa"/>
            </w:tcMar>
            <w:vAlign w:val="center"/>
          </w:tcPr>
          <w:p>
            <w:pPr>
              <w:pStyle w:val="TableContents"/>
              <w:bidi w:val="0"/>
              <w:spacing w:before="0" w:after="283"/>
              <w:jc w:val="right"/>
              <w:rPr/>
            </w:pPr>
            <w:r>
              <w:rPr/>
              <w:t>(5,681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(6,588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Ambia Year to Date results through November 20,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November 20, 2025 were derived from the unaudited financial statements for the nine months ended September 30, 2025 and interim results of operations for the period from October 1, 2025 through November 20,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044" w:type="dxa"/>
        <w:jc w:val="left"/>
        <w:tblInd w:w="0" w:type="dxa"/>
        <w:tblLayout w:type="fixed"/>
        <w:tblCellMar>
          <w:top w:w="0" w:type="dxa"/>
          <w:left w:w="0" w:type="dxa"/>
          <w:bottom w:w="0" w:type="dxa"/>
          <w:right w:w="0" w:type="dxa"/>
        </w:tblCellMar>
      </w:tblPr>
      <w:tblGrid>
        <w:gridCol w:w="3200"/>
        <w:gridCol w:w="60"/>
        <w:gridCol w:w="251"/>
        <w:gridCol w:w="1223"/>
        <w:gridCol w:w="95"/>
        <w:gridCol w:w="60"/>
        <w:gridCol w:w="246"/>
        <w:gridCol w:w="1199"/>
        <w:gridCol w:w="95"/>
        <w:gridCol w:w="60"/>
        <w:gridCol w:w="246"/>
        <w:gridCol w:w="1199"/>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 xml:space="preserve">Ended </w:t>
              <w:b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 1, 2025</w:t>
              <w:br/>
              <w:t xml:space="preserve">thru </w:t>
              <w:br/>
              <w:t>November 20,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November 20,</w:t>
              <w:br/>
              <w:t>2025</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61,076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12,528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73,604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32,622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6,259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38,881</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28,454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34,723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16,003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18,813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10,845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13,979</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1,338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637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28,381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6,514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34,895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Loss from before income taxes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(1,441</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(1,441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85"/>
        <w:gridCol w:w="59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59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Unaudited Pro Forma Combined Statements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combined statements of operations for the year ended December 28, 2025, are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Sunder intangibles acquired and their useful lives were as follows </w:t>
            </w:r>
            <w:r>
              <w:rPr>
                <w:rFonts w:ascii="Times New Roman;Times;Serif" w:hAnsi="Times New Roman;Times;Serif"/>
                <w:i/>
                <w:sz w:val="20"/>
              </w:rPr>
              <w:t>(in thousands):</w:t>
            </w:r>
          </w:p>
        </w:tc>
      </w:tr>
    </w:tbl>
    <w:p>
      <w:pPr>
        <w:pStyle w:val="TextBody"/>
        <w:bidi w:val="0"/>
        <w:spacing w:before="0" w:after="0"/>
        <w:ind w:left="0" w:right="0" w:hanging="0"/>
        <w:jc w:val="both"/>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630"/>
        <w:gridCol w:w="60"/>
        <w:gridCol w:w="1040"/>
        <w:gridCol w:w="60"/>
        <w:gridCol w:w="146"/>
        <w:gridCol w:w="714"/>
        <w:gridCol w:w="75"/>
      </w:tblGrid>
      <w:tr>
        <w:trPr/>
        <w:tc>
          <w:tcPr>
            <w:tcW w:w="2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10 year</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30,600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10 years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6,100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2 years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800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September 23,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4985"/>
        <w:gridCol w:w="60"/>
        <w:gridCol w:w="151"/>
        <w:gridCol w:w="1324"/>
        <w:gridCol w:w="75"/>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23,</w:t>
              <w:br/>
              <w:t>2025</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           </w:t>
            </w:r>
            <w:r>
              <w:rPr/>
              <w:t>2,295</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458</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Total pro forma amortization expense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24" w:type="dxa"/>
            <w:tcBorders>
              <w:bottom w:val="double" w:sz="10" w:space="0" w:color="000000"/>
            </w:tcBorders>
            <w:shd w:fill="FFFFFF" w:val="clear"/>
            <w:tcMar>
              <w:bottom w:w="28" w:type="dxa"/>
            </w:tcMar>
            <w:vAlign w:val="center"/>
          </w:tcPr>
          <w:p>
            <w:pPr>
              <w:pStyle w:val="TableContents"/>
              <w:bidi w:val="0"/>
              <w:spacing w:before="0" w:after="283"/>
              <w:jc w:val="right"/>
              <w:rPr/>
            </w:pPr>
            <w:r>
              <w:rPr/>
              <w:t>3,052</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Classified within cost of revenues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Classified within general and administrative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2,752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estimates of intangible assets’ fair values and useful lives are provisional and subject to change upon finalization of the fair values of the assets acquired.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Ambia intangibles acquired and their useful lives were as follows </w:t>
            </w:r>
            <w:r>
              <w:rPr>
                <w:rFonts w:ascii="Times New Roman;Times;Serif" w:hAnsi="Times New Roman;Times;Serif"/>
                <w:i/>
                <w:sz w:val="20"/>
              </w:rPr>
              <w:t>(in thousands):</w:t>
            </w:r>
          </w:p>
        </w:tc>
      </w:tr>
    </w:tbl>
    <w:p>
      <w:pPr>
        <w:pStyle w:val="TextBody"/>
        <w:bidi w:val="0"/>
        <w:spacing w:before="0" w:after="283"/>
        <w:jc w:val="left"/>
        <w:rPr/>
      </w:pPr>
      <w:r>
        <w:rPr/>
        <w:t> </w:t>
      </w:r>
    </w:p>
    <w:tbl>
      <w:tblPr>
        <w:tblW w:w="4725" w:type="dxa"/>
        <w:jc w:val="left"/>
        <w:tblInd w:w="0" w:type="dxa"/>
        <w:tblLayout w:type="fixed"/>
        <w:tblCellMar>
          <w:top w:w="0" w:type="dxa"/>
          <w:left w:w="0" w:type="dxa"/>
          <w:bottom w:w="0" w:type="dxa"/>
          <w:right w:w="0" w:type="dxa"/>
        </w:tblCellMar>
      </w:tblPr>
      <w:tblGrid>
        <w:gridCol w:w="2630"/>
        <w:gridCol w:w="60"/>
        <w:gridCol w:w="1040"/>
        <w:gridCol w:w="60"/>
        <w:gridCol w:w="172"/>
        <w:gridCol w:w="688"/>
        <w:gridCol w:w="75"/>
      </w:tblGrid>
      <w:tr>
        <w:trPr/>
        <w:tc>
          <w:tcPr>
            <w:tcW w:w="2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 year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3,400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 year</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900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4,300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November 20,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575"/>
        <w:gridCol w:w="60"/>
        <w:gridCol w:w="397"/>
        <w:gridCol w:w="1588"/>
        <w:gridCol w:w="75"/>
      </w:tblGrid>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November 20, 2025</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967</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Total pro forma amortization expense</w:t>
            </w:r>
          </w:p>
        </w:tc>
        <w:tc>
          <w:tcPr>
            <w:tcW w:w="60" w:type="dxa"/>
            <w:tcBorders/>
            <w:shd w:fill="CCEEFF" w:val="clear"/>
            <w:vAlign w:val="center"/>
          </w:tcPr>
          <w:p>
            <w:pPr>
              <w:pStyle w:val="TableContents"/>
              <w:bidi w:val="0"/>
              <w:spacing w:before="0" w:after="283"/>
              <w:jc w:val="left"/>
              <w:rPr/>
            </w:pPr>
            <w:r>
              <w:rPr/>
              <w:t> </w:t>
            </w:r>
          </w:p>
        </w:tc>
        <w:tc>
          <w:tcPr>
            <w:tcW w:w="3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88" w:type="dxa"/>
            <w:tcBorders>
              <w:bottom w:val="double" w:sz="10" w:space="0" w:color="000000"/>
            </w:tcBorders>
            <w:shd w:fill="CCEEFF" w:val="clear"/>
            <w:tcMar>
              <w:bottom w:w="28" w:type="dxa"/>
            </w:tcMar>
            <w:vAlign w:val="center"/>
          </w:tcPr>
          <w:p>
            <w:pPr>
              <w:pStyle w:val="TableContents"/>
              <w:bidi w:val="0"/>
              <w:spacing w:before="0" w:after="283"/>
              <w:jc w:val="right"/>
              <w:rPr/>
            </w:pPr>
            <w:r>
              <w:rPr/>
              <w:t>1,792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F-183</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Transaction adjustment reflects (i) the impact of interest expense and amortization of debt issuance costs arising from the September 2025 Notes issued in connection with the acquisition of Sunder, assuming the September 2025 Notes were issued on January 1, 2025 and (ii) the impact of interest expense arising from the $20.0 million Seller Note issued in connection with the acquisition of Sunder, assuming the Seller Note was issued on January 1, 2025. The components of pro forma interest and amortization of debt issuance costs are as follows </w:t>
            </w:r>
            <w:r>
              <w:rPr>
                <w:rFonts w:ascii="Times New Roman;Times;Serif" w:hAnsi="Times New Roman;Times;Serif"/>
                <w:i/>
                <w:sz w:val="20"/>
              </w:rPr>
              <w:t>(in thousands):</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080"/>
        <w:gridCol w:w="60"/>
        <w:gridCol w:w="307"/>
        <w:gridCol w:w="1228"/>
        <w:gridCol w:w="75"/>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23, </w:t>
              <w:br/>
              <w:t>2025</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1,019</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Seller Note</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1,885</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Total pro forma interest expense</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pPr>
            <w:r>
              <w:rPr/>
              <w:t>2,904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adjustment of $2.7 million includes an accounting adjustment to eliminate the historical interest expense of $0.2 million, as Sunder was acquired in a debt free transaction.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60" w:type="dxa"/>
            <w:tcBorders/>
            <w:vAlign w:val="center"/>
          </w:tcPr>
          <w:p>
            <w:pPr>
              <w:pStyle w:val="TableContents"/>
              <w:bidi w:val="0"/>
              <w:spacing w:before="0" w:after="283"/>
              <w:jc w:val="both"/>
              <w:rPr/>
            </w:pPr>
            <w:r>
              <w:rPr/>
              <w:t>The transaction adjustment to eliminate the historical interest expense, as Ambia was acquired in a debt free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3,333,334 shares of the Company’s stock issued at the date of the Sunder Acquisition. As of December 28, 2025, the historical weighted average shares outstanding included 860,806 shares issued in connection with the Sunder Acquisition. As such, incremental shares of 2,472,528 shares included in the pro forma shares outstanding as of December 28, 2025 is net of the 860,806 shares included in the historical weighted average shares outstanding. The 6,666,666 Deferred Consideration Shares were excluded from the computation of pro forma net loss per share because issuance of such shares is contingent upon the satisfaction of certain conditions which are not satisfied as of the period end for pro forma presentation purposes.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conform the financial statement presentation for the Ambia Acquisition to the Company’s presentation within the Statements of Operations for the period December 28,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15,150,086 shares of the Company’s stock issued at the date of the Ambia Acquisition and minimum value of variable shares of Deferred Consideration - Ambia. As of December 28, 2025, the historical weighted average shares outstanding included 1,765,961 shares issued in connection with the Ambia Acquisition. As such, incremental shares of 15,150,086 shares included in the pro forma shares outstanding as of December 28, 2025 is net of the 1,765,961 shares included in the historical weighted average shares outstanding.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F-184</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164833</Words>
  <Characters>896208</Characters>
  <CharactersWithSpaces>1070746</CharactersWithSpaces>
  <Paragraphs>35676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