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824-8k_sunpower.htm"/>
      <w:bookmarkStart w:id="1" w:name="ksea03058248k_sunpower"/>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917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2_edei--EntityFileNumber_c20260917"/>
            <w:bookmarkEnd w:id="6"/>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C_edei--EntityTaxIdentificationNum"/>
            <w:bookmarkEnd w:id="7"/>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bookmarkStart w:id="8" w:name="xdx_90B_edei--EntityAddressAddressLine1_"/>
            <w:bookmarkEnd w:id="8"/>
            <w:r>
              <w:rPr>
                <w:b/>
              </w:rPr>
              <w:t xml:space="preserve">1403 N. Research Way, </w:t>
            </w:r>
            <w:bookmarkStart w:id="9" w:name="xdx_90E_edei--EntityAddressCityOrTown_c2"/>
            <w:bookmarkEnd w:id="9"/>
            <w:r>
              <w:rPr>
                <w:b/>
              </w:rPr>
              <w:t xml:space="preserve">Orem, </w:t>
            </w:r>
            <w:bookmarkStart w:id="10" w:name="xdx_907_edei--EntityAddressStateOrProvin"/>
            <w:bookmarkEnd w:id="10"/>
            <w:r>
              <w:rPr>
                <w:b/>
              </w:rPr>
              <w:t xml:space="preserve">UT </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7_edei--EntityAddressPostalZipCode"/>
            <w:bookmarkEnd w:id="11"/>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3_edei--CityAreaCode_c20260917__20"/>
      <w:bookmarkEnd w:id="12"/>
      <w:r>
        <w:rPr>
          <w:rFonts w:ascii="Times New Roman;Times;Serif" w:hAnsi="Times New Roman;Times;Serif"/>
          <w:b/>
          <w:i w:val="false"/>
          <w:caps w:val="false"/>
          <w:smallCaps w:val="false"/>
          <w:sz w:val="20"/>
        </w:rPr>
        <w:t xml:space="preserve">877) </w:t>
      </w:r>
      <w:bookmarkStart w:id="13" w:name="xdx_907_edei--LocalPhoneNumber_c20260917"/>
      <w:bookmarkEnd w:id="13"/>
      <w:r>
        <w:rPr>
          <w:rFonts w:ascii="Times New Roman;Times;Serif" w:hAnsi="Times New Roman;Times;Serif"/>
          <w:b/>
          <w:i w:val="false"/>
          <w:caps w:val="false"/>
          <w:smallCaps w:val="false"/>
          <w:sz w:val="20"/>
        </w:rPr>
        <w:t>299-4943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2_edei--SolicitingMaterial_c202609"/>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18" w:name="xdx_90B_edei--Security12bTitle_c20260917"/>
            <w:bookmarkEnd w:id="18"/>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19" w:name="xdx_90C_edei--TradingSymbol_c20260917__2"/>
            <w:bookmarkEnd w:id="19"/>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0" w:name="xdx_90D_edei--SecurityExchangeName_c2026"/>
            <w:bookmarkEnd w:id="20"/>
            <w:r>
              <w:rPr>
                <w:b/>
              </w:rPr>
              <w:t>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21" w:name="xdx_90B_edei--Security12bTitle_c20260917"/>
            <w:bookmarkEnd w:id="21"/>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22" w:name="xdx_908_edei--TradingSymbol_c20260917__2"/>
            <w:bookmarkEnd w:id="22"/>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3" w:name="xdx_908_edei--SecurityExchangeName_c2026"/>
            <w:bookmarkEnd w:id="23"/>
            <w:r>
              <w:rPr>
                <w:b/>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C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B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Jamie Haenggi, a member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SunPower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informed the Company of her decision not to stand for reelection at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Ms. Haenggi will continue to serve as a director until the 2026 Annual Meeting. Ms. Haenggi’s decision not to stand for reelection was not the result of any disagreement with the Company or the Board on any matter relating to the Company’s operations, policies or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5.08 Shareholder Director Nominations.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in Item 8.01 of this Current Report on Form 8-K is incorporated by reference into this Item 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set November 2, 2026 as the date of the 2026 Annual Meeting. The 2026 Annual Meeting will be held virtually online by means of remote communication. More detailed information regarding the 2026 Annual Meeting will be set forth in the Company’s Definitive Proxy Statement on Schedule 14A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record date for the 2026 Annual Meeting is September 18, 2026. Stockholders owning the Company’s common stock at the close of business on such record date, or their legal proxy holders, are entitled to vote at the 2026 Annual Meeting. The Company reserves the right to change the record date or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date of the 2026 Annual Meeting is being delayed by more than 30 days from the anniversary date of the Company’s 2025 Annual Meeting of Stockholders (the “</w:t>
      </w:r>
      <w:r>
        <w:rPr>
          <w:rFonts w:ascii="Times New Roman;Times;Serif" w:hAnsi="Times New Roman;Times;Serif"/>
          <w:b/>
          <w:i w:val="false"/>
          <w:caps w:val="false"/>
          <w:smallCaps w:val="false"/>
          <w:sz w:val="20"/>
        </w:rPr>
        <w:t>2025 Annual Meeting</w:t>
      </w:r>
      <w:r>
        <w:rPr>
          <w:rFonts w:ascii="Times New Roman;Times;Serif" w:hAnsi="Times New Roman;Times;Serif"/>
          <w:b w:val="false"/>
          <w:i w:val="false"/>
          <w:caps w:val="false"/>
          <w:smallCaps w:val="false"/>
          <w:sz w:val="20"/>
        </w:rPr>
        <w:t>”), in accordance with Rule 14a-5(f)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Company is hereby informing shareholders of such change. In addition, because the 2026 Annual Meeting will be held more than 30 days from the anniversary date of the 2025 Annual Meeting, the deadlines for stockholders’ nominations or proposals for consideration at the 2026 Annual Meeting set forth in the Company’s proxy statement for the 2025 Annual Meeting no longer apply. Further, because the 2026 Annual Meeting will be held more than 60 days from the anniversary date of the 2025 Annual Meeting, the deadlines set forth in the proxy statement for the 2025 Annual Meeting for shareholders to submit a notice of a proposal outside the processes of Rule 14a-8 of the Exchange Act and a notice of proposed director nominations, in each case for consideration at the 2026 Annual Meeting, no longer apply. As such, the Company is filing this Current Report on Form 8-K to inform stockholders of this change and to provide the due date for the submission of any qualified stockholder proposals or qualified stockholder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the Company who wish to have a proposal considered for inclusion in the Company’s proxy materials for the 2026 Annual Meeting pursuant to Rule 14a-8 under the Exchange Act must ensure that such proposal is delivered to or mailed to and received by the Company’s Secretary at SunPower Inc., 1403 N. Research Way, Orem, UT 84097 no later than September 28, 2026, which the Company has determined to be a reasonable time before it expects to begin to print and distribute its proxy materials. Such proposals must comply with all applicable procedures and requirements of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intends to submit a director nomination or who intends to submit a proposal regarding any matter of business at the 2026 Annual Meeting other than in accordance with Rule 14a-8 or otherwise must similarly make sure that such nomination or proposal and related notice comply with all applicable rules of the SEC, the Delaware General Corporation Law and the Company’s Second Amended and Restated Bylaws, and are delivered to, or mailed and received at, the Company’s principal executive offices on or before the close of business on September 28, 2026. Any director nominations and stockholder proposals received after this deadline will be considered untimely and will not be considered for inclusion in the proxy materials for the 2026 Annual Meeting nor will they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630"/>
        <w:gridCol w:w="365"/>
        <w:gridCol w:w="2420"/>
      </w:tblGrid>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smallCaps/>
              </w:rPr>
            </w:pPr>
            <w:r>
              <w:rPr>
                <w:b/>
                <w:smallCaps/>
              </w:rPr>
              <w:t>SunPower Inc.</w:t>
            </w:r>
          </w:p>
        </w:tc>
      </w:tr>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Dated: September 17, 2026</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1085</Words>
  <Characters>5693</Characters>
  <CharactersWithSpaces>6793</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