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10556-10q_complete.htm"/>
      <w:bookmarkStart w:id="1" w:name="ksea021055610q_complete"/>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30,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001-40117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28" w:type="dxa"/>
          <w:right w:w="0" w:type="dxa"/>
        </w:tblCellMar>
      </w:tblPr>
      <w:tblGrid>
        <w:gridCol w:w="2525"/>
        <w:gridCol w:w="60"/>
        <w:gridCol w:w="189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93-2279786</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pPr>
            <w:r>
              <w:rPr/>
              <w:t> </w:t>
            </w:r>
            <w:r>
              <w:rPr>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 270-2507</w:t>
      </w:r>
    </w:p>
    <w:p>
      <w:pPr>
        <w:pStyle w:val="TextBody"/>
        <w:bidi w:val="0"/>
        <w:spacing w:before="0" w:after="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72"/>
        <w:gridCol w:w="60"/>
        <w:gridCol w:w="1448"/>
        <w:gridCol w:w="60"/>
        <w:gridCol w:w="3365"/>
      </w:tblGrid>
      <w:tr>
        <w:trPr/>
        <w:tc>
          <w:tcPr>
            <w:tcW w:w="5272"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48"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365"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272" w:type="dxa"/>
            <w:tcBorders/>
            <w:shd w:fill="CCEEFF" w:val="clear"/>
            <w:tcMar>
              <w:bottom w:w="0" w:type="dxa"/>
            </w:tcMar>
            <w:vAlign w:val="center"/>
          </w:tcPr>
          <w:p>
            <w:pPr>
              <w:pStyle w:val="TableContents"/>
              <w:bidi w:val="0"/>
              <w:spacing w:before="0" w:after="283"/>
              <w:jc w:val="center"/>
              <w:rPr>
                <w:sz w:val="20"/>
              </w:rPr>
            </w:pPr>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48" w:type="dxa"/>
            <w:tcBorders/>
            <w:shd w:fill="CCEEFF" w:val="clear"/>
            <w:tcMar>
              <w:bottom w:w="0" w:type="dxa"/>
            </w:tcMar>
            <w:vAlign w:val="center"/>
          </w:tcPr>
          <w:p>
            <w:pPr>
              <w:pStyle w:val="TableContents"/>
              <w:bidi w:val="0"/>
              <w:spacing w:before="0" w:after="283"/>
              <w:jc w:val="center"/>
              <w:rPr>
                <w:sz w:val="20"/>
              </w:rPr>
            </w:pPr>
            <w:r>
              <w:rPr>
                <w:sz w:val="20"/>
              </w:rPr>
              <w:t>CSLR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365" w:type="dxa"/>
            <w:tcBorders/>
            <w:shd w:fill="CCEEFF" w:val="clear"/>
            <w:tcMar>
              <w:bottom w:w="0" w:type="dxa"/>
            </w:tcMar>
            <w:vAlign w:val="center"/>
          </w:tcPr>
          <w:p>
            <w:pPr>
              <w:pStyle w:val="TableContents"/>
              <w:bidi w:val="0"/>
              <w:spacing w:before="0" w:after="283"/>
              <w:jc w:val="center"/>
              <w:rPr>
                <w:sz w:val="20"/>
              </w:rPr>
            </w:pPr>
            <w:r>
              <w:rPr>
                <w:sz w:val="20"/>
              </w:rPr>
              <w:t>Nasdaq</w:t>
            </w:r>
          </w:p>
        </w:tc>
      </w:tr>
      <w:tr>
        <w:trPr/>
        <w:tc>
          <w:tcPr>
            <w:tcW w:w="527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4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365" w:type="dxa"/>
            <w:tcBorders/>
            <w:tcMar>
              <w:bottom w:w="0" w:type="dxa"/>
            </w:tcMar>
            <w:vAlign w:val="center"/>
          </w:tcPr>
          <w:p>
            <w:pPr>
              <w:pStyle w:val="TableContents"/>
              <w:bidi w:val="0"/>
              <w:spacing w:before="0" w:after="283"/>
              <w:jc w:val="center"/>
              <w:rPr/>
            </w:pPr>
            <w:r>
              <w:rPr/>
              <w:t> </w:t>
            </w:r>
          </w:p>
        </w:tc>
      </w:tr>
      <w:tr>
        <w:trPr/>
        <w:tc>
          <w:tcPr>
            <w:tcW w:w="5272" w:type="dxa"/>
            <w:tcBorders/>
            <w:shd w:fill="CCEEFF" w:val="clear"/>
            <w:tcMar>
              <w:bottom w:w="0" w:type="dxa"/>
            </w:tcMar>
            <w:vAlign w:val="center"/>
          </w:tcPr>
          <w:p>
            <w:pPr>
              <w:pStyle w:val="TableContents"/>
              <w:bidi w:val="0"/>
              <w:spacing w:before="0" w:after="283"/>
              <w:jc w:val="center"/>
              <w:rPr>
                <w:sz w:val="20"/>
              </w:rPr>
            </w:pPr>
            <w:r>
              <w:rPr>
                <w:sz w:val="20"/>
              </w:rPr>
              <w:t>Redeemable warrants, each whole warrant exercisable for one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48" w:type="dxa"/>
            <w:tcBorders/>
            <w:shd w:fill="CCEEFF" w:val="clear"/>
            <w:tcMar>
              <w:bottom w:w="0" w:type="dxa"/>
            </w:tcMar>
            <w:vAlign w:val="center"/>
          </w:tcPr>
          <w:p>
            <w:pPr>
              <w:pStyle w:val="TableContents"/>
              <w:bidi w:val="0"/>
              <w:spacing w:before="0" w:after="283"/>
              <w:jc w:val="center"/>
              <w:rPr>
                <w:sz w:val="20"/>
              </w:rPr>
            </w:pPr>
            <w:r>
              <w:rPr>
                <w:sz w:val="20"/>
              </w:rPr>
              <w:t>CSLRW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365" w:type="dxa"/>
            <w:tcBorders/>
            <w:shd w:fill="CCEEFF" w:val="clear"/>
            <w:tcMar>
              <w:bottom w:w="0" w:type="dxa"/>
            </w:tcMar>
            <w:vAlign w:val="center"/>
          </w:tcPr>
          <w:p>
            <w:pPr>
              <w:pStyle w:val="TableContents"/>
              <w:bidi w:val="0"/>
              <w:spacing w:before="0" w:after="283"/>
              <w:jc w:val="center"/>
              <w:rPr>
                <w:sz w:val="20"/>
              </w:rPr>
            </w:pPr>
            <w:r>
              <w:rPr>
                <w:sz w:val="20"/>
              </w:rPr>
              <w:t>Nasdaq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80"/>
        <w:gridCol w:w="230"/>
        <w:gridCol w:w="2270"/>
        <w:gridCol w:w="305"/>
      </w:tblGrid>
      <w:tr>
        <w:trPr/>
        <w:tc>
          <w:tcPr>
            <w:tcW w:w="1880" w:type="dxa"/>
            <w:tcBorders/>
            <w:vAlign w:val="center"/>
          </w:tcPr>
          <w:p>
            <w:pPr>
              <w:pStyle w:val="TableContents"/>
              <w:bidi w:val="0"/>
              <w:spacing w:before="0" w:after="283"/>
              <w:jc w:val="both"/>
              <w:rPr>
                <w:sz w:val="20"/>
              </w:rPr>
            </w:pPr>
            <w:r>
              <w:rPr>
                <w:sz w:val="20"/>
              </w:rPr>
              <w:t xml:space="preserve">Large accelerated filer </w:t>
            </w:r>
          </w:p>
        </w:tc>
        <w:tc>
          <w:tcPr>
            <w:tcW w:w="230" w:type="dxa"/>
            <w:tcBorders/>
            <w:vAlign w:val="center"/>
          </w:tcPr>
          <w:p>
            <w:pPr>
              <w:pStyle w:val="TableContents"/>
              <w:bidi w:val="0"/>
              <w:spacing w:before="0" w:after="283"/>
              <w:jc w:val="both"/>
              <w:rPr/>
            </w:pPr>
            <w:r>
              <w:rPr/>
              <w:t>☐</w:t>
            </w:r>
          </w:p>
        </w:tc>
        <w:tc>
          <w:tcPr>
            <w:tcW w:w="2270" w:type="dxa"/>
            <w:tcBorders/>
            <w:vAlign w:val="center"/>
          </w:tcPr>
          <w:p>
            <w:pPr>
              <w:pStyle w:val="TableContents"/>
              <w:bidi w:val="0"/>
              <w:spacing w:before="0" w:after="283"/>
              <w:jc w:val="both"/>
              <w:rPr>
                <w:sz w:val="20"/>
              </w:rPr>
            </w:pPr>
            <w:r>
              <w:rPr>
                <w:sz w:val="20"/>
              </w:rPr>
              <w:t>Accelerated filer</w:t>
            </w:r>
          </w:p>
        </w:tc>
        <w:tc>
          <w:tcPr>
            <w:tcW w:w="305" w:type="dxa"/>
            <w:tcBorders/>
            <w:vAlign w:val="center"/>
          </w:tcPr>
          <w:p>
            <w:pPr>
              <w:pStyle w:val="TableContents"/>
              <w:bidi w:val="0"/>
              <w:spacing w:before="0" w:after="283"/>
              <w:jc w:val="both"/>
              <w:rPr/>
            </w:pPr>
            <w:r>
              <w:rPr/>
              <w:t>☐</w:t>
            </w:r>
          </w:p>
        </w:tc>
      </w:tr>
      <w:tr>
        <w:trPr/>
        <w:tc>
          <w:tcPr>
            <w:tcW w:w="1880" w:type="dxa"/>
            <w:tcBorders/>
            <w:vAlign w:val="center"/>
          </w:tcPr>
          <w:p>
            <w:pPr>
              <w:pStyle w:val="TableContents"/>
              <w:bidi w:val="0"/>
              <w:spacing w:before="0" w:after="283"/>
              <w:jc w:val="both"/>
              <w:rPr>
                <w:sz w:val="20"/>
              </w:rPr>
            </w:pPr>
            <w:r>
              <w:rPr>
                <w:sz w:val="20"/>
              </w:rPr>
              <w:t>Non-accelerated filer </w:t>
            </w:r>
          </w:p>
        </w:tc>
        <w:tc>
          <w:tcPr>
            <w:tcW w:w="230" w:type="dxa"/>
            <w:tcBorders/>
            <w:vAlign w:val="center"/>
          </w:tcPr>
          <w:p>
            <w:pPr>
              <w:pStyle w:val="TableContents"/>
              <w:bidi w:val="0"/>
              <w:spacing w:before="0" w:after="283"/>
              <w:jc w:val="both"/>
              <w:rPr/>
            </w:pPr>
            <w:r>
              <w:rPr/>
              <w:t>☒</w:t>
            </w:r>
          </w:p>
        </w:tc>
        <w:tc>
          <w:tcPr>
            <w:tcW w:w="2270" w:type="dxa"/>
            <w:tcBorders/>
            <w:vAlign w:val="center"/>
          </w:tcPr>
          <w:p>
            <w:pPr>
              <w:pStyle w:val="TableContents"/>
              <w:bidi w:val="0"/>
              <w:spacing w:before="0" w:after="283"/>
              <w:jc w:val="both"/>
              <w:rPr>
                <w:sz w:val="20"/>
              </w:rPr>
            </w:pPr>
            <w:r>
              <w:rPr>
                <w:sz w:val="20"/>
              </w:rPr>
              <w:t xml:space="preserve">Smaller reporting company </w:t>
            </w:r>
          </w:p>
        </w:tc>
        <w:tc>
          <w:tcPr>
            <w:tcW w:w="305" w:type="dxa"/>
            <w:tcBorders/>
            <w:vAlign w:val="center"/>
          </w:tcPr>
          <w:p>
            <w:pPr>
              <w:pStyle w:val="TableContents"/>
              <w:bidi w:val="0"/>
              <w:spacing w:before="0" w:after="283"/>
              <w:jc w:val="both"/>
              <w:rPr/>
            </w:pPr>
            <w:r>
              <w:rPr/>
              <w:t>☒ </w:t>
            </w:r>
          </w:p>
        </w:tc>
      </w:tr>
      <w:tr>
        <w:trPr/>
        <w:tc>
          <w:tcPr>
            <w:tcW w:w="188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70" w:type="dxa"/>
            <w:tcBorders/>
            <w:vAlign w:val="center"/>
          </w:tcPr>
          <w:p>
            <w:pPr>
              <w:pStyle w:val="TableContents"/>
              <w:bidi w:val="0"/>
              <w:spacing w:before="0" w:after="283"/>
              <w:jc w:val="both"/>
              <w:rPr>
                <w:sz w:val="20"/>
              </w:rPr>
            </w:pPr>
            <w:r>
              <w:rPr>
                <w:sz w:val="20"/>
              </w:rPr>
              <w:t xml:space="preserve">Emerging growth company </w:t>
            </w:r>
          </w:p>
        </w:tc>
        <w:tc>
          <w:tcPr>
            <w:tcW w:w="30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13, 2024, 63,613,798 shares of common stock, par value $0.0001 per share,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845"/>
        <w:gridCol w:w="7280"/>
        <w:gridCol w:w="680"/>
      </w:tblGrid>
      <w:tr>
        <w:trPr/>
        <w:tc>
          <w:tcPr>
            <w:tcW w:w="84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PAGES</w:t>
            </w:r>
          </w:p>
        </w:tc>
      </w:tr>
      <w:tr>
        <w:trPr/>
        <w:tc>
          <w:tcPr>
            <w:tcW w:w="84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1">
              <w:r>
                <w:rPr>
                  <w:rStyle w:val="InternetLink"/>
                  <w:sz w:val="20"/>
                </w:rPr>
                <w:t>Special Note Regarding Forward-Looking Statements</w:t>
              </w:r>
            </w:hyperlink>
          </w:p>
        </w:tc>
        <w:tc>
          <w:tcPr>
            <w:tcW w:w="680" w:type="dxa"/>
            <w:tcBorders/>
            <w:shd w:fill="CCEEFF" w:val="clear"/>
            <w:vAlign w:val="center"/>
          </w:tcPr>
          <w:p>
            <w:pPr>
              <w:pStyle w:val="TableContents"/>
              <w:bidi w:val="0"/>
              <w:spacing w:before="0" w:after="283"/>
              <w:jc w:val="center"/>
              <w:rPr>
                <w:sz w:val="20"/>
              </w:rPr>
            </w:pPr>
            <w:r>
              <w:rPr>
                <w:sz w:val="20"/>
              </w:rPr>
              <w:t>ii</w:t>
            </w:r>
          </w:p>
        </w:tc>
      </w:tr>
      <w:tr>
        <w:trPr/>
        <w:tc>
          <w:tcPr>
            <w:tcW w:w="84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2">
              <w:r>
                <w:rPr>
                  <w:rStyle w:val="InternetLink"/>
                  <w:sz w:val="20"/>
                </w:rPr>
                <w:t>Summary Risk Factors</w:t>
              </w:r>
            </w:hyperlink>
          </w:p>
        </w:tc>
        <w:tc>
          <w:tcPr>
            <w:tcW w:w="680" w:type="dxa"/>
            <w:tcBorders/>
            <w:vAlign w:val="center"/>
          </w:tcPr>
          <w:p>
            <w:pPr>
              <w:pStyle w:val="TableContents"/>
              <w:bidi w:val="0"/>
              <w:spacing w:before="0" w:after="283"/>
              <w:jc w:val="center"/>
              <w:rPr>
                <w:sz w:val="20"/>
              </w:rPr>
            </w:pPr>
            <w:r>
              <w:rPr>
                <w:sz w:val="20"/>
              </w:rPr>
              <w:t>iii</w:t>
            </w:r>
          </w:p>
        </w:tc>
      </w:tr>
      <w:tr>
        <w:trPr/>
        <w:tc>
          <w:tcPr>
            <w:tcW w:w="845" w:type="dxa"/>
            <w:tcBorders/>
            <w:shd w:fill="CCEEFF" w:val="clear"/>
            <w:vAlign w:val="center"/>
          </w:tcPr>
          <w:p>
            <w:pPr>
              <w:pStyle w:val="TableContents"/>
              <w:bidi w:val="0"/>
              <w:spacing w:before="0" w:after="283"/>
              <w:jc w:val="left"/>
              <w:rPr/>
            </w:pPr>
            <w:hyperlink w:anchor="a_003">
              <w:r>
                <w:rPr>
                  <w:rStyle w:val="InternetLink"/>
                  <w:b/>
                  <w:sz w:val="20"/>
                </w:rPr>
                <w:t>PART I.</w:t>
              </w:r>
            </w:hyperlink>
            <w:hyperlink w:anchor="a_003">
              <w:r>
                <w:rPr>
                  <w:rStyle w:val="InternetLink"/>
                  <w:sz w:val="20"/>
                </w:rPr>
                <w:t> </w:t>
              </w:r>
            </w:hyperlink>
          </w:p>
        </w:tc>
        <w:tc>
          <w:tcPr>
            <w:tcW w:w="7280" w:type="dxa"/>
            <w:tcBorders/>
            <w:shd w:fill="CCEEFF" w:val="clear"/>
            <w:vAlign w:val="center"/>
          </w:tcPr>
          <w:p>
            <w:pPr>
              <w:pStyle w:val="TableContents"/>
              <w:bidi w:val="0"/>
              <w:spacing w:before="0" w:after="283"/>
              <w:jc w:val="left"/>
              <w:rPr/>
            </w:pPr>
            <w:hyperlink w:anchor="a_003">
              <w:r>
                <w:rPr>
                  <w:rStyle w:val="InternetLink"/>
                  <w:b/>
                  <w:sz w:val="20"/>
                </w:rPr>
                <w:t>FINANCIAL INFORMATION</w:t>
              </w:r>
            </w:hyperlink>
          </w:p>
        </w:tc>
        <w:tc>
          <w:tcPr>
            <w:tcW w:w="680" w:type="dxa"/>
            <w:tcBorders/>
            <w:shd w:fill="CCEEFF" w:val="clear"/>
            <w:vAlign w:val="center"/>
          </w:tcPr>
          <w:p>
            <w:pPr>
              <w:pStyle w:val="TableContents"/>
              <w:bidi w:val="0"/>
              <w:spacing w:before="0" w:after="283"/>
              <w:jc w:val="center"/>
              <w:rPr>
                <w:sz w:val="20"/>
              </w:rPr>
            </w:pPr>
            <w:r>
              <w:rPr>
                <w:sz w:val="20"/>
              </w:rPr>
              <w:t>1</w:t>
            </w:r>
          </w:p>
        </w:tc>
      </w:tr>
      <w:tr>
        <w:trPr/>
        <w:tc>
          <w:tcPr>
            <w:tcW w:w="845" w:type="dxa"/>
            <w:tcBorders/>
            <w:vAlign w:val="center"/>
          </w:tcPr>
          <w:p>
            <w:pPr>
              <w:pStyle w:val="TableContents"/>
              <w:bidi w:val="0"/>
              <w:spacing w:before="0" w:after="283"/>
              <w:jc w:val="left"/>
              <w:rPr>
                <w:sz w:val="20"/>
              </w:rPr>
            </w:pPr>
            <w:r>
              <w:rPr>
                <w:sz w:val="20"/>
              </w:rPr>
              <w:t>Item 1.</w:t>
            </w:r>
          </w:p>
        </w:tc>
        <w:tc>
          <w:tcPr>
            <w:tcW w:w="7280" w:type="dxa"/>
            <w:tcBorders/>
            <w:vAlign w:val="center"/>
          </w:tcPr>
          <w:p>
            <w:pPr>
              <w:pStyle w:val="TableContents"/>
              <w:bidi w:val="0"/>
              <w:spacing w:before="0" w:after="283"/>
              <w:jc w:val="left"/>
              <w:rPr/>
            </w:pPr>
            <w:hyperlink w:anchor="a_004">
              <w:r>
                <w:rPr>
                  <w:rStyle w:val="InternetLink"/>
                  <w:sz w:val="20"/>
                </w:rPr>
                <w:t xml:space="preserve">Financial Statements </w:t>
              </w:r>
            </w:hyperlink>
          </w:p>
        </w:tc>
        <w:tc>
          <w:tcPr>
            <w:tcW w:w="680" w:type="dxa"/>
            <w:tcBorders/>
            <w:vAlign w:val="center"/>
          </w:tcPr>
          <w:p>
            <w:pPr>
              <w:pStyle w:val="TableContents"/>
              <w:bidi w:val="0"/>
              <w:spacing w:before="0" w:after="283"/>
              <w:jc w:val="center"/>
              <w:rPr>
                <w:sz w:val="20"/>
              </w:rPr>
            </w:pPr>
            <w:r>
              <w:rPr>
                <w:sz w:val="20"/>
              </w:rPr>
              <w:t>1</w:t>
            </w:r>
          </w:p>
        </w:tc>
      </w:tr>
      <w:tr>
        <w:trPr/>
        <w:tc>
          <w:tcPr>
            <w:tcW w:w="84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5">
              <w:r>
                <w:rPr>
                  <w:rStyle w:val="InternetLink"/>
                  <w:sz w:val="20"/>
                </w:rPr>
                <w:t>Unaudited Condensed Consolidated Balance Sheets</w:t>
              </w:r>
            </w:hyperlink>
          </w:p>
        </w:tc>
        <w:tc>
          <w:tcPr>
            <w:tcW w:w="680" w:type="dxa"/>
            <w:tcBorders/>
            <w:shd w:fill="CCEEFF" w:val="clear"/>
            <w:vAlign w:val="center"/>
          </w:tcPr>
          <w:p>
            <w:pPr>
              <w:pStyle w:val="TableContents"/>
              <w:bidi w:val="0"/>
              <w:spacing w:before="0" w:after="283"/>
              <w:jc w:val="center"/>
              <w:rPr>
                <w:sz w:val="20"/>
              </w:rPr>
            </w:pPr>
            <w:r>
              <w:rPr>
                <w:sz w:val="20"/>
              </w:rPr>
              <w:t>1</w:t>
            </w:r>
          </w:p>
        </w:tc>
      </w:tr>
      <w:tr>
        <w:trPr/>
        <w:tc>
          <w:tcPr>
            <w:tcW w:w="84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6">
              <w:r>
                <w:rPr>
                  <w:rStyle w:val="InternetLink"/>
                  <w:sz w:val="20"/>
                </w:rPr>
                <w:t>Unaudited Condensed Consolidated Statements of Operations and Comprehensive Loss</w:t>
              </w:r>
            </w:hyperlink>
          </w:p>
        </w:tc>
        <w:tc>
          <w:tcPr>
            <w:tcW w:w="680" w:type="dxa"/>
            <w:tcBorders/>
            <w:vAlign w:val="center"/>
          </w:tcPr>
          <w:p>
            <w:pPr>
              <w:pStyle w:val="TableContents"/>
              <w:bidi w:val="0"/>
              <w:spacing w:before="0" w:after="283"/>
              <w:jc w:val="center"/>
              <w:rPr>
                <w:sz w:val="20"/>
              </w:rPr>
            </w:pPr>
            <w:r>
              <w:rPr>
                <w:sz w:val="20"/>
              </w:rPr>
              <w:t>2</w:t>
            </w:r>
          </w:p>
        </w:tc>
      </w:tr>
      <w:tr>
        <w:trPr/>
        <w:tc>
          <w:tcPr>
            <w:tcW w:w="84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07">
              <w:r>
                <w:rPr>
                  <w:rStyle w:val="InternetLink"/>
                  <w:sz w:val="20"/>
                </w:rPr>
                <w:t>Unaudited Condensed Consolidated Statements Stockholders’ Deficit</w:t>
              </w:r>
            </w:hyperlink>
          </w:p>
        </w:tc>
        <w:tc>
          <w:tcPr>
            <w:tcW w:w="680" w:type="dxa"/>
            <w:tcBorders/>
            <w:shd w:fill="CCEEFF" w:val="clear"/>
            <w:vAlign w:val="center"/>
          </w:tcPr>
          <w:p>
            <w:pPr>
              <w:pStyle w:val="TableContents"/>
              <w:bidi w:val="0"/>
              <w:spacing w:before="0" w:after="283"/>
              <w:jc w:val="center"/>
              <w:rPr>
                <w:sz w:val="20"/>
              </w:rPr>
            </w:pPr>
            <w:r>
              <w:rPr>
                <w:sz w:val="20"/>
              </w:rPr>
              <w:t>3</w:t>
            </w:r>
          </w:p>
        </w:tc>
      </w:tr>
      <w:tr>
        <w:trPr/>
        <w:tc>
          <w:tcPr>
            <w:tcW w:w="84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9">
              <w:r>
                <w:rPr>
                  <w:rStyle w:val="InternetLink"/>
                  <w:sz w:val="20"/>
                </w:rPr>
                <w:t>Unaudited Condensed Consolidated Statements of Cash Flows</w:t>
              </w:r>
            </w:hyperlink>
          </w:p>
        </w:tc>
        <w:tc>
          <w:tcPr>
            <w:tcW w:w="680" w:type="dxa"/>
            <w:tcBorders/>
            <w:vAlign w:val="center"/>
          </w:tcPr>
          <w:p>
            <w:pPr>
              <w:pStyle w:val="TableContents"/>
              <w:bidi w:val="0"/>
              <w:spacing w:before="0" w:after="283"/>
              <w:jc w:val="center"/>
              <w:rPr>
                <w:sz w:val="20"/>
              </w:rPr>
            </w:pPr>
            <w:r>
              <w:rPr>
                <w:sz w:val="20"/>
              </w:rPr>
              <w:t>5</w:t>
            </w:r>
          </w:p>
        </w:tc>
      </w:tr>
      <w:tr>
        <w:trPr/>
        <w:tc>
          <w:tcPr>
            <w:tcW w:w="84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hyperlink w:anchor="a_010">
              <w:r>
                <w:rPr>
                  <w:rStyle w:val="InternetLink"/>
                  <w:sz w:val="20"/>
                </w:rPr>
                <w:t>Notes to Unaudited Condensed Consolidated Financial Statements</w:t>
              </w:r>
            </w:hyperlink>
          </w:p>
        </w:tc>
        <w:tc>
          <w:tcPr>
            <w:tcW w:w="680" w:type="dxa"/>
            <w:tcBorders/>
            <w:shd w:fill="CCEEFF" w:val="clear"/>
            <w:vAlign w:val="center"/>
          </w:tcPr>
          <w:p>
            <w:pPr>
              <w:pStyle w:val="TableContents"/>
              <w:bidi w:val="0"/>
              <w:spacing w:before="0" w:after="283"/>
              <w:jc w:val="center"/>
              <w:rPr>
                <w:sz w:val="20"/>
              </w:rPr>
            </w:pPr>
            <w:r>
              <w:rPr>
                <w:sz w:val="20"/>
              </w:rPr>
              <w:t>6</w:t>
            </w:r>
          </w:p>
        </w:tc>
      </w:tr>
      <w:tr>
        <w:trPr/>
        <w:tc>
          <w:tcPr>
            <w:tcW w:w="845" w:type="dxa"/>
            <w:tcBorders/>
            <w:vAlign w:val="center"/>
          </w:tcPr>
          <w:p>
            <w:pPr>
              <w:pStyle w:val="TableContents"/>
              <w:bidi w:val="0"/>
              <w:spacing w:before="0" w:after="283"/>
              <w:jc w:val="left"/>
              <w:rPr>
                <w:sz w:val="20"/>
              </w:rPr>
            </w:pPr>
            <w:r>
              <w:rPr>
                <w:sz w:val="20"/>
              </w:rPr>
              <w:t>Item 2.</w:t>
            </w:r>
          </w:p>
        </w:tc>
        <w:tc>
          <w:tcPr>
            <w:tcW w:w="7280" w:type="dxa"/>
            <w:tcBorders/>
            <w:vAlign w:val="center"/>
          </w:tcPr>
          <w:p>
            <w:pPr>
              <w:pStyle w:val="TableContents"/>
              <w:bidi w:val="0"/>
              <w:spacing w:before="0" w:after="283"/>
              <w:jc w:val="left"/>
              <w:rPr/>
            </w:pPr>
            <w:hyperlink w:anchor="a_011">
              <w:r>
                <w:rPr>
                  <w:rStyle w:val="InternetLink"/>
                  <w:sz w:val="20"/>
                </w:rPr>
                <w:t>Management’s Discussion and Analysis of Financial Condition and Results of Operations</w:t>
              </w:r>
            </w:hyperlink>
          </w:p>
        </w:tc>
        <w:tc>
          <w:tcPr>
            <w:tcW w:w="680" w:type="dxa"/>
            <w:tcBorders/>
            <w:vAlign w:val="center"/>
          </w:tcPr>
          <w:p>
            <w:pPr>
              <w:pStyle w:val="TableContents"/>
              <w:bidi w:val="0"/>
              <w:spacing w:before="0" w:after="283"/>
              <w:jc w:val="center"/>
              <w:rPr>
                <w:sz w:val="20"/>
              </w:rPr>
            </w:pPr>
            <w:r>
              <w:rPr>
                <w:sz w:val="20"/>
              </w:rPr>
              <w:t>37</w:t>
            </w:r>
          </w:p>
        </w:tc>
      </w:tr>
      <w:tr>
        <w:trPr/>
        <w:tc>
          <w:tcPr>
            <w:tcW w:w="845" w:type="dxa"/>
            <w:tcBorders/>
            <w:shd w:fill="CCEEFF" w:val="clear"/>
            <w:vAlign w:val="center"/>
          </w:tcPr>
          <w:p>
            <w:pPr>
              <w:pStyle w:val="TableContents"/>
              <w:bidi w:val="0"/>
              <w:spacing w:before="0" w:after="283"/>
              <w:jc w:val="left"/>
              <w:rPr>
                <w:sz w:val="20"/>
              </w:rPr>
            </w:pPr>
            <w:r>
              <w:rPr>
                <w:sz w:val="20"/>
              </w:rPr>
              <w:t>Item 3.</w:t>
            </w:r>
          </w:p>
        </w:tc>
        <w:tc>
          <w:tcPr>
            <w:tcW w:w="7280" w:type="dxa"/>
            <w:tcBorders/>
            <w:shd w:fill="CCEEFF" w:val="clear"/>
            <w:vAlign w:val="center"/>
          </w:tcPr>
          <w:p>
            <w:pPr>
              <w:pStyle w:val="TableContents"/>
              <w:bidi w:val="0"/>
              <w:spacing w:before="0" w:after="283"/>
              <w:jc w:val="left"/>
              <w:rPr/>
            </w:pPr>
            <w:hyperlink w:anchor="a_012">
              <w:r>
                <w:rPr>
                  <w:rStyle w:val="InternetLink"/>
                  <w:sz w:val="20"/>
                </w:rPr>
                <w:t>Quantitative and Qualitative Disclosures about Market Risk</w:t>
              </w:r>
            </w:hyperlink>
          </w:p>
        </w:tc>
        <w:tc>
          <w:tcPr>
            <w:tcW w:w="680" w:type="dxa"/>
            <w:tcBorders/>
            <w:shd w:fill="CCEEFF" w:val="clear"/>
            <w:vAlign w:val="center"/>
          </w:tcPr>
          <w:p>
            <w:pPr>
              <w:pStyle w:val="TableContents"/>
              <w:bidi w:val="0"/>
              <w:spacing w:before="0" w:after="283"/>
              <w:jc w:val="center"/>
              <w:rPr>
                <w:sz w:val="20"/>
              </w:rPr>
            </w:pPr>
            <w:r>
              <w:rPr>
                <w:sz w:val="20"/>
              </w:rPr>
              <w:t>53</w:t>
            </w:r>
          </w:p>
        </w:tc>
      </w:tr>
      <w:tr>
        <w:trPr/>
        <w:tc>
          <w:tcPr>
            <w:tcW w:w="845" w:type="dxa"/>
            <w:tcBorders/>
            <w:vAlign w:val="center"/>
          </w:tcPr>
          <w:p>
            <w:pPr>
              <w:pStyle w:val="TableContents"/>
              <w:bidi w:val="0"/>
              <w:spacing w:before="0" w:after="283"/>
              <w:jc w:val="left"/>
              <w:rPr>
                <w:sz w:val="20"/>
              </w:rPr>
            </w:pPr>
            <w:r>
              <w:rPr>
                <w:sz w:val="20"/>
              </w:rPr>
              <w:t>Item 4.</w:t>
            </w:r>
          </w:p>
        </w:tc>
        <w:tc>
          <w:tcPr>
            <w:tcW w:w="7280" w:type="dxa"/>
            <w:tcBorders/>
            <w:vAlign w:val="center"/>
          </w:tcPr>
          <w:p>
            <w:pPr>
              <w:pStyle w:val="TableContents"/>
              <w:bidi w:val="0"/>
              <w:spacing w:before="0" w:after="283"/>
              <w:jc w:val="left"/>
              <w:rPr/>
            </w:pPr>
            <w:hyperlink w:anchor="a_013">
              <w:r>
                <w:rPr>
                  <w:rStyle w:val="InternetLink"/>
                  <w:sz w:val="20"/>
                </w:rPr>
                <w:t>Controls and Procedures</w:t>
              </w:r>
            </w:hyperlink>
          </w:p>
        </w:tc>
        <w:tc>
          <w:tcPr>
            <w:tcW w:w="680" w:type="dxa"/>
            <w:tcBorders/>
            <w:vAlign w:val="center"/>
          </w:tcPr>
          <w:p>
            <w:pPr>
              <w:pStyle w:val="TableContents"/>
              <w:bidi w:val="0"/>
              <w:spacing w:before="0" w:after="283"/>
              <w:jc w:val="center"/>
              <w:rPr>
                <w:sz w:val="20"/>
              </w:rPr>
            </w:pPr>
            <w:r>
              <w:rPr>
                <w:sz w:val="20"/>
              </w:rPr>
              <w:t>54</w:t>
            </w:r>
          </w:p>
        </w:tc>
      </w:tr>
      <w:tr>
        <w:trPr/>
        <w:tc>
          <w:tcPr>
            <w:tcW w:w="84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283"/>
              <w:jc w:val="left"/>
              <w:rPr/>
            </w:pPr>
            <w:hyperlink w:anchor="a_014">
              <w:r>
                <w:rPr>
                  <w:rStyle w:val="InternetLink"/>
                  <w:b/>
                  <w:sz w:val="20"/>
                </w:rPr>
                <w:t>PART II.</w:t>
              </w:r>
            </w:hyperlink>
            <w:hyperlink w:anchor="a_014">
              <w:r>
                <w:rPr>
                  <w:rStyle w:val="InternetLink"/>
                  <w:sz w:val="20"/>
                </w:rPr>
                <w:t> </w:t>
              </w:r>
            </w:hyperlink>
          </w:p>
        </w:tc>
        <w:tc>
          <w:tcPr>
            <w:tcW w:w="7280" w:type="dxa"/>
            <w:tcBorders/>
            <w:vAlign w:val="center"/>
          </w:tcPr>
          <w:p>
            <w:pPr>
              <w:pStyle w:val="TableContents"/>
              <w:bidi w:val="0"/>
              <w:spacing w:before="0" w:after="283"/>
              <w:jc w:val="left"/>
              <w:rPr/>
            </w:pPr>
            <w:hyperlink w:anchor="a_014">
              <w:r>
                <w:rPr>
                  <w:rStyle w:val="InternetLink"/>
                  <w:b/>
                  <w:sz w:val="20"/>
                </w:rPr>
                <w:t>OTHER INFORMATION</w:t>
              </w:r>
            </w:hyperlink>
          </w:p>
        </w:tc>
        <w:tc>
          <w:tcPr>
            <w:tcW w:w="680" w:type="dxa"/>
            <w:tcBorders/>
            <w:vAlign w:val="center"/>
          </w:tcPr>
          <w:p>
            <w:pPr>
              <w:pStyle w:val="TableContents"/>
              <w:bidi w:val="0"/>
              <w:spacing w:before="0" w:after="283"/>
              <w:jc w:val="center"/>
              <w:rPr>
                <w:sz w:val="20"/>
              </w:rPr>
            </w:pPr>
            <w:r>
              <w:rPr>
                <w:sz w:val="20"/>
              </w:rPr>
              <w:t>55</w:t>
            </w:r>
          </w:p>
        </w:tc>
      </w:tr>
      <w:tr>
        <w:trPr/>
        <w:tc>
          <w:tcPr>
            <w:tcW w:w="845" w:type="dxa"/>
            <w:tcBorders/>
            <w:shd w:fill="CCEEFF" w:val="clear"/>
            <w:vAlign w:val="center"/>
          </w:tcPr>
          <w:p>
            <w:pPr>
              <w:pStyle w:val="TableContents"/>
              <w:bidi w:val="0"/>
              <w:spacing w:before="0" w:after="283"/>
              <w:jc w:val="left"/>
              <w:rPr>
                <w:sz w:val="20"/>
              </w:rPr>
            </w:pPr>
            <w:r>
              <w:rPr>
                <w:sz w:val="20"/>
              </w:rPr>
              <w:t>Item 1.</w:t>
            </w:r>
          </w:p>
        </w:tc>
        <w:tc>
          <w:tcPr>
            <w:tcW w:w="7280" w:type="dxa"/>
            <w:tcBorders/>
            <w:shd w:fill="CCEEFF" w:val="clear"/>
            <w:vAlign w:val="center"/>
          </w:tcPr>
          <w:p>
            <w:pPr>
              <w:pStyle w:val="TableContents"/>
              <w:bidi w:val="0"/>
              <w:spacing w:before="0" w:after="283"/>
              <w:jc w:val="left"/>
              <w:rPr/>
            </w:pPr>
            <w:hyperlink w:anchor="a_015">
              <w:r>
                <w:rPr>
                  <w:rStyle w:val="InternetLink"/>
                  <w:sz w:val="20"/>
                </w:rPr>
                <w:t>Legal Proceedings</w:t>
              </w:r>
            </w:hyperlink>
          </w:p>
        </w:tc>
        <w:tc>
          <w:tcPr>
            <w:tcW w:w="680" w:type="dxa"/>
            <w:tcBorders/>
            <w:shd w:fill="CCEEFF" w:val="clear"/>
            <w:vAlign w:val="center"/>
          </w:tcPr>
          <w:p>
            <w:pPr>
              <w:pStyle w:val="TableContents"/>
              <w:bidi w:val="0"/>
              <w:spacing w:before="0" w:after="283"/>
              <w:jc w:val="center"/>
              <w:rPr>
                <w:sz w:val="20"/>
              </w:rPr>
            </w:pPr>
            <w:r>
              <w:rPr>
                <w:sz w:val="20"/>
              </w:rPr>
              <w:t>55</w:t>
            </w:r>
          </w:p>
        </w:tc>
      </w:tr>
      <w:tr>
        <w:trPr/>
        <w:tc>
          <w:tcPr>
            <w:tcW w:w="845" w:type="dxa"/>
            <w:tcBorders/>
            <w:vAlign w:val="center"/>
          </w:tcPr>
          <w:p>
            <w:pPr>
              <w:pStyle w:val="TableContents"/>
              <w:bidi w:val="0"/>
              <w:spacing w:before="0" w:after="283"/>
              <w:jc w:val="left"/>
              <w:rPr>
                <w:sz w:val="20"/>
              </w:rPr>
            </w:pPr>
            <w:r>
              <w:rPr>
                <w:sz w:val="20"/>
              </w:rPr>
              <w:t>Item 1A.</w:t>
            </w:r>
          </w:p>
        </w:tc>
        <w:tc>
          <w:tcPr>
            <w:tcW w:w="7280" w:type="dxa"/>
            <w:tcBorders/>
            <w:vAlign w:val="center"/>
          </w:tcPr>
          <w:p>
            <w:pPr>
              <w:pStyle w:val="TableContents"/>
              <w:bidi w:val="0"/>
              <w:spacing w:before="0" w:after="283"/>
              <w:jc w:val="left"/>
              <w:rPr/>
            </w:pPr>
            <w:hyperlink w:anchor="a_016">
              <w:r>
                <w:rPr>
                  <w:rStyle w:val="InternetLink"/>
                  <w:sz w:val="20"/>
                </w:rPr>
                <w:t>Risk Factors</w:t>
              </w:r>
            </w:hyperlink>
          </w:p>
        </w:tc>
        <w:tc>
          <w:tcPr>
            <w:tcW w:w="680" w:type="dxa"/>
            <w:tcBorders/>
            <w:vAlign w:val="center"/>
          </w:tcPr>
          <w:p>
            <w:pPr>
              <w:pStyle w:val="TableContents"/>
              <w:bidi w:val="0"/>
              <w:spacing w:before="0" w:after="283"/>
              <w:jc w:val="center"/>
              <w:rPr>
                <w:sz w:val="20"/>
              </w:rPr>
            </w:pPr>
            <w:r>
              <w:rPr>
                <w:sz w:val="20"/>
              </w:rPr>
              <w:t>55</w:t>
            </w:r>
          </w:p>
        </w:tc>
      </w:tr>
      <w:tr>
        <w:trPr/>
        <w:tc>
          <w:tcPr>
            <w:tcW w:w="845" w:type="dxa"/>
            <w:tcBorders/>
            <w:shd w:fill="CCEEFF" w:val="clear"/>
            <w:vAlign w:val="center"/>
          </w:tcPr>
          <w:p>
            <w:pPr>
              <w:pStyle w:val="TableContents"/>
              <w:bidi w:val="0"/>
              <w:spacing w:before="0" w:after="283"/>
              <w:jc w:val="left"/>
              <w:rPr>
                <w:sz w:val="20"/>
              </w:rPr>
            </w:pPr>
            <w:r>
              <w:rPr>
                <w:sz w:val="20"/>
              </w:rPr>
              <w:t>Item 2.</w:t>
            </w:r>
          </w:p>
        </w:tc>
        <w:tc>
          <w:tcPr>
            <w:tcW w:w="7280" w:type="dxa"/>
            <w:tcBorders/>
            <w:shd w:fill="CCEEFF" w:val="clear"/>
            <w:vAlign w:val="center"/>
          </w:tcPr>
          <w:p>
            <w:pPr>
              <w:pStyle w:val="TableContents"/>
              <w:bidi w:val="0"/>
              <w:spacing w:before="0" w:after="283"/>
              <w:jc w:val="left"/>
              <w:rPr/>
            </w:pPr>
            <w:hyperlink w:anchor="a_017">
              <w:r>
                <w:rPr>
                  <w:rStyle w:val="InternetLink"/>
                  <w:sz w:val="20"/>
                </w:rPr>
                <w:t xml:space="preserve">Unregistered Sales of Equity Securities and Use of Proceeds </w:t>
              </w:r>
            </w:hyperlink>
          </w:p>
        </w:tc>
        <w:tc>
          <w:tcPr>
            <w:tcW w:w="680" w:type="dxa"/>
            <w:tcBorders/>
            <w:shd w:fill="CCEEFF" w:val="clear"/>
            <w:vAlign w:val="center"/>
          </w:tcPr>
          <w:p>
            <w:pPr>
              <w:pStyle w:val="TableContents"/>
              <w:bidi w:val="0"/>
              <w:spacing w:before="0" w:after="283"/>
              <w:jc w:val="center"/>
              <w:rPr/>
            </w:pPr>
            <w:r>
              <w:rPr/>
              <w:t>79</w:t>
            </w:r>
          </w:p>
        </w:tc>
      </w:tr>
      <w:tr>
        <w:trPr/>
        <w:tc>
          <w:tcPr>
            <w:tcW w:w="845" w:type="dxa"/>
            <w:tcBorders/>
            <w:vAlign w:val="center"/>
          </w:tcPr>
          <w:p>
            <w:pPr>
              <w:pStyle w:val="TableContents"/>
              <w:bidi w:val="0"/>
              <w:spacing w:before="0" w:after="283"/>
              <w:jc w:val="left"/>
              <w:rPr>
                <w:sz w:val="20"/>
              </w:rPr>
            </w:pPr>
            <w:r>
              <w:rPr>
                <w:sz w:val="20"/>
              </w:rPr>
              <w:t>Item 3.</w:t>
            </w:r>
          </w:p>
        </w:tc>
        <w:tc>
          <w:tcPr>
            <w:tcW w:w="7280" w:type="dxa"/>
            <w:tcBorders/>
            <w:vAlign w:val="center"/>
          </w:tcPr>
          <w:p>
            <w:pPr>
              <w:pStyle w:val="TableContents"/>
              <w:bidi w:val="0"/>
              <w:spacing w:before="0" w:after="283"/>
              <w:jc w:val="left"/>
              <w:rPr/>
            </w:pPr>
            <w:hyperlink w:anchor="a_018">
              <w:r>
                <w:rPr>
                  <w:rStyle w:val="InternetLink"/>
                  <w:sz w:val="20"/>
                </w:rPr>
                <w:t>Defaults Upon Senior Securities</w:t>
              </w:r>
            </w:hyperlink>
          </w:p>
        </w:tc>
        <w:tc>
          <w:tcPr>
            <w:tcW w:w="680" w:type="dxa"/>
            <w:tcBorders/>
            <w:vAlign w:val="center"/>
          </w:tcPr>
          <w:p>
            <w:pPr>
              <w:pStyle w:val="TableContents"/>
              <w:bidi w:val="0"/>
              <w:spacing w:before="0" w:after="283"/>
              <w:jc w:val="center"/>
              <w:rPr>
                <w:sz w:val="20"/>
              </w:rPr>
            </w:pPr>
            <w:r>
              <w:rPr>
                <w:sz w:val="20"/>
              </w:rPr>
              <w:t>79</w:t>
            </w:r>
          </w:p>
        </w:tc>
      </w:tr>
      <w:tr>
        <w:trPr/>
        <w:tc>
          <w:tcPr>
            <w:tcW w:w="845" w:type="dxa"/>
            <w:tcBorders/>
            <w:shd w:fill="CCEEFF" w:val="clear"/>
            <w:vAlign w:val="center"/>
          </w:tcPr>
          <w:p>
            <w:pPr>
              <w:pStyle w:val="TableContents"/>
              <w:bidi w:val="0"/>
              <w:spacing w:before="0" w:after="283"/>
              <w:jc w:val="left"/>
              <w:rPr>
                <w:sz w:val="20"/>
              </w:rPr>
            </w:pPr>
            <w:r>
              <w:rPr>
                <w:sz w:val="20"/>
              </w:rPr>
              <w:t>Item 4.</w:t>
            </w:r>
          </w:p>
        </w:tc>
        <w:tc>
          <w:tcPr>
            <w:tcW w:w="7280" w:type="dxa"/>
            <w:tcBorders/>
            <w:shd w:fill="CCEEFF" w:val="clear"/>
            <w:vAlign w:val="center"/>
          </w:tcPr>
          <w:p>
            <w:pPr>
              <w:pStyle w:val="TableContents"/>
              <w:bidi w:val="0"/>
              <w:spacing w:before="0" w:after="283"/>
              <w:jc w:val="left"/>
              <w:rPr/>
            </w:pPr>
            <w:hyperlink w:anchor="a_019">
              <w:r>
                <w:rPr>
                  <w:rStyle w:val="InternetLink"/>
                  <w:sz w:val="20"/>
                </w:rPr>
                <w:t>Mine Safety Disclosures</w:t>
              </w:r>
            </w:hyperlink>
          </w:p>
        </w:tc>
        <w:tc>
          <w:tcPr>
            <w:tcW w:w="680" w:type="dxa"/>
            <w:tcBorders/>
            <w:shd w:fill="CCEEFF" w:val="clear"/>
            <w:vAlign w:val="center"/>
          </w:tcPr>
          <w:p>
            <w:pPr>
              <w:pStyle w:val="TableContents"/>
              <w:bidi w:val="0"/>
              <w:spacing w:before="0" w:after="283"/>
              <w:jc w:val="center"/>
              <w:rPr>
                <w:sz w:val="20"/>
              </w:rPr>
            </w:pPr>
            <w:r>
              <w:rPr>
                <w:sz w:val="20"/>
              </w:rPr>
              <w:t>79</w:t>
            </w:r>
          </w:p>
        </w:tc>
      </w:tr>
      <w:tr>
        <w:trPr/>
        <w:tc>
          <w:tcPr>
            <w:tcW w:w="845" w:type="dxa"/>
            <w:tcBorders/>
            <w:vAlign w:val="center"/>
          </w:tcPr>
          <w:p>
            <w:pPr>
              <w:pStyle w:val="TableContents"/>
              <w:bidi w:val="0"/>
              <w:spacing w:before="0" w:after="283"/>
              <w:jc w:val="left"/>
              <w:rPr>
                <w:sz w:val="20"/>
              </w:rPr>
            </w:pPr>
            <w:r>
              <w:rPr>
                <w:sz w:val="20"/>
              </w:rPr>
              <w:t>Item 5.</w:t>
            </w:r>
          </w:p>
        </w:tc>
        <w:tc>
          <w:tcPr>
            <w:tcW w:w="7280" w:type="dxa"/>
            <w:tcBorders/>
            <w:vAlign w:val="center"/>
          </w:tcPr>
          <w:p>
            <w:pPr>
              <w:pStyle w:val="TableContents"/>
              <w:bidi w:val="0"/>
              <w:spacing w:before="0" w:after="283"/>
              <w:jc w:val="left"/>
              <w:rPr/>
            </w:pPr>
            <w:hyperlink w:anchor="a_020">
              <w:r>
                <w:rPr>
                  <w:rStyle w:val="InternetLink"/>
                  <w:sz w:val="20"/>
                </w:rPr>
                <w:t>Other Information</w:t>
              </w:r>
            </w:hyperlink>
          </w:p>
        </w:tc>
        <w:tc>
          <w:tcPr>
            <w:tcW w:w="680" w:type="dxa"/>
            <w:tcBorders/>
            <w:vAlign w:val="center"/>
          </w:tcPr>
          <w:p>
            <w:pPr>
              <w:pStyle w:val="TableContents"/>
              <w:bidi w:val="0"/>
              <w:spacing w:before="0" w:after="283"/>
              <w:jc w:val="center"/>
              <w:rPr>
                <w:sz w:val="20"/>
              </w:rPr>
            </w:pPr>
            <w:r>
              <w:rPr>
                <w:sz w:val="20"/>
              </w:rPr>
              <w:t>79</w:t>
            </w:r>
          </w:p>
        </w:tc>
      </w:tr>
      <w:tr>
        <w:trPr/>
        <w:tc>
          <w:tcPr>
            <w:tcW w:w="845" w:type="dxa"/>
            <w:tcBorders/>
            <w:shd w:fill="CCEEFF" w:val="clear"/>
            <w:vAlign w:val="center"/>
          </w:tcPr>
          <w:p>
            <w:pPr>
              <w:pStyle w:val="TableContents"/>
              <w:bidi w:val="0"/>
              <w:spacing w:before="0" w:after="283"/>
              <w:jc w:val="left"/>
              <w:rPr>
                <w:sz w:val="20"/>
              </w:rPr>
            </w:pPr>
            <w:r>
              <w:rPr>
                <w:sz w:val="20"/>
              </w:rPr>
              <w:t>Item 6.</w:t>
            </w:r>
          </w:p>
        </w:tc>
        <w:tc>
          <w:tcPr>
            <w:tcW w:w="7280" w:type="dxa"/>
            <w:tcBorders/>
            <w:shd w:fill="CCEEFF" w:val="clear"/>
            <w:vAlign w:val="center"/>
          </w:tcPr>
          <w:p>
            <w:pPr>
              <w:pStyle w:val="TableContents"/>
              <w:bidi w:val="0"/>
              <w:spacing w:before="0" w:after="283"/>
              <w:jc w:val="left"/>
              <w:rPr/>
            </w:pPr>
            <w:hyperlink w:anchor="a_021">
              <w:r>
                <w:rPr>
                  <w:rStyle w:val="InternetLink"/>
                  <w:sz w:val="20"/>
                </w:rPr>
                <w:t>Exhibits</w:t>
              </w:r>
            </w:hyperlink>
          </w:p>
        </w:tc>
        <w:tc>
          <w:tcPr>
            <w:tcW w:w="680" w:type="dxa"/>
            <w:tcBorders/>
            <w:shd w:fill="CCEEFF" w:val="clear"/>
            <w:vAlign w:val="center"/>
          </w:tcPr>
          <w:p>
            <w:pPr>
              <w:pStyle w:val="TableContents"/>
              <w:bidi w:val="0"/>
              <w:spacing w:before="0" w:after="283"/>
              <w:jc w:val="center"/>
              <w:rPr>
                <w:sz w:val="20"/>
              </w:rPr>
            </w:pPr>
            <w:r>
              <w:rPr>
                <w:sz w:val="20"/>
              </w:rPr>
              <w:t>80</w:t>
            </w:r>
          </w:p>
        </w:tc>
      </w:tr>
      <w:tr>
        <w:trPr/>
        <w:tc>
          <w:tcPr>
            <w:tcW w:w="8125" w:type="dxa"/>
            <w:gridSpan w:val="2"/>
            <w:tcBorders/>
            <w:vAlign w:val="center"/>
          </w:tcPr>
          <w:p>
            <w:pPr>
              <w:pStyle w:val="TableContents"/>
              <w:bidi w:val="0"/>
              <w:spacing w:before="0" w:after="283"/>
              <w:jc w:val="left"/>
              <w:rPr/>
            </w:pPr>
            <w:hyperlink w:anchor="a_022">
              <w:r>
                <w:rPr>
                  <w:rStyle w:val="InternetLink"/>
                  <w:sz w:val="20"/>
                </w:rPr>
                <w:t>Signatures</w:t>
              </w:r>
            </w:hyperlink>
          </w:p>
        </w:tc>
        <w:tc>
          <w:tcPr>
            <w:tcW w:w="680" w:type="dxa"/>
            <w:tcBorders/>
            <w:vAlign w:val="center"/>
          </w:tcPr>
          <w:p>
            <w:pPr>
              <w:pStyle w:val="TableContents"/>
              <w:bidi w:val="0"/>
              <w:spacing w:before="0" w:after="283"/>
              <w:jc w:val="center"/>
              <w:rPr>
                <w:sz w:val="20"/>
              </w:rPr>
            </w:pPr>
            <w:r>
              <w:rPr>
                <w:sz w:val="20"/>
              </w:rPr>
              <w:t>82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recognize the anticipated benefits of the Business Combination (as defined below), which may be affected by, among other things, competition and our ability to grow and manage growth profitably following the closing of the Business Combination;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financial and business performance following the Business Combination, including financial projections and business metrics;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in our strategy, future operations, financial position, estimated revenues and losses, projected costs, prospects and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meet the expectations of new and current customers, and our ability to achieve market acceptance for our products;</w:t>
            </w:r>
          </w:p>
        </w:tc>
      </w:tr>
    </w:tbl>
    <w:p>
      <w:pPr>
        <w:pStyle w:val="TextBody"/>
        <w:bidi w:val="0"/>
        <w:spacing w:before="0" w:after="0"/>
        <w:ind w:left="0" w:right="0" w:hanging="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sz w:val="20"/>
              </w:rPr>
            </w:pPr>
            <w:r>
              <w:rPr>
                <w:sz w:val="20"/>
              </w:rPr>
              <w:t>our expectations and forecasts with respect to market opportunity and market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close the transactions under the “Stalking Horse” asset purchase agreement with SunPower Corporation, including as a result of our bid under such asset purchase agreement not being the winning bid or that the asset purchase agreement and related transactions not approved by the bankruptcy court;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leverage our acquisitions, including our ability to integrate acquired businesses, to take advantage of growth opportunities and to realize the expected benefits of such acquisitions;</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sz w:val="20"/>
              </w:rPr>
            </w:pPr>
            <w:r>
              <w:rPr>
                <w:sz w:val="20"/>
              </w:rPr>
              <w:t>the ability of our products and services to meet customers’ compliance and regulatory needs;</w:t>
            </w:r>
          </w:p>
        </w:tc>
      </w:tr>
    </w:tbl>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sz w:val="20"/>
              </w:rPr>
            </w:pPr>
            <w:r>
              <w:rPr>
                <w:sz w:val="20"/>
              </w:rPr>
              <w:t>our ability to attract and retain qualified employees and management;</w:t>
            </w:r>
          </w:p>
        </w:tc>
      </w:tr>
    </w:tbl>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sz w:val="20"/>
              </w:rPr>
            </w:pPr>
            <w:r>
              <w:rPr>
                <w:sz w:val="20"/>
              </w:rPr>
              <w:t>our ability to develop and maintain its brand and reputation;</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sz w:val="20"/>
              </w:rPr>
            </w:pPr>
            <w:r>
              <w:rPr>
                <w:sz w:val="20"/>
              </w:rPr>
              <w:t>developments and projections relating to our competitors and industry;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ind w:left="0" w:right="0" w:firstLine="54"/>
              <w:jc w:val="left"/>
              <w:rPr/>
            </w:pPr>
            <w:r>
              <w:rPr/>
              <w:t>●</w:t>
            </w:r>
          </w:p>
        </w:tc>
        <w:tc>
          <w:tcPr>
            <w:tcW w:w="9906" w:type="dxa"/>
            <w:tcBorders/>
            <w:vAlign w:val="center"/>
          </w:tcPr>
          <w:p>
            <w:pPr>
              <w:pStyle w:val="TableContents"/>
              <w:bidi w:val="0"/>
              <w:spacing w:before="0" w:after="283"/>
              <w:jc w:val="both"/>
              <w:rPr>
                <w:sz w:val="20"/>
              </w:rPr>
            </w:pPr>
            <w:r>
              <w:rPr>
                <w:sz w:val="20"/>
              </w:rPr>
              <w:t>changes in general economic and financial conditions, inflationary pressures and the resulting impact demand, and our ability to plan for and respond to the impact of those changes;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ind w:left="0" w:right="0" w:firstLine="54"/>
              <w:jc w:val="left"/>
              <w:rPr/>
            </w:pPr>
            <w:r>
              <w:rPr/>
              <w:t>●</w:t>
            </w:r>
          </w:p>
        </w:tc>
        <w:tc>
          <w:tcPr>
            <w:tcW w:w="9906" w:type="dxa"/>
            <w:tcBorders/>
            <w:vAlign w:val="center"/>
          </w:tcPr>
          <w:p>
            <w:pPr>
              <w:pStyle w:val="TableContents"/>
              <w:bidi w:val="0"/>
              <w:spacing w:before="0" w:after="283"/>
              <w:jc w:val="both"/>
              <w:rPr>
                <w:sz w:val="20"/>
              </w:rPr>
            </w:pPr>
            <w:r>
              <w:rPr>
                <w:sz w:val="20"/>
              </w:rPr>
              <w:t>our expectations regarding our ability to obtain and maintain intellectual property protection and not infringe on the rights of others;</w:t>
            </w:r>
          </w:p>
        </w:tc>
      </w:tr>
    </w:tbl>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sz w:val="20"/>
              </w:rPr>
            </w:pPr>
            <w:r>
              <w:rPr>
                <w:sz w:val="20"/>
              </w:rPr>
              <w:t>our future capital requirements and sources and uses of cash;</w:t>
            </w:r>
          </w:p>
        </w:tc>
      </w:tr>
    </w:tbl>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sz w:val="20"/>
              </w:rPr>
            </w:pPr>
            <w:r>
              <w:rPr>
                <w:sz w:val="20"/>
              </w:rPr>
              <w:t>our ability to obtain funding for its operations and future growth; and</w:t>
            </w:r>
          </w:p>
        </w:tc>
      </w:tr>
    </w:tbl>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sz w:val="20"/>
              </w:rPr>
            </w:pPr>
            <w:r>
              <w:rPr>
                <w:sz w:val="20"/>
              </w:rPr>
              <w:t>our business, expansion plans and opportunities.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or results may differ from those expressed in forward-looking statements.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ind w:left="0" w:right="0" w:firstLine="71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71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sz w:val="20"/>
              </w:rPr>
            </w:pPr>
            <w:r>
              <w:rPr>
                <w:sz w:val="20"/>
              </w:rPr>
              <w:t>Our management has identified conditions that raise substantial doubt about 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business depends in part on the availability of rebates, tax credits and other financial incentives. The expiration, elimination or reduction of these rebates, credits or incentives or the ability to monetize them could adversely impact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Existing regulations and policies and changes to these regulations and policies may present technical, regulatory, and economic barriers to the purchase and use of solar power products, which may significantly reduce demand for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Risks associated with a highly complex global supply chain, including from disruptions, delays, trade tensions, or shortages.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rely on net metering and related policies to offer competitive pricing to customers in many of our current markets and changes to net metering policies may significantly reduce demand for electricity from residential solar energy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provide warranties for solar system installations, solar panels, and other system components that may negatively impact overall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utilize third-party sales and installation partners whose performance could result in sales and installation delays, cancellations, and loss of market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Risks associated with solar system installation and connection delays, including the potential for recoupment or clawback of payments by financing partners.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Due to the general economic environment and any market pressure that would drive down the average selling prices of solar power products, among other factors, we may be unable to generate sufficient cash flows or obtain access to external financing necessary to fund operations and make adequate capital investments as planned.</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sz w:val="20"/>
              </w:rPr>
            </w:pPr>
            <w:r>
              <w:rPr>
                <w:sz w:val="20"/>
              </w:rPr>
              <w:t>Our business substantially focuses on solar service agreements and transactions with residential customers.</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We have incurred losses and may be unable to achieve or sustain profitability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close the transactions contemplated by the SunPower Stalking Horse Asset Purchase Agreement; and we may not realize the anticipated benefits of past or future acquisitions, and integration of these acquisitions may disrupt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sz w:val="20"/>
              </w:rPr>
            </w:pPr>
            <w:r>
              <w:rPr>
                <w:sz w:val="20"/>
              </w:rPr>
              <w:t>Our business is concentrated in certain markets, including California, putting us at risk of region-specific disruptions.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depend on a limited number of customers and sales contracts for a significant portion of revenues, and the loss of any customer or cancellation of any contract may cause significant fluctuations or declines in revenues.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have identified material weaknesses in our internal controls over financial reporting. If we cannot maintain effective internal controls over financial reporting and disclosure controls and procedures, the accuracy and timeliness of our financial and operating reporting may be adversely affected, and confidence in our operations and disclosures may be lost.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350" w:right="3350" w:hanging="0"/>
        <w:jc w:val="left"/>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Item 1. Financial Statements</w:t>
      </w:r>
    </w:p>
    <w:p>
      <w:pPr>
        <w:pStyle w:val="TextBody"/>
        <w:bidi w:val="0"/>
        <w:spacing w:before="0" w:after="0"/>
        <w:ind w:left="3150" w:right="335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6"/>
        <w:gridCol w:w="60"/>
        <w:gridCol w:w="125"/>
        <w:gridCol w:w="755"/>
        <w:gridCol w:w="80"/>
        <w:gridCol w:w="60"/>
        <w:gridCol w:w="161"/>
        <w:gridCol w:w="981"/>
        <w:gridCol w:w="97"/>
      </w:tblGrid>
      <w:tr>
        <w:trPr/>
        <w:tc>
          <w:tcPr>
            <w:tcW w:w="78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6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7" w:type="dxa"/>
            <w:tcBorders/>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97" w:type="dxa"/>
            <w:tcBorders/>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97" w:type="dxa"/>
            <w:tcBorders/>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13,003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26,281</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3,058</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7,140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5,817</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37,749</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3,823</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4,317</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1,235</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33,392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47,322</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10,995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13,122</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27,870</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28,657</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 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2,423</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debt with CS Solis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33,280</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 Agreement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3,831</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109,183</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3,416</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9,817</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 noncurrent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125,365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124,135</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 and contingencies (Note 17)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0"/>
              <w:jc w:val="right"/>
              <w:rPr/>
            </w:pPr>
            <w:r>
              <w:rPr/>
              <w:t> </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(deficit) equity: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ind w:left="0" w:right="0" w:hanging="180"/>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$0.0001 par value; Authorized 1,000,000,000 and 1,000,000,000 shares as of June 30, 2024 and December 31, 2023, respectively; issued and outstanding 63,044,287, and 49,065,361 shares as of June 30,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288,259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277, 965</w:t>
            </w:r>
          </w:p>
        </w:tc>
        <w:tc>
          <w:tcPr>
            <w:tcW w:w="97" w:type="dxa"/>
            <w:tcBorders/>
            <w:vAlign w:val="center"/>
          </w:tcPr>
          <w:p>
            <w:pPr>
              <w:pStyle w:val="TableContents"/>
              <w:bidi w:val="0"/>
              <w:spacing w:before="0" w:after="283"/>
              <w:jc w:val="left"/>
              <w:rPr/>
            </w:pPr>
            <w:r>
              <w:rPr/>
              <w:t> </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97" w:type="dxa"/>
            <w:tcBorders/>
            <w:shd w:fill="CCEEFF" w:val="clear"/>
            <w:vAlign w:val="center"/>
          </w:tcPr>
          <w:p>
            <w:pPr>
              <w:pStyle w:val="TableContents"/>
              <w:bidi w:val="0"/>
              <w:spacing w:before="0" w:after="283"/>
              <w:jc w:val="left"/>
              <w:rPr/>
            </w:pPr>
            <w:r>
              <w:rPr/>
              <w:t> </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(380,410</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(354,928</w:t>
            </w:r>
          </w:p>
        </w:tc>
        <w:tc>
          <w:tcPr>
            <w:tcW w:w="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(deficit)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(76,813</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vAlign w:val="center"/>
          </w:tcPr>
          <w:p>
            <w:pPr>
              <w:pStyle w:val="TableContents"/>
              <w:bidi w:val="0"/>
              <w:spacing w:before="0" w:after="283"/>
              <w:jc w:val="left"/>
              <w:rPr/>
            </w:pPr>
            <w:r>
              <w:rPr/>
              <w:t> </w:t>
            </w:r>
          </w:p>
        </w:tc>
        <w:tc>
          <w:tcPr>
            <w:tcW w:w="12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33,392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47,322</w:t>
            </w:r>
          </w:p>
        </w:tc>
        <w:tc>
          <w:tcPr>
            <w:tcW w:w="97"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7"/>
        <w:gridCol w:w="60"/>
        <w:gridCol w:w="140"/>
        <w:gridCol w:w="1100"/>
        <w:gridCol w:w="95"/>
        <w:gridCol w:w="60"/>
        <w:gridCol w:w="140"/>
        <w:gridCol w:w="1100"/>
        <w:gridCol w:w="95"/>
        <w:gridCol w:w="60"/>
        <w:gridCol w:w="140"/>
        <w:gridCol w:w="1103"/>
        <w:gridCol w:w="95"/>
        <w:gridCol w:w="60"/>
        <w:gridCol w:w="140"/>
        <w:gridCol w:w="1103"/>
        <w:gridCol w:w="87"/>
      </w:tblGrid>
      <w:tr>
        <w:trPr/>
        <w:tc>
          <w:tcPr>
            <w:tcW w:w="4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Twenty-Six Weeks Ended</w:t>
            </w:r>
          </w:p>
        </w:tc>
        <w:tc>
          <w:tcPr>
            <w:tcW w:w="87" w:type="dxa"/>
            <w:tcBorders/>
            <w:vAlign w:val="center"/>
          </w:tcPr>
          <w:p>
            <w:pPr>
              <w:pStyle w:val="TableContents"/>
              <w:bidi w:val="0"/>
              <w:spacing w:before="0" w:after="283"/>
              <w:jc w:val="left"/>
              <w:rPr/>
            </w:pPr>
            <w:r>
              <w:rPr/>
              <w:t> </w:t>
            </w:r>
          </w:p>
        </w:tc>
      </w:tr>
      <w:tr>
        <w:trPr/>
        <w:tc>
          <w:tcPr>
            <w:tcW w:w="4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July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center"/>
              <w:rPr>
                <w:b/>
              </w:rPr>
            </w:pPr>
            <w:r>
              <w:rPr>
                <w:b/>
              </w:rPr>
              <w:t>July 2,</w:t>
            </w:r>
          </w:p>
        </w:tc>
        <w:tc>
          <w:tcPr>
            <w:tcW w:w="87" w:type="dxa"/>
            <w:tcBorders/>
            <w:vAlign w:val="center"/>
          </w:tcPr>
          <w:p>
            <w:pPr>
              <w:pStyle w:val="TableContents"/>
              <w:bidi w:val="0"/>
              <w:spacing w:before="0" w:after="283"/>
              <w:jc w:val="left"/>
              <w:rPr/>
            </w:pPr>
            <w:r>
              <w:rPr/>
              <w:t> </w:t>
            </w:r>
          </w:p>
        </w:tc>
      </w:tr>
      <w:tr>
        <w:trPr/>
        <w:tc>
          <w:tcPr>
            <w:tcW w:w="4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7" w:type="dxa"/>
            <w:tcBorders/>
            <w:vAlign w:val="center"/>
          </w:tcPr>
          <w:p>
            <w:pPr>
              <w:pStyle w:val="TableContents"/>
              <w:bidi w:val="0"/>
              <w:spacing w:before="0" w:after="283"/>
              <w:ind w:left="0" w:right="0" w:hanging="180"/>
              <w:jc w:val="left"/>
              <w:rPr/>
            </w:pPr>
            <w:r>
              <w:rPr/>
              <w:t> </w:t>
            </w:r>
          </w:p>
        </w:tc>
      </w:tr>
      <w:tr>
        <w:trPr/>
        <w:tc>
          <w:tcPr>
            <w:tcW w:w="4627"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14,532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42,297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5,384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19,607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13,141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33,434</w:t>
            </w:r>
          </w:p>
        </w:tc>
        <w:tc>
          <w:tcPr>
            <w:tcW w:w="87" w:type="dxa"/>
            <w:tcBorders/>
            <w:vAlign w:val="center"/>
          </w:tcPr>
          <w:p>
            <w:pPr>
              <w:pStyle w:val="TableContents"/>
              <w:bidi w:val="0"/>
              <w:spacing w:before="0" w:after="283"/>
              <w:ind w:left="0" w:right="0" w:hanging="180"/>
              <w:jc w:val="left"/>
              <w:rPr/>
            </w:pPr>
            <w:r>
              <w:rPr/>
              <w:t> </w:t>
            </w:r>
          </w:p>
        </w:tc>
      </w:tr>
      <w:tr>
        <w:trPr/>
        <w:tc>
          <w:tcPr>
            <w:tcW w:w="4627" w:type="dxa"/>
            <w:tcBorders/>
            <w:shd w:fill="CCEEFF" w:val="clear"/>
            <w:vAlign w:val="center"/>
          </w:tcPr>
          <w:p>
            <w:pPr>
              <w:pStyle w:val="TableContents"/>
              <w:bidi w:val="0"/>
              <w:spacing w:before="0" w:after="283"/>
              <w:jc w:val="left"/>
              <w:rPr/>
            </w:pPr>
            <w:r>
              <w:rPr/>
              <w:t>Gross (loss)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8,863</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4627"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14,466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2,669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3,002</w:t>
            </w:r>
          </w:p>
        </w:tc>
        <w:tc>
          <w:tcPr>
            <w:tcW w:w="87" w:type="dxa"/>
            <w:tcBorders/>
            <w:vAlign w:val="center"/>
          </w:tcPr>
          <w:p>
            <w:pPr>
              <w:pStyle w:val="TableContents"/>
              <w:bidi w:val="0"/>
              <w:spacing w:before="0" w:after="283"/>
              <w:ind w:left="0" w:right="0" w:hanging="180"/>
              <w:jc w:val="left"/>
              <w:rPr/>
            </w:pPr>
            <w:r>
              <w:rPr/>
              <w:t> </w:t>
            </w:r>
          </w:p>
        </w:tc>
      </w:tr>
      <w:tr>
        <w:trPr/>
        <w:tc>
          <w:tcPr>
            <w:tcW w:w="462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11,339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16,620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8,602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18,815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18,429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34,088</w:t>
            </w:r>
          </w:p>
        </w:tc>
        <w:tc>
          <w:tcPr>
            <w:tcW w:w="87" w:type="dxa"/>
            <w:tcBorders/>
            <w:vAlign w:val="center"/>
          </w:tcPr>
          <w:p>
            <w:pPr>
              <w:pStyle w:val="TableContents"/>
              <w:bidi w:val="0"/>
              <w:spacing w:before="0" w:after="283"/>
              <w:ind w:left="0" w:right="0" w:hanging="180"/>
              <w:jc w:val="left"/>
              <w:rPr/>
            </w:pPr>
            <w:r>
              <w:rPr/>
              <w:t> </w:t>
            </w:r>
          </w:p>
        </w:tc>
      </w:tr>
      <w:tr>
        <w:trPr/>
        <w:tc>
          <w:tcPr>
            <w:tcW w:w="4627"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(17,038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(25,225</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4627" w:type="dxa"/>
            <w:tcBorders/>
            <w:vAlign w:val="center"/>
          </w:tcPr>
          <w:p>
            <w:pPr>
              <w:pStyle w:val="TableContents"/>
              <w:bidi w:val="0"/>
              <w:spacing w:before="0" w:after="283"/>
              <w:jc w:val="left"/>
              <w:rPr/>
            </w:pPr>
            <w:r>
              <w:rPr/>
              <w:t>Interest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(2,324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(5,892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(6,968</w:t>
            </w:r>
          </w:p>
        </w:tc>
        <w:tc>
          <w:tcPr>
            <w:tcW w:w="87" w:type="dxa"/>
            <w:tcBorders/>
            <w:vAlign w:val="center"/>
          </w:tcPr>
          <w:p>
            <w:pPr>
              <w:pStyle w:val="TableContents"/>
              <w:bidi w:val="0"/>
              <w:spacing w:before="0" w:after="283"/>
              <w:ind w:left="0" w:right="0" w:hanging="180"/>
              <w:jc w:val="left"/>
              <w:rPr/>
            </w:pPr>
            <w:r>
              <w:rPr/>
              <w:t>)</w:t>
            </w:r>
          </w:p>
        </w:tc>
      </w:tr>
      <w:tr>
        <w:trPr/>
        <w:tc>
          <w:tcPr>
            <w:tcW w:w="4627"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Other income,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(2,069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9,384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(550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9,701</w:t>
            </w:r>
          </w:p>
        </w:tc>
        <w:tc>
          <w:tcPr>
            <w:tcW w:w="87" w:type="dxa"/>
            <w:tcBorders/>
            <w:vAlign w:val="center"/>
          </w:tcPr>
          <w:p>
            <w:pPr>
              <w:pStyle w:val="TableContents"/>
              <w:bidi w:val="0"/>
              <w:spacing w:before="0" w:after="283"/>
              <w:ind w:left="0" w:right="0" w:hanging="180"/>
              <w:jc w:val="left"/>
              <w:rPr/>
            </w:pPr>
            <w:r>
              <w:rPr/>
              <w:t> </w:t>
            </w:r>
          </w:p>
        </w:tc>
      </w:tr>
      <w:tr>
        <w:trPr/>
        <w:tc>
          <w:tcPr>
            <w:tcW w:w="4627" w:type="dxa"/>
            <w:tcBorders/>
            <w:shd w:fill="CCEEFF" w:val="clear"/>
            <w:vAlign w:val="center"/>
          </w:tcPr>
          <w:p>
            <w:pPr>
              <w:pStyle w:val="TableContents"/>
              <w:bidi w:val="0"/>
              <w:spacing w:before="0" w:after="283"/>
              <w:jc w:val="left"/>
              <w:rPr/>
            </w:pPr>
            <w:r>
              <w:rPr/>
              <w:t>Total 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(6,426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2,750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Loss from continuing operations before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(13,877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(23,464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(22,475</w:t>
            </w:r>
          </w:p>
        </w:tc>
        <w:tc>
          <w:tcPr>
            <w:tcW w:w="87" w:type="dxa"/>
            <w:tcBorders/>
            <w:vAlign w:val="center"/>
          </w:tcPr>
          <w:p>
            <w:pPr>
              <w:pStyle w:val="TableContents"/>
              <w:bidi w:val="0"/>
              <w:spacing w:before="0" w:after="283"/>
              <w:ind w:left="0" w:right="0" w:hanging="180"/>
              <w:jc w:val="left"/>
              <w:rPr/>
            </w:pPr>
            <w:r>
              <w:rPr/>
              <w:t>)</w:t>
            </w:r>
          </w:p>
        </w:tc>
      </w:tr>
      <w:tr>
        <w:trPr/>
        <w:tc>
          <w:tcPr>
            <w:tcW w:w="4627"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Net loss from continuing operations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(13,887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(6,766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(23,475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(22,475</w:t>
            </w:r>
          </w:p>
        </w:tc>
        <w:tc>
          <w:tcPr>
            <w:tcW w:w="87" w:type="dxa"/>
            <w:tcBorders/>
            <w:vAlign w:val="center"/>
          </w:tcPr>
          <w:p>
            <w:pPr>
              <w:pStyle w:val="TableContents"/>
              <w:bidi w:val="0"/>
              <w:spacing w:before="0" w:after="283"/>
              <w:ind w:left="0" w:right="0" w:hanging="180"/>
              <w:jc w:val="left"/>
              <w:rPr/>
            </w:pPr>
            <w:r>
              <w:rPr/>
              <w:t>)</w:t>
            </w:r>
          </w:p>
        </w:tc>
      </w:tr>
      <w:tr>
        <w:trPr/>
        <w:tc>
          <w:tcPr>
            <w:tcW w:w="4627" w:type="dxa"/>
            <w:tcBorders/>
            <w:shd w:fill="CCEEFF" w:val="clear"/>
            <w:vAlign w:val="center"/>
          </w:tcPr>
          <w:p>
            <w:pPr>
              <w:pStyle w:val="TableContents"/>
              <w:bidi w:val="0"/>
              <w:spacing w:before="0" w:after="283"/>
              <w:jc w:val="left"/>
              <w:rPr/>
            </w:pPr>
            <w:r>
              <w:rPr/>
              <w:t>Loss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(4,744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(2,007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(12,549</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4627" w:type="dxa"/>
            <w:tcBorders/>
            <w:vAlign w:val="center"/>
          </w:tcPr>
          <w:p>
            <w:pPr>
              <w:pStyle w:val="TableContents"/>
              <w:bidi w:val="0"/>
              <w:spacing w:before="0" w:after="283"/>
              <w:jc w:val="left"/>
              <w:rPr/>
            </w:pPr>
            <w:r>
              <w:rPr/>
              <w:t>Net loss from discontinued operations, net of taxes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(4,744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(12,549</w:t>
            </w:r>
          </w:p>
        </w:tc>
        <w:tc>
          <w:tcPr>
            <w:tcW w:w="87" w:type="dxa"/>
            <w:tcBorders/>
            <w:vAlign w:val="center"/>
          </w:tcPr>
          <w:p>
            <w:pPr>
              <w:pStyle w:val="TableContents"/>
              <w:bidi w:val="0"/>
              <w:spacing w:before="0" w:after="283"/>
              <w:ind w:left="0" w:right="0" w:hanging="180"/>
              <w:jc w:val="left"/>
              <w:rPr/>
            </w:pPr>
            <w:r>
              <w:rPr/>
              <w:t>)</w:t>
            </w:r>
          </w:p>
        </w:tc>
      </w:tr>
      <w:tr>
        <w:trPr/>
        <w:tc>
          <w:tcPr>
            <w:tcW w:w="462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(25,482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(35,024</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4627" w:type="dxa"/>
            <w:tcBorders/>
            <w:vAlign w:val="center"/>
          </w:tcPr>
          <w:p>
            <w:pPr>
              <w:pStyle w:val="TableContents"/>
              <w:bidi w:val="0"/>
              <w:spacing w:before="0" w:after="283"/>
              <w:jc w:val="left"/>
              <w:rPr/>
            </w:pPr>
            <w:r>
              <w:rPr/>
              <w:t>Other Comprehensive (loss)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4627"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14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627" w:type="dxa"/>
            <w:tcBorders/>
            <w:vAlign w:val="center"/>
          </w:tcPr>
          <w:p>
            <w:pPr>
              <w:pStyle w:val="TableContents"/>
              <w:bidi w:val="0"/>
              <w:spacing w:before="0" w:after="283"/>
              <w:jc w:val="left"/>
              <w:rPr/>
            </w:pPr>
            <w:r>
              <w:rPr/>
              <w:t>Comprehensive loss (net of tax)</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(15,827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(11,497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(25,504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(35,010</w:t>
            </w:r>
          </w:p>
        </w:tc>
        <w:tc>
          <w:tcPr>
            <w:tcW w:w="87" w:type="dxa"/>
            <w:tcBorders/>
            <w:vAlign w:val="center"/>
          </w:tcPr>
          <w:p>
            <w:pPr>
              <w:pStyle w:val="TableContents"/>
              <w:bidi w:val="0"/>
              <w:spacing w:before="0" w:after="283"/>
              <w:ind w:left="0" w:right="0" w:hanging="180"/>
              <w:jc w:val="left"/>
              <w:rPr/>
            </w:pPr>
            <w:r>
              <w:rPr/>
              <w:t>)</w:t>
            </w:r>
          </w:p>
        </w:tc>
      </w:tr>
      <w:tr>
        <w:trPr/>
        <w:tc>
          <w:tcPr>
            <w:tcW w:w="4627" w:type="dxa"/>
            <w:tcBorders/>
            <w:shd w:fill="CCEEFF" w:val="clear"/>
            <w:vAlign w:val="center"/>
          </w:tcPr>
          <w:p>
            <w:pPr>
              <w:pStyle w:val="TableContents"/>
              <w:bidi w:val="0"/>
              <w:spacing w:before="0" w:after="0"/>
              <w:jc w:val="left"/>
              <w:rPr/>
            </w:pPr>
            <w:r>
              <w:rPr/>
              <w:t>Net loss from continuing operations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(0.81</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4627" w:type="dxa"/>
            <w:tcBorders/>
            <w:vAlign w:val="center"/>
          </w:tcPr>
          <w:p>
            <w:pPr>
              <w:pStyle w:val="TableContents"/>
              <w:bidi w:val="0"/>
              <w:spacing w:before="0" w:after="0"/>
              <w:jc w:val="left"/>
              <w:rPr/>
            </w:pPr>
            <w:r>
              <w:rPr/>
              <w:t>Net loss from discontinued operations per share attributable to common stockholders, basic and diluted</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(0.17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(0.03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(0.46</w:t>
            </w:r>
          </w:p>
        </w:tc>
        <w:tc>
          <w:tcPr>
            <w:tcW w:w="87" w:type="dxa"/>
            <w:tcBorders/>
            <w:vAlign w:val="center"/>
          </w:tcPr>
          <w:p>
            <w:pPr>
              <w:pStyle w:val="TableContents"/>
              <w:bidi w:val="0"/>
              <w:spacing w:before="0" w:after="283"/>
              <w:ind w:left="0" w:right="0" w:hanging="180"/>
              <w:jc w:val="left"/>
              <w:rPr/>
            </w:pPr>
            <w:r>
              <w:rPr/>
              <w:t>)</w:t>
            </w:r>
          </w:p>
        </w:tc>
      </w:tr>
      <w:tr>
        <w:trPr/>
        <w:tc>
          <w:tcPr>
            <w:tcW w:w="4627" w:type="dxa"/>
            <w:tcBorders/>
            <w:shd w:fill="CCEEFF" w:val="clear"/>
            <w:vAlign w:val="center"/>
          </w:tcPr>
          <w:p>
            <w:pPr>
              <w:pStyle w:val="TableContents"/>
              <w:bidi w:val="0"/>
              <w:spacing w:before="0" w:after="0"/>
              <w:jc w:val="left"/>
              <w:rPr/>
            </w:pPr>
            <w:r>
              <w:rPr/>
              <w:t>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(1.27</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4627" w:type="dxa"/>
            <w:tcBorders/>
            <w:vAlign w:val="center"/>
          </w:tcPr>
          <w:p>
            <w:pPr>
              <w:pStyle w:val="TableContents"/>
              <w:bidi w:val="0"/>
              <w:spacing w:before="0" w:after="0"/>
              <w:jc w:val="left"/>
              <w:rPr/>
            </w:pPr>
            <w:r>
              <w:rPr/>
              <w:t>Weighted-average shares used to compute net loss per share attributable to common stockholders’, basic and diluted</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61,111,005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27,671,302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54,941,543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27,638,062</w:t>
            </w:r>
          </w:p>
        </w:tc>
        <w:tc>
          <w:tcPr>
            <w:tcW w:w="8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COMPLETE SOLARIA,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Stockholders’ Deficit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2305" w:type="dxa"/>
        <w:jc w:val="left"/>
        <w:tblInd w:w="0" w:type="dxa"/>
        <w:tblLayout w:type="fixed"/>
        <w:tblCellMar>
          <w:top w:w="0" w:type="dxa"/>
          <w:left w:w="0" w:type="dxa"/>
          <w:bottom w:w="0" w:type="dxa"/>
          <w:right w:w="0" w:type="dxa"/>
        </w:tblCellMar>
      </w:tblPr>
      <w:tblGrid>
        <w:gridCol w:w="1340"/>
        <w:gridCol w:w="60"/>
        <w:gridCol w:w="105"/>
        <w:gridCol w:w="981"/>
        <w:gridCol w:w="105"/>
        <w:gridCol w:w="105"/>
        <w:gridCol w:w="245"/>
        <w:gridCol w:w="984"/>
        <w:gridCol w:w="60"/>
        <w:gridCol w:w="60"/>
        <w:gridCol w:w="60"/>
        <w:gridCol w:w="1100"/>
        <w:gridCol w:w="60"/>
        <w:gridCol w:w="60"/>
        <w:gridCol w:w="301"/>
        <w:gridCol w:w="559"/>
        <w:gridCol w:w="60"/>
        <w:gridCol w:w="60"/>
        <w:gridCol w:w="163"/>
        <w:gridCol w:w="937"/>
        <w:gridCol w:w="60"/>
        <w:gridCol w:w="60"/>
        <w:gridCol w:w="188"/>
        <w:gridCol w:w="1182"/>
        <w:gridCol w:w="95"/>
        <w:gridCol w:w="60"/>
        <w:gridCol w:w="433"/>
        <w:gridCol w:w="1177"/>
        <w:gridCol w:w="60"/>
        <w:gridCol w:w="60"/>
        <w:gridCol w:w="221"/>
        <w:gridCol w:w="1194"/>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9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For the Thirteen-Weeks Ended June 30, 2024</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Redeemable Convertible</w:t>
              <w:br/>
              <w:t>Preferred Stock</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Total</w:t>
              <w:br/>
              <w:t>Stockholders’</w:t>
              <w:b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ind w:left="0" w:right="0" w:hanging="20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as of March 31, 2024</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49,096,537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279,332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(364,516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(85,079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340" w:type="dxa"/>
            <w:tcBorders/>
            <w:vAlign w:val="center"/>
          </w:tcPr>
          <w:p>
            <w:pPr>
              <w:pStyle w:val="TableContents"/>
              <w:bidi w:val="0"/>
              <w:spacing w:before="0" w:after="283"/>
              <w:jc w:val="left"/>
              <w:rPr/>
            </w:pPr>
            <w:r>
              <w:rPr/>
              <w:t>Exercise of common stock options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58,861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34</w:t>
            </w:r>
          </w:p>
        </w:tc>
        <w:tc>
          <w:tcPr>
            <w:tcW w:w="110" w:type="dxa"/>
            <w:tcBorders/>
            <w:vAlign w:val="center"/>
          </w:tcPr>
          <w:p>
            <w:pPr>
              <w:pStyle w:val="TableContents"/>
              <w:bidi w:val="0"/>
              <w:spacing w:before="0" w:after="283"/>
              <w:ind w:left="0" w:right="0" w:hanging="200"/>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1,229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340" w:type="dxa"/>
            <w:tcBorders/>
            <w:vAlign w:val="center"/>
          </w:tcPr>
          <w:p>
            <w:pPr>
              <w:pStyle w:val="TableContents"/>
              <w:bidi w:val="0"/>
              <w:spacing w:before="0" w:after="283"/>
              <w:jc w:val="left"/>
              <w:rPr/>
            </w:pPr>
            <w:r>
              <w:rPr/>
              <w:t>Issuance of common stock warrants for services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1,420</w:t>
            </w:r>
          </w:p>
        </w:tc>
        <w:tc>
          <w:tcPr>
            <w:tcW w:w="110" w:type="dxa"/>
            <w:tcBorders/>
            <w:vAlign w:val="center"/>
          </w:tcPr>
          <w:p>
            <w:pPr>
              <w:pStyle w:val="TableContents"/>
              <w:bidi w:val="0"/>
              <w:spacing w:before="0" w:after="283"/>
              <w:ind w:left="0" w:right="0" w:hanging="200"/>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upon conversion of SAFEs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6,250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34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(15,894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(15,894</w:t>
            </w:r>
          </w:p>
        </w:tc>
        <w:tc>
          <w:tcPr>
            <w:tcW w:w="110" w:type="dxa"/>
            <w:tcBorders/>
            <w:vAlign w:val="center"/>
          </w:tcPr>
          <w:p>
            <w:pPr>
              <w:pStyle w:val="TableContents"/>
              <w:bidi w:val="0"/>
              <w:spacing w:before="0" w:after="283"/>
              <w:ind w:left="0" w:right="0" w:hanging="200"/>
              <w:jc w:val="left"/>
              <w:rPr/>
            </w:pPr>
            <w:r>
              <w:rPr/>
              <w:t>)</w:t>
            </w:r>
          </w:p>
        </w:tc>
      </w:tr>
      <w:tr>
        <w:trPr/>
        <w:tc>
          <w:tcPr>
            <w:tcW w:w="134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340" w:type="dxa"/>
            <w:tcBorders/>
            <w:vAlign w:val="center"/>
          </w:tcPr>
          <w:p>
            <w:pPr>
              <w:pStyle w:val="TableContents"/>
              <w:bidi w:val="0"/>
              <w:spacing w:before="0" w:after="283"/>
              <w:jc w:val="left"/>
              <w:rPr>
                <w:b/>
              </w:rPr>
            </w:pPr>
            <w:r>
              <w:rPr>
                <w:b/>
              </w:rPr>
              <w:t>Balance as of June 30, 2024</w:t>
            </w:r>
          </w:p>
        </w:tc>
        <w:tc>
          <w:tcPr>
            <w:tcW w:w="60" w:type="dxa"/>
            <w:tcBorders/>
            <w:vAlign w:val="center"/>
          </w:tcPr>
          <w:p>
            <w:pPr>
              <w:pStyle w:val="TableContents"/>
              <w:bidi w:val="0"/>
              <w:spacing w:before="0" w:after="283"/>
              <w:jc w:val="left"/>
              <w:rPr/>
            </w:pPr>
            <w:r>
              <w:rPr/>
              <w:t> </w:t>
            </w:r>
          </w:p>
        </w:tc>
        <w:tc>
          <w:tcPr>
            <w:tcW w:w="105" w:type="dxa"/>
            <w:tcBorders>
              <w:bottom w:val="double" w:sz="10" w:space="0" w:color="000000"/>
            </w:tcBorders>
            <w:tcMar>
              <w:bottom w:w="28" w:type="dxa"/>
            </w:tcMar>
            <w:vAlign w:val="center"/>
          </w:tcPr>
          <w:p>
            <w:pPr>
              <w:pStyle w:val="TableContents"/>
              <w:bidi w:val="0"/>
              <w:spacing w:before="0" w:after="283"/>
              <w:jc w:val="left"/>
              <w:rPr/>
            </w:pPr>
            <w:r>
              <w:rPr/>
              <w:t> </w:t>
            </w:r>
          </w:p>
        </w:tc>
        <w:tc>
          <w:tcPr>
            <w:tcW w:w="981" w:type="dxa"/>
            <w:tcBorders>
              <w:bottom w:val="double" w:sz="10" w:space="0" w:color="000000"/>
            </w:tcBorders>
            <w:tcMar>
              <w:bottom w:w="28" w:type="dxa"/>
            </w:tcMar>
            <w:vAlign w:val="center"/>
          </w:tcPr>
          <w:p>
            <w:pPr>
              <w:pStyle w:val="TableContents"/>
              <w:bidi w:val="0"/>
              <w:spacing w:before="0" w:after="0"/>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984"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63,044,287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tcMar>
              <w:bottom w:w="28" w:type="dxa"/>
            </w:tcMar>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10" w:space="0" w:color="000000"/>
            </w:tcBorders>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tcMar>
              <w:bottom w:w="28" w:type="dxa"/>
            </w:tcMar>
            <w:vAlign w:val="center"/>
          </w:tcPr>
          <w:p>
            <w:pPr>
              <w:pStyle w:val="TableContents"/>
              <w:bidi w:val="0"/>
              <w:spacing w:before="0" w:after="283"/>
              <w:jc w:val="right"/>
              <w:rPr/>
            </w:pPr>
            <w:r>
              <w:rPr/>
              <w:t>288,259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tcMar>
              <w:bottom w:w="28" w:type="dxa"/>
            </w:tcMar>
            <w:vAlign w:val="center"/>
          </w:tcPr>
          <w:p>
            <w:pPr>
              <w:pStyle w:val="TableContents"/>
              <w:bidi w:val="0"/>
              <w:spacing w:before="0" w:after="283"/>
              <w:jc w:val="right"/>
              <w:rPr/>
            </w:pPr>
            <w:r>
              <w:rPr/>
              <w:t>(380,410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3" w:type="dxa"/>
            <w:tcBorders>
              <w:bottom w:val="double" w:sz="10" w:space="0" w:color="000000"/>
            </w:tcBorders>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tcMar>
              <w:bottom w:w="28" w:type="dxa"/>
            </w:tcMar>
            <w:vAlign w:val="center"/>
          </w:tcPr>
          <w:p>
            <w:pPr>
              <w:pStyle w:val="TableContents"/>
              <w:bidi w:val="0"/>
              <w:spacing w:before="0" w:after="283"/>
              <w:jc w:val="right"/>
              <w:rPr/>
            </w:pPr>
            <w:r>
              <w:rPr/>
              <w:t>165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tcMar>
              <w:bottom w:w="28" w:type="dxa"/>
            </w:tcMar>
            <w:vAlign w:val="center"/>
          </w:tcPr>
          <w:p>
            <w:pPr>
              <w:pStyle w:val="TableContents"/>
              <w:bidi w:val="0"/>
              <w:spacing w:before="0" w:after="283"/>
              <w:jc w:val="right"/>
              <w:rPr/>
            </w:pPr>
            <w:r>
              <w:rPr/>
              <w:t>(91,973</w:t>
            </w:r>
          </w:p>
        </w:tc>
        <w:tc>
          <w:tcPr>
            <w:tcW w:w="110" w:type="dxa"/>
            <w:tcBorders/>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12425" w:type="dxa"/>
        <w:jc w:val="left"/>
        <w:tblInd w:w="0" w:type="dxa"/>
        <w:tblLayout w:type="fixed"/>
        <w:tblCellMar>
          <w:top w:w="0" w:type="dxa"/>
          <w:left w:w="0" w:type="dxa"/>
          <w:bottom w:w="0" w:type="dxa"/>
          <w:right w:w="0" w:type="dxa"/>
        </w:tblCellMar>
      </w:tblPr>
      <w:tblGrid>
        <w:gridCol w:w="1460"/>
        <w:gridCol w:w="60"/>
        <w:gridCol w:w="62"/>
        <w:gridCol w:w="1233"/>
        <w:gridCol w:w="99"/>
        <w:gridCol w:w="62"/>
        <w:gridCol w:w="146"/>
        <w:gridCol w:w="923"/>
        <w:gridCol w:w="95"/>
        <w:gridCol w:w="60"/>
        <w:gridCol w:w="60"/>
        <w:gridCol w:w="1100"/>
        <w:gridCol w:w="60"/>
        <w:gridCol w:w="60"/>
        <w:gridCol w:w="146"/>
        <w:gridCol w:w="714"/>
        <w:gridCol w:w="60"/>
        <w:gridCol w:w="60"/>
        <w:gridCol w:w="163"/>
        <w:gridCol w:w="937"/>
        <w:gridCol w:w="60"/>
        <w:gridCol w:w="60"/>
        <w:gridCol w:w="188"/>
        <w:gridCol w:w="1182"/>
        <w:gridCol w:w="95"/>
        <w:gridCol w:w="60"/>
        <w:gridCol w:w="274"/>
        <w:gridCol w:w="1336"/>
        <w:gridCol w:w="60"/>
        <w:gridCol w:w="60"/>
        <w:gridCol w:w="210"/>
        <w:gridCol w:w="1205"/>
        <w:gridCol w:w="75"/>
      </w:tblGrid>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30"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For the Thirteen Weeks Ended July 2, 2023</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Redeemable Convertible </w:t>
              <w:br/>
              <w:t>Preferred Stock</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 xml:space="preserve">Accumulated </w:t>
              <w:br/>
              <w:t xml:space="preserve">Other </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 xml:space="preserve">Total </w:t>
              <w:br/>
              <w:t xml:space="preserve">Stockholders’ </w:t>
              <w:br/>
              <w:t>(Deficit)</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200"/>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as of April 3, 2023, as previously reported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34,311,133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155,630</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7,097,070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36,074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(108,887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       </w:t>
            </w: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(72,785</w:t>
            </w:r>
          </w:p>
        </w:tc>
        <w:tc>
          <w:tcPr>
            <w:tcW w:w="75" w:type="dxa"/>
            <w:tcBorders/>
            <w:shd w:fill="CCEEFF" w:val="clear"/>
            <w:vAlign w:val="center"/>
          </w:tcPr>
          <w:p>
            <w:pPr>
              <w:pStyle w:val="TableContents"/>
              <w:bidi w:val="0"/>
              <w:spacing w:before="0" w:after="283"/>
              <w:ind w:left="0" w:right="0" w:hanging="200"/>
              <w:jc w:val="left"/>
              <w:rPr/>
            </w:pPr>
            <w:r>
              <w:rPr/>
              <w:t>)</w:t>
            </w:r>
          </w:p>
        </w:tc>
      </w:tr>
      <w:tr>
        <w:trPr/>
        <w:tc>
          <w:tcPr>
            <w:tcW w:w="1460" w:type="dxa"/>
            <w:tcBorders/>
            <w:vAlign w:val="center"/>
          </w:tcPr>
          <w:p>
            <w:pPr>
              <w:pStyle w:val="TableContents"/>
              <w:bidi w:val="0"/>
              <w:spacing w:before="0" w:after="283"/>
              <w:jc w:val="left"/>
              <w:rPr/>
            </w:pPr>
            <w:r>
              <w:rPr/>
              <w:t>Retroactive application of recapitalization</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(34,311,133</w:t>
            </w:r>
          </w:p>
        </w:tc>
        <w:tc>
          <w:tcPr>
            <w:tcW w:w="99"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tcMar>
              <w:bottom w:w="28" w:type="dxa"/>
            </w:tcMar>
            <w:vAlign w:val="center"/>
          </w:tcPr>
          <w:p>
            <w:pPr>
              <w:pStyle w:val="TableContents"/>
              <w:bidi w:val="0"/>
              <w:spacing w:before="0" w:after="283"/>
              <w:jc w:val="right"/>
              <w:rPr/>
            </w:pPr>
            <w:r>
              <w:rPr/>
              <w:t>(155,630</w:t>
            </w:r>
          </w:p>
        </w:tc>
        <w:tc>
          <w:tcPr>
            <w:tcW w:w="95" w:type="dxa"/>
            <w:tcBorders>
              <w:right w:val="single" w:sz="12"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12,901,743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tcMar>
              <w:bottom w:w="28" w:type="dxa"/>
            </w:tcMar>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tcMar>
              <w:bottom w:w="28" w:type="dxa"/>
            </w:tcMar>
            <w:vAlign w:val="center"/>
          </w:tcPr>
          <w:p>
            <w:pPr>
              <w:pStyle w:val="TableContents"/>
              <w:bidi w:val="0"/>
              <w:spacing w:before="0" w:after="283"/>
              <w:jc w:val="right"/>
              <w:rPr/>
            </w:pPr>
            <w:r>
              <w:rPr/>
              <w:t>155,627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155,630</w:t>
            </w:r>
          </w:p>
        </w:tc>
        <w:tc>
          <w:tcPr>
            <w:tcW w:w="75" w:type="dxa"/>
            <w:tcBorders/>
            <w:vAlign w:val="center"/>
          </w:tcPr>
          <w:p>
            <w:pPr>
              <w:pStyle w:val="TableContents"/>
              <w:bidi w:val="0"/>
              <w:spacing w:before="0" w:after="283"/>
              <w:ind w:left="0" w:right="0" w:hanging="200"/>
              <w:jc w:val="left"/>
              <w:rPr/>
            </w:pPr>
            <w:r>
              <w:rPr/>
              <w:t> </w:t>
            </w:r>
          </w:p>
        </w:tc>
      </w:tr>
      <w:tr>
        <w:trPr/>
        <w:tc>
          <w:tcPr>
            <w:tcW w:w="1460" w:type="dxa"/>
            <w:tcBorders/>
            <w:shd w:fill="CCEEFF" w:val="clear"/>
            <w:vAlign w:val="center"/>
          </w:tcPr>
          <w:p>
            <w:pPr>
              <w:pStyle w:val="TableContents"/>
              <w:bidi w:val="0"/>
              <w:spacing w:before="0" w:after="283"/>
              <w:jc w:val="left"/>
              <w:rPr/>
            </w:pPr>
            <w:r>
              <w:rPr/>
              <w:t>Balance as of April 3, 2023, as adjusted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0"/>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19,998,813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191,701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(108,887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82,845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60" w:type="dxa"/>
            <w:tcBorders/>
            <w:vAlign w:val="center"/>
          </w:tcPr>
          <w:p>
            <w:pPr>
              <w:pStyle w:val="TableContents"/>
              <w:bidi w:val="0"/>
              <w:spacing w:before="0" w:after="283"/>
              <w:jc w:val="left"/>
              <w:rPr/>
            </w:pPr>
            <w:r>
              <w:rPr/>
              <w:t>Exercise of common stock options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ind w:left="0" w:right="0" w:hanging="200"/>
              <w:jc w:val="left"/>
              <w:rPr/>
            </w:pPr>
            <w:r>
              <w:rPr/>
              <w:t> </w:t>
            </w:r>
          </w:p>
        </w:tc>
      </w:tr>
      <w:tr>
        <w:trPr/>
        <w:tc>
          <w:tcPr>
            <w:tcW w:w="146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 </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1,020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60" w:type="dxa"/>
            <w:tcBorders/>
            <w:vAlign w:val="center"/>
          </w:tcPr>
          <w:p>
            <w:pPr>
              <w:pStyle w:val="TableContents"/>
              <w:bidi w:val="0"/>
              <w:spacing w:before="0" w:after="283"/>
              <w:jc w:val="left"/>
              <w:rPr/>
            </w:pPr>
            <w:r>
              <w:rPr/>
              <w:t>Foreign currency translation adjustment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ind w:left="0" w:right="0" w:hanging="200"/>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(11,510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(11,510</w:t>
            </w:r>
          </w:p>
        </w:tc>
        <w:tc>
          <w:tcPr>
            <w:tcW w:w="75" w:type="dxa"/>
            <w:tcBorders/>
            <w:shd w:fill="CCEEFF" w:val="clear"/>
            <w:vAlign w:val="center"/>
          </w:tcPr>
          <w:p>
            <w:pPr>
              <w:pStyle w:val="TableContents"/>
              <w:bidi w:val="0"/>
              <w:spacing w:before="0" w:after="283"/>
              <w:ind w:left="0" w:right="0" w:hanging="200"/>
              <w:jc w:val="left"/>
              <w:rPr/>
            </w:pPr>
            <w:r>
              <w:rPr/>
              <w:t>)</w:t>
            </w:r>
          </w:p>
        </w:tc>
      </w:tr>
      <w:tr>
        <w:trPr/>
        <w:tc>
          <w:tcPr>
            <w:tcW w:w="1460" w:type="dxa"/>
            <w:tcBorders/>
            <w:vAlign w:val="center"/>
          </w:tcPr>
          <w:p>
            <w:pPr>
              <w:pStyle w:val="TableContents"/>
              <w:bidi w:val="0"/>
              <w:spacing w:before="0" w:after="283"/>
              <w:jc w:val="left"/>
              <w:rPr>
                <w:b/>
              </w:rPr>
            </w:pPr>
            <w:r>
              <w:rPr>
                <w:b/>
              </w:rPr>
              <w:t>Balance as of July 2, 2023, as adjusted</w:t>
            </w:r>
          </w:p>
        </w:tc>
        <w:tc>
          <w:tcPr>
            <w:tcW w:w="60" w:type="dxa"/>
            <w:tcBorders/>
            <w:vAlign w:val="center"/>
          </w:tcPr>
          <w:p>
            <w:pPr>
              <w:pStyle w:val="TableContents"/>
              <w:bidi w:val="0"/>
              <w:spacing w:before="0" w:after="283"/>
              <w:jc w:val="left"/>
              <w:rPr/>
            </w:pPr>
            <w:r>
              <w:rPr/>
              <w:t> </w:t>
            </w:r>
          </w:p>
        </w:tc>
        <w:tc>
          <w:tcPr>
            <w:tcW w:w="62"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tcMar>
              <w:bottom w:w="28" w:type="dxa"/>
            </w:tcMar>
            <w:vAlign w:val="center"/>
          </w:tcPr>
          <w:p>
            <w:pPr>
              <w:pStyle w:val="TableContents"/>
              <w:bidi w:val="0"/>
              <w:spacing w:before="0" w:after="0"/>
              <w:jc w:val="right"/>
              <w:rPr/>
            </w:pPr>
            <w:r>
              <w:rPr/>
              <w:t>—</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19,999,720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tcMar>
              <w:bottom w:w="28" w:type="dxa"/>
            </w:tcMar>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10" w:space="0" w:color="000000"/>
            </w:tcBorders>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tcMar>
              <w:bottom w:w="28" w:type="dxa"/>
            </w:tcMar>
            <w:vAlign w:val="center"/>
          </w:tcPr>
          <w:p>
            <w:pPr>
              <w:pStyle w:val="TableContents"/>
              <w:bidi w:val="0"/>
              <w:spacing w:before="0" w:after="283"/>
              <w:jc w:val="right"/>
              <w:rPr/>
            </w:pPr>
            <w:r>
              <w:rPr/>
              <w:t>192,723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tcMar>
              <w:bottom w:w="28" w:type="dxa"/>
            </w:tcMar>
            <w:vAlign w:val="center"/>
          </w:tcPr>
          <w:p>
            <w:pPr>
              <w:pStyle w:val="TableContents"/>
              <w:bidi w:val="0"/>
              <w:spacing w:before="0" w:after="283"/>
              <w:jc w:val="right"/>
              <w:rPr/>
            </w:pPr>
            <w:r>
              <w:rPr/>
              <w:t>(120,397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4" w:type="dxa"/>
            <w:tcBorders>
              <w:bottom w:val="double" w:sz="10" w:space="0" w:color="000000"/>
            </w:tcBorders>
            <w:tcMar>
              <w:bottom w:w="28" w:type="dxa"/>
            </w:tcMar>
            <w:vAlign w:val="center"/>
          </w:tcPr>
          <w:p>
            <w:pPr>
              <w:pStyle w:val="TableContents"/>
              <w:bidi w:val="0"/>
              <w:spacing w:before="0" w:after="283"/>
              <w:jc w:val="left"/>
              <w:rPr/>
            </w:pPr>
            <w:r>
              <w:rPr/>
              <w:t>$</w:t>
            </w:r>
          </w:p>
        </w:tc>
        <w:tc>
          <w:tcPr>
            <w:tcW w:w="1336" w:type="dxa"/>
            <w:tcBorders>
              <w:bottom w:val="double" w:sz="10" w:space="0" w:color="000000"/>
            </w:tcBorders>
            <w:tcMar>
              <w:bottom w:w="28" w:type="dxa"/>
            </w:tcMar>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72,370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676" w:right="466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Stockholders’ Deficit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2305" w:type="dxa"/>
        <w:jc w:val="left"/>
        <w:tblInd w:w="0" w:type="dxa"/>
        <w:tblLayout w:type="fixed"/>
        <w:tblCellMar>
          <w:top w:w="0" w:type="dxa"/>
          <w:left w:w="0" w:type="dxa"/>
          <w:bottom w:w="0" w:type="dxa"/>
          <w:right w:w="0" w:type="dxa"/>
        </w:tblCellMar>
      </w:tblPr>
      <w:tblGrid>
        <w:gridCol w:w="1340"/>
        <w:gridCol w:w="60"/>
        <w:gridCol w:w="105"/>
        <w:gridCol w:w="981"/>
        <w:gridCol w:w="105"/>
        <w:gridCol w:w="105"/>
        <w:gridCol w:w="245"/>
        <w:gridCol w:w="984"/>
        <w:gridCol w:w="60"/>
        <w:gridCol w:w="60"/>
        <w:gridCol w:w="60"/>
        <w:gridCol w:w="1100"/>
        <w:gridCol w:w="60"/>
        <w:gridCol w:w="60"/>
        <w:gridCol w:w="172"/>
        <w:gridCol w:w="688"/>
        <w:gridCol w:w="60"/>
        <w:gridCol w:w="60"/>
        <w:gridCol w:w="163"/>
        <w:gridCol w:w="937"/>
        <w:gridCol w:w="60"/>
        <w:gridCol w:w="60"/>
        <w:gridCol w:w="188"/>
        <w:gridCol w:w="1182"/>
        <w:gridCol w:w="95"/>
        <w:gridCol w:w="60"/>
        <w:gridCol w:w="274"/>
        <w:gridCol w:w="1336"/>
        <w:gridCol w:w="60"/>
        <w:gridCol w:w="60"/>
        <w:gridCol w:w="221"/>
        <w:gridCol w:w="1194"/>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9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For the Twenty-Six Weeks Ended June 30, 2024</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Redeemable Convertible</w:t>
              <w:br/>
              <w:t>Preferred Stock</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Total</w:t>
              <w:br/>
              <w:t>Stockholders’</w:t>
              <w:b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0"/>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49,065,361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277,965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(354,928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     </w:t>
            </w:r>
            <w:r>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(76,813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vAlign w:val="center"/>
          </w:tcPr>
          <w:p>
            <w:pPr>
              <w:pStyle w:val="TableContents"/>
              <w:bidi w:val="0"/>
              <w:spacing w:before="0" w:after="283"/>
              <w:jc w:val="left"/>
              <w:rPr/>
            </w:pPr>
            <w:r>
              <w:rPr/>
              <w:t>Exercise of common stock options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90,037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60</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2,570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Issuance of common stock warrants for services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1,420</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upon conversion of SAFEs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6,250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(25,482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(25,482</w:t>
            </w:r>
          </w:p>
        </w:tc>
        <w:tc>
          <w:tcPr>
            <w:tcW w:w="110" w:type="dxa"/>
            <w:tcBorders/>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b/>
              </w:rPr>
            </w:pPr>
            <w:r>
              <w:rPr>
                <w:b/>
              </w:rPr>
              <w:t>Balance as of June 30, 2024</w:t>
            </w:r>
          </w:p>
        </w:tc>
        <w:tc>
          <w:tcPr>
            <w:tcW w:w="60" w:type="dxa"/>
            <w:tcBorders/>
            <w:vAlign w:val="center"/>
          </w:tcPr>
          <w:p>
            <w:pPr>
              <w:pStyle w:val="TableContents"/>
              <w:bidi w:val="0"/>
              <w:spacing w:before="0" w:after="283"/>
              <w:jc w:val="left"/>
              <w:rPr/>
            </w:pPr>
            <w:r>
              <w:rPr/>
              <w:t> </w:t>
            </w:r>
          </w:p>
        </w:tc>
        <w:tc>
          <w:tcPr>
            <w:tcW w:w="105" w:type="dxa"/>
            <w:tcBorders>
              <w:bottom w:val="double" w:sz="10" w:space="0" w:color="000000"/>
            </w:tcBorders>
            <w:tcMar>
              <w:bottom w:w="28" w:type="dxa"/>
            </w:tcMar>
            <w:vAlign w:val="center"/>
          </w:tcPr>
          <w:p>
            <w:pPr>
              <w:pStyle w:val="TableContents"/>
              <w:bidi w:val="0"/>
              <w:spacing w:before="0" w:after="283"/>
              <w:jc w:val="left"/>
              <w:rPr/>
            </w:pPr>
            <w:r>
              <w:rPr/>
              <w:t> </w:t>
            </w:r>
          </w:p>
        </w:tc>
        <w:tc>
          <w:tcPr>
            <w:tcW w:w="981" w:type="dxa"/>
            <w:tcBorders>
              <w:bottom w:val="double" w:sz="10" w:space="0" w:color="000000"/>
            </w:tcBorders>
            <w:tcMar>
              <w:bottom w:w="28" w:type="dxa"/>
            </w:tcMar>
            <w:vAlign w:val="center"/>
          </w:tcPr>
          <w:p>
            <w:pPr>
              <w:pStyle w:val="TableContents"/>
              <w:bidi w:val="0"/>
              <w:spacing w:before="0" w:after="0"/>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984"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63,044,287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tcMar>
              <w:bottom w:w="28" w:type="dxa"/>
            </w:tcMar>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10" w:space="0" w:color="000000"/>
            </w:tcBorders>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tcMar>
              <w:bottom w:w="28" w:type="dxa"/>
            </w:tcMar>
            <w:vAlign w:val="center"/>
          </w:tcPr>
          <w:p>
            <w:pPr>
              <w:pStyle w:val="TableContents"/>
              <w:bidi w:val="0"/>
              <w:spacing w:before="0" w:after="283"/>
              <w:jc w:val="right"/>
              <w:rPr/>
            </w:pPr>
            <w:r>
              <w:rPr/>
              <w:t>288,259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tcMar>
              <w:bottom w:w="28" w:type="dxa"/>
            </w:tcMar>
            <w:vAlign w:val="center"/>
          </w:tcPr>
          <w:p>
            <w:pPr>
              <w:pStyle w:val="TableContents"/>
              <w:bidi w:val="0"/>
              <w:spacing w:before="0" w:after="283"/>
              <w:jc w:val="right"/>
              <w:rPr/>
            </w:pPr>
            <w:r>
              <w:rPr/>
              <w:t>(380,410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4" w:type="dxa"/>
            <w:tcBorders>
              <w:bottom w:val="double" w:sz="10" w:space="0" w:color="000000"/>
            </w:tcBorders>
            <w:tcMar>
              <w:bottom w:w="28" w:type="dxa"/>
            </w:tcMar>
            <w:vAlign w:val="center"/>
          </w:tcPr>
          <w:p>
            <w:pPr>
              <w:pStyle w:val="TableContents"/>
              <w:bidi w:val="0"/>
              <w:spacing w:before="0" w:after="283"/>
              <w:jc w:val="left"/>
              <w:rPr/>
            </w:pPr>
            <w:r>
              <w:rPr/>
              <w:t>$</w:t>
            </w:r>
          </w:p>
        </w:tc>
        <w:tc>
          <w:tcPr>
            <w:tcW w:w="1336" w:type="dxa"/>
            <w:tcBorders>
              <w:bottom w:val="double" w:sz="10" w:space="0" w:color="000000"/>
            </w:tcBorders>
            <w:tcMar>
              <w:bottom w:w="28" w:type="dxa"/>
            </w:tcMar>
            <w:vAlign w:val="center"/>
          </w:tcPr>
          <w:p>
            <w:pPr>
              <w:pStyle w:val="TableContents"/>
              <w:bidi w:val="0"/>
              <w:spacing w:before="0" w:after="283"/>
              <w:jc w:val="right"/>
              <w:rPr/>
            </w:pPr>
            <w:r>
              <w:rPr/>
              <w:t>165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tcMar>
              <w:bottom w:w="28" w:type="dxa"/>
            </w:tcMar>
            <w:vAlign w:val="center"/>
          </w:tcPr>
          <w:p>
            <w:pPr>
              <w:pStyle w:val="TableContents"/>
              <w:bidi w:val="0"/>
              <w:spacing w:before="0" w:after="283"/>
              <w:jc w:val="right"/>
              <w:rPr/>
            </w:pPr>
            <w:r>
              <w:rPr/>
              <w:t>(91,973</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2425" w:type="dxa"/>
        <w:jc w:val="left"/>
        <w:tblInd w:w="0" w:type="dxa"/>
        <w:tblLayout w:type="fixed"/>
        <w:tblCellMar>
          <w:top w:w="0" w:type="dxa"/>
          <w:left w:w="0" w:type="dxa"/>
          <w:bottom w:w="0" w:type="dxa"/>
          <w:right w:w="0" w:type="dxa"/>
        </w:tblCellMar>
      </w:tblPr>
      <w:tblGrid>
        <w:gridCol w:w="1460"/>
        <w:gridCol w:w="60"/>
        <w:gridCol w:w="62"/>
        <w:gridCol w:w="1233"/>
        <w:gridCol w:w="99"/>
        <w:gridCol w:w="62"/>
        <w:gridCol w:w="146"/>
        <w:gridCol w:w="923"/>
        <w:gridCol w:w="95"/>
        <w:gridCol w:w="60"/>
        <w:gridCol w:w="60"/>
        <w:gridCol w:w="1100"/>
        <w:gridCol w:w="60"/>
        <w:gridCol w:w="60"/>
        <w:gridCol w:w="172"/>
        <w:gridCol w:w="688"/>
        <w:gridCol w:w="60"/>
        <w:gridCol w:w="60"/>
        <w:gridCol w:w="163"/>
        <w:gridCol w:w="937"/>
        <w:gridCol w:w="60"/>
        <w:gridCol w:w="60"/>
        <w:gridCol w:w="188"/>
        <w:gridCol w:w="1182"/>
        <w:gridCol w:w="95"/>
        <w:gridCol w:w="60"/>
        <w:gridCol w:w="322"/>
        <w:gridCol w:w="1288"/>
        <w:gridCol w:w="60"/>
        <w:gridCol w:w="60"/>
        <w:gridCol w:w="210"/>
        <w:gridCol w:w="1205"/>
        <w:gridCol w:w="75"/>
      </w:tblGrid>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30"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For the Twenty-Six Weeks Ended July 2, 2023</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Redeemable Convertible </w:t>
              <w:br/>
              <w:t>Preferred Stock</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 xml:space="preserve">Accumulated </w:t>
              <w:br/>
              <w:t xml:space="preserve">Other </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 xml:space="preserve">Total </w:t>
              <w:br/>
              <w:t xml:space="preserve">Stockholders’ </w:t>
              <w:br/>
              <w:t>(Deficit)</w:t>
            </w:r>
          </w:p>
        </w:tc>
        <w:tc>
          <w:tcPr>
            <w:tcW w:w="7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as of January 1, 2023, as previously reported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34,311,133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155,630</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6,959,618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34,997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(85,373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     </w:t>
            </w: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(50,349</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Retroactive application of recapitalization</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(34,311,133</w:t>
            </w:r>
          </w:p>
        </w:tc>
        <w:tc>
          <w:tcPr>
            <w:tcW w:w="99"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tcMar>
              <w:bottom w:w="28" w:type="dxa"/>
            </w:tcMar>
            <w:vAlign w:val="center"/>
          </w:tcPr>
          <w:p>
            <w:pPr>
              <w:pStyle w:val="TableContents"/>
              <w:bidi w:val="0"/>
              <w:spacing w:before="0" w:after="283"/>
              <w:jc w:val="right"/>
              <w:rPr/>
            </w:pPr>
            <w:r>
              <w:rPr/>
              <w:t>(155,630</w:t>
            </w:r>
          </w:p>
        </w:tc>
        <w:tc>
          <w:tcPr>
            <w:tcW w:w="95" w:type="dxa"/>
            <w:tcBorders>
              <w:right w:val="single" w:sz="12"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12,972,811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tcMar>
              <w:bottom w:w="28" w:type="dxa"/>
            </w:tcMar>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tcMar>
              <w:bottom w:w="28" w:type="dxa"/>
            </w:tcMar>
            <w:vAlign w:val="center"/>
          </w:tcPr>
          <w:p>
            <w:pPr>
              <w:pStyle w:val="TableContents"/>
              <w:bidi w:val="0"/>
              <w:spacing w:before="0" w:after="283"/>
              <w:jc w:val="right"/>
              <w:rPr/>
            </w:pPr>
            <w:r>
              <w:rPr/>
              <w:t>155,627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155,630</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Balance as of January 1, 2023, as adjusted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0"/>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19,932,429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190,624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(85,373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105,281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Exercise of common stock options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67,291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Foreign currency translation adjustment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(35,024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(35,024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b/>
              </w:rPr>
            </w:pPr>
            <w:r>
              <w:rPr>
                <w:b/>
              </w:rPr>
              <w:t>Balance as of July 2, 2023, as adjusted</w:t>
            </w:r>
          </w:p>
        </w:tc>
        <w:tc>
          <w:tcPr>
            <w:tcW w:w="60" w:type="dxa"/>
            <w:tcBorders/>
            <w:vAlign w:val="center"/>
          </w:tcPr>
          <w:p>
            <w:pPr>
              <w:pStyle w:val="TableContents"/>
              <w:bidi w:val="0"/>
              <w:spacing w:before="0" w:after="283"/>
              <w:jc w:val="left"/>
              <w:rPr/>
            </w:pPr>
            <w:r>
              <w:rPr/>
              <w:t> </w:t>
            </w:r>
          </w:p>
        </w:tc>
        <w:tc>
          <w:tcPr>
            <w:tcW w:w="62"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tcMar>
              <w:bottom w:w="28" w:type="dxa"/>
            </w:tcMar>
            <w:vAlign w:val="center"/>
          </w:tcPr>
          <w:p>
            <w:pPr>
              <w:pStyle w:val="TableContents"/>
              <w:bidi w:val="0"/>
              <w:spacing w:before="0" w:after="0"/>
              <w:jc w:val="right"/>
              <w:rPr/>
            </w:pPr>
            <w:r>
              <w:rPr/>
              <w:t>—</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19,999,720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tcMar>
              <w:bottom w:w="28" w:type="dxa"/>
            </w:tcMar>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10" w:space="0" w:color="000000"/>
            </w:tcBorders>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tcMar>
              <w:bottom w:w="28" w:type="dxa"/>
            </w:tcMar>
            <w:vAlign w:val="center"/>
          </w:tcPr>
          <w:p>
            <w:pPr>
              <w:pStyle w:val="TableContents"/>
              <w:bidi w:val="0"/>
              <w:spacing w:before="0" w:after="283"/>
              <w:jc w:val="right"/>
              <w:rPr/>
            </w:pPr>
            <w:r>
              <w:rPr/>
              <w:t>192,723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tcMar>
              <w:bottom w:w="28" w:type="dxa"/>
            </w:tcMar>
            <w:vAlign w:val="center"/>
          </w:tcPr>
          <w:p>
            <w:pPr>
              <w:pStyle w:val="TableContents"/>
              <w:bidi w:val="0"/>
              <w:spacing w:before="0" w:after="283"/>
              <w:jc w:val="right"/>
              <w:rPr/>
            </w:pPr>
            <w:r>
              <w:rPr/>
              <w:t>(120,397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2" w:type="dxa"/>
            <w:tcBorders>
              <w:bottom w:val="double" w:sz="10" w:space="0" w:color="000000"/>
            </w:tcBorders>
            <w:tcMar>
              <w:bottom w:w="28" w:type="dxa"/>
            </w:tcMar>
            <w:vAlign w:val="center"/>
          </w:tcPr>
          <w:p>
            <w:pPr>
              <w:pStyle w:val="TableContents"/>
              <w:bidi w:val="0"/>
              <w:spacing w:before="0" w:after="283"/>
              <w:jc w:val="left"/>
              <w:rPr/>
            </w:pPr>
            <w:r>
              <w:rPr/>
              <w:t>$</w:t>
            </w:r>
          </w:p>
        </w:tc>
        <w:tc>
          <w:tcPr>
            <w:tcW w:w="1288" w:type="dxa"/>
            <w:tcBorders>
              <w:bottom w:val="double" w:sz="10" w:space="0" w:color="000000"/>
            </w:tcBorders>
            <w:tcMar>
              <w:bottom w:w="28" w:type="dxa"/>
            </w:tcMar>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72,370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676" w:right="4669"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3780" w:right="407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30"/>
        <w:gridCol w:w="60"/>
        <w:gridCol w:w="308"/>
        <w:gridCol w:w="1664"/>
        <w:gridCol w:w="95"/>
        <w:gridCol w:w="60"/>
        <w:gridCol w:w="372"/>
        <w:gridCol w:w="2020"/>
        <w:gridCol w:w="96"/>
      </w:tblGrid>
      <w:tr>
        <w:trPr/>
        <w:tc>
          <w:tcPr>
            <w:tcW w:w="55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Twenty-Six Weeks Ended </w:t>
              <w:br/>
              <w:t xml:space="preserve">June 30,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Twenty-Six- Weeks Ended July 2,</w:t>
              <w:br/>
              <w:t>2023</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197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2"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(25,482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w:t>
            </w:r>
          </w:p>
        </w:tc>
        <w:tc>
          <w:tcPr>
            <w:tcW w:w="2020" w:type="dxa"/>
            <w:tcBorders/>
            <w:shd w:fill="CCEEFF" w:val="clear"/>
            <w:vAlign w:val="center"/>
          </w:tcPr>
          <w:p>
            <w:pPr>
              <w:pStyle w:val="TableContents"/>
              <w:bidi w:val="0"/>
              <w:spacing w:before="0" w:after="283"/>
              <w:jc w:val="right"/>
              <w:rPr/>
            </w:pPr>
            <w:r>
              <w:rPr/>
              <w:t>(35,024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Loss from discontinued operations, net of income taxes</w:t>
            </w:r>
          </w:p>
        </w:tc>
        <w:tc>
          <w:tcPr>
            <w:tcW w:w="60" w:type="dxa"/>
            <w:tcBorders/>
            <w:vAlign w:val="center"/>
          </w:tcPr>
          <w:p>
            <w:pPr>
              <w:pStyle w:val="TableContents"/>
              <w:bidi w:val="0"/>
              <w:spacing w:before="0" w:after="283"/>
              <w:jc w:val="left"/>
              <w:rPr/>
            </w:pPr>
            <w:r>
              <w:rPr/>
              <w:t> </w:t>
            </w:r>
          </w:p>
        </w:tc>
        <w:tc>
          <w:tcPr>
            <w:tcW w:w="3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tcMar>
              <w:bottom w:w="28" w:type="dxa"/>
            </w:tcMar>
            <w:vAlign w:val="center"/>
          </w:tcPr>
          <w:p>
            <w:pPr>
              <w:pStyle w:val="TableContents"/>
              <w:bidi w:val="0"/>
              <w:spacing w:before="0" w:after="283"/>
              <w:jc w:val="right"/>
              <w:rPr/>
            </w:pPr>
            <w:r>
              <w:rPr/>
              <w:t>(12,549</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(23,475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(22,475</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Adjustments to reconcile net loss from continuing operations to net cash used in operating activities: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742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Non-cash interest expense</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2,020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3,669</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484</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Loss on conversion of SAFE Agreements to shares of common stock</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1,250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Non-cash expense in connection with warrants issued for vendor services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686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403</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4,698</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Change in reserve for excess and obsolete inventory</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(1,228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1,366</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Change in fair value of 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Change in fair value of warrant liabilities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(2,625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(9,416</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pPr>
            <w:r>
              <w:rPr/>
              <w:t>Accretion of debt in CS Solis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1,508</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Changes in operating assets and liabilities: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12,378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(8,033</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Inventories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2,311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(1,856</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(2,687</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Other noncurrent assets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(4,030</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4,785</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Accrued expenses and other current liabilities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(6,051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3,368</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(240</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Warranty provision, noncurrent</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20</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shd w:fill="CCEEFF" w:val="clear"/>
            <w:tcMar>
              <w:bottom w:w="28" w:type="dxa"/>
            </w:tcMar>
            <w:vAlign w:val="center"/>
          </w:tcPr>
          <w:p>
            <w:pPr>
              <w:pStyle w:val="TableContents"/>
              <w:bidi w:val="0"/>
              <w:spacing w:before="0" w:after="283"/>
              <w:jc w:val="right"/>
              <w:rPr/>
            </w:pPr>
            <w:r>
              <w:rPr/>
              <w:t>(1,176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Net cash used in operating activities from continuing operations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(7,637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(27,783</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pPr>
            <w:r>
              <w:rPr/>
              <w:t>Net cash provided by operating activities from discontinued operations</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shd w:fill="CCEEFF" w:val="clear"/>
            <w:tcMar>
              <w:bottom w:w="28" w:type="dxa"/>
            </w:tcMar>
            <w:vAlign w:val="center"/>
          </w:tcPr>
          <w:p>
            <w:pPr>
              <w:pStyle w:val="TableContents"/>
              <w:bidi w:val="0"/>
              <w:spacing w:before="0" w:after="283"/>
              <w:jc w:val="right"/>
              <w:rPr/>
            </w:pPr>
            <w:r>
              <w:rPr/>
              <w:t>963</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Net cash used in operating activities</w:t>
            </w:r>
          </w:p>
        </w:tc>
        <w:tc>
          <w:tcPr>
            <w:tcW w:w="60" w:type="dxa"/>
            <w:tcBorders/>
            <w:vAlign w:val="center"/>
          </w:tcPr>
          <w:p>
            <w:pPr>
              <w:pStyle w:val="TableContents"/>
              <w:bidi w:val="0"/>
              <w:spacing w:before="0" w:after="283"/>
              <w:jc w:val="left"/>
              <w:rPr/>
            </w:pPr>
            <w:r>
              <w:rPr/>
              <w:t> </w:t>
            </w:r>
          </w:p>
        </w:tc>
        <w:tc>
          <w:tcPr>
            <w:tcW w:w="3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tcMar>
              <w:bottom w:w="28" w:type="dxa"/>
            </w:tcMar>
            <w:vAlign w:val="center"/>
          </w:tcPr>
          <w:p>
            <w:pPr>
              <w:pStyle w:val="TableContents"/>
              <w:bidi w:val="0"/>
              <w:spacing w:before="0" w:after="283"/>
              <w:jc w:val="right"/>
              <w:rPr/>
            </w:pPr>
            <w:r>
              <w:rPr/>
              <w:t>(7,637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tcMar>
              <w:bottom w:w="28" w:type="dxa"/>
            </w:tcMar>
            <w:vAlign w:val="center"/>
          </w:tcPr>
          <w:p>
            <w:pPr>
              <w:pStyle w:val="TableContents"/>
              <w:bidi w:val="0"/>
              <w:spacing w:before="0" w:after="283"/>
              <w:jc w:val="right"/>
              <w:rPr/>
            </w:pPr>
            <w:r>
              <w:rPr/>
              <w:t>(26,820</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b/>
              </w:rPr>
            </w:pPr>
            <w:r>
              <w:rPr>
                <w:b/>
              </w:rPr>
              <w:t>Cash flows from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Purchase of property and equipment</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(30</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pPr>
            <w:r>
              <w:rPr/>
              <w:t>Capitalization of internal-use software costs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(975</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Proceeds from sale of property and equipment</w:t>
            </w:r>
          </w:p>
        </w:tc>
        <w:tc>
          <w:tcPr>
            <w:tcW w:w="60" w:type="dxa"/>
            <w:tcBorders/>
            <w:vAlign w:val="center"/>
          </w:tcPr>
          <w:p>
            <w:pPr>
              <w:pStyle w:val="TableContents"/>
              <w:bidi w:val="0"/>
              <w:spacing w:before="0" w:after="283"/>
              <w:jc w:val="left"/>
              <w:rPr/>
            </w:pPr>
            <w:r>
              <w:rPr/>
              <w:t> </w:t>
            </w:r>
          </w:p>
        </w:tc>
        <w:tc>
          <w:tcPr>
            <w:tcW w:w="3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tcMar>
              <w:bottom w:w="28" w:type="dxa"/>
            </w:tcMar>
            <w:vAlign w:val="center"/>
          </w:tcPr>
          <w:p>
            <w:pPr>
              <w:pStyle w:val="TableContents"/>
              <w:bidi w:val="0"/>
              <w:spacing w:before="0" w:after="283"/>
              <w:jc w:val="right"/>
              <w:rPr/>
            </w:pPr>
            <w:r>
              <w:rPr/>
              <w:t>1</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Net cash used in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shd w:fill="CCEEFF" w:val="clear"/>
            <w:tcMar>
              <w:bottom w:w="28" w:type="dxa"/>
            </w:tcMar>
            <w:vAlign w:val="center"/>
          </w:tcPr>
          <w:p>
            <w:pPr>
              <w:pStyle w:val="TableContents"/>
              <w:bidi w:val="0"/>
              <w:spacing w:before="0" w:after="283"/>
              <w:jc w:val="right"/>
              <w:rPr/>
            </w:pPr>
            <w:r>
              <w:rPr/>
              <w:t>(1,004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b/>
              </w:rPr>
            </w:pPr>
            <w:r>
              <w:rPr>
                <w:b/>
              </w:rPr>
              <w:t>Cash flows from financing activities from continuing operations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Proceeds from issuance of notes payable, net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14,102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Principal repayment of notes payable</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(300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(9,603</w:t>
            </w:r>
          </w:p>
        </w:tc>
        <w:tc>
          <w:tcPr>
            <w:tcW w:w="96" w:type="dxa"/>
            <w:tcBorders/>
            <w:vAlign w:val="center"/>
          </w:tcPr>
          <w:p>
            <w:pPr>
              <w:pStyle w:val="TableContents"/>
              <w:bidi w:val="0"/>
              <w:spacing w:before="0" w:after="283"/>
              <w:ind w:left="0" w:right="0" w:hanging="180"/>
              <w:jc w:val="left"/>
              <w:rPr/>
            </w:pPr>
            <w:r>
              <w:rPr/>
              <w:t>)</w:t>
            </w:r>
          </w:p>
        </w:tc>
      </w:tr>
      <w:tr>
        <w:trPr/>
        <w:tc>
          <w:tcPr>
            <w:tcW w:w="5530" w:type="dxa"/>
            <w:tcBorders/>
            <w:shd w:fill="CCEEFF" w:val="clear"/>
            <w:vAlign w:val="center"/>
          </w:tcPr>
          <w:p>
            <w:pPr>
              <w:pStyle w:val="TableContents"/>
              <w:bidi w:val="0"/>
              <w:spacing w:before="0" w:after="283"/>
              <w:jc w:val="left"/>
              <w:rPr/>
            </w:pPr>
            <w:r>
              <w:rPr/>
              <w:t>Proceeds from issuance of convertible notes, net of issuance cost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21,250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Proceeds from exercise of common stock options</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57</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Investor financing deposit – related party</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Proceeds from issuance of SAFE agreements</w:t>
            </w:r>
          </w:p>
        </w:tc>
        <w:tc>
          <w:tcPr>
            <w:tcW w:w="60" w:type="dxa"/>
            <w:tcBorders/>
            <w:vAlign w:val="center"/>
          </w:tcPr>
          <w:p>
            <w:pPr>
              <w:pStyle w:val="TableContents"/>
              <w:bidi w:val="0"/>
              <w:spacing w:before="0" w:after="283"/>
              <w:jc w:val="left"/>
              <w:rPr/>
            </w:pPr>
            <w:r>
              <w:rPr/>
              <w:t> </w:t>
            </w:r>
          </w:p>
        </w:tc>
        <w:tc>
          <w:tcPr>
            <w:tcW w:w="3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tcMar>
              <w:bottom w:w="28" w:type="dxa"/>
            </w:tcMar>
            <w:vAlign w:val="center"/>
          </w:tcPr>
          <w:p>
            <w:pPr>
              <w:pStyle w:val="TableContents"/>
              <w:bidi w:val="0"/>
              <w:spacing w:before="0" w:after="283"/>
              <w:jc w:val="right"/>
              <w:rPr/>
            </w:pPr>
            <w:r>
              <w:rPr/>
              <w:t>6,000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tcMar>
              <w:bottom w:w="28" w:type="dxa"/>
            </w:tcMar>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shd w:fill="CCEEFF" w:val="clear"/>
            <w:tcMar>
              <w:bottom w:w="28" w:type="dxa"/>
            </w:tcMar>
            <w:vAlign w:val="center"/>
          </w:tcPr>
          <w:p>
            <w:pPr>
              <w:pStyle w:val="TableContents"/>
              <w:bidi w:val="0"/>
              <w:spacing w:before="0" w:after="283"/>
              <w:jc w:val="right"/>
              <w:rPr/>
            </w:pPr>
            <w:r>
              <w:rPr/>
              <w:t>7,760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shd w:fill="CCEEFF" w:val="clear"/>
            <w:tcMar>
              <w:bottom w:w="28" w:type="dxa"/>
            </w:tcMar>
            <w:vAlign w:val="center"/>
          </w:tcPr>
          <w:p>
            <w:pPr>
              <w:pStyle w:val="TableContents"/>
              <w:bidi w:val="0"/>
              <w:spacing w:before="0" w:after="283"/>
              <w:jc w:val="right"/>
              <w:rPr/>
            </w:pPr>
            <w:r>
              <w:rPr/>
              <w:t>25,806</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Effect of exchange rate changes</w:t>
            </w:r>
          </w:p>
        </w:tc>
        <w:tc>
          <w:tcPr>
            <w:tcW w:w="60" w:type="dxa"/>
            <w:tcBorders/>
            <w:vAlign w:val="center"/>
          </w:tcPr>
          <w:p>
            <w:pPr>
              <w:pStyle w:val="TableContents"/>
              <w:bidi w:val="0"/>
              <w:spacing w:before="0" w:after="283"/>
              <w:jc w:val="left"/>
              <w:rPr/>
            </w:pPr>
            <w:r>
              <w:rPr/>
              <w:t> </w:t>
            </w:r>
          </w:p>
        </w:tc>
        <w:tc>
          <w:tcPr>
            <w:tcW w:w="3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tcMar>
              <w:bottom w:w="28" w:type="dxa"/>
            </w:tcMar>
            <w:vAlign w:val="center"/>
          </w:tcPr>
          <w:p>
            <w:pPr>
              <w:pStyle w:val="TableContents"/>
              <w:bidi w:val="0"/>
              <w:spacing w:before="0" w:after="283"/>
              <w:jc w:val="right"/>
              <w:rPr/>
            </w:pPr>
            <w:r>
              <w:rPr/>
              <w:t>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tcMar>
              <w:bottom w:w="28" w:type="dxa"/>
            </w:tcMar>
            <w:vAlign w:val="center"/>
          </w:tcPr>
          <w:p>
            <w:pPr>
              <w:pStyle w:val="TableContents"/>
              <w:bidi w:val="0"/>
              <w:spacing w:before="0" w:after="283"/>
              <w:jc w:val="right"/>
              <w:rPr/>
            </w:pPr>
            <w:r>
              <w:rPr/>
              <w:t>14</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(739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(2,004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5530" w:type="dxa"/>
            <w:tcBorders/>
            <w:vAlign w:val="center"/>
          </w:tcPr>
          <w:p>
            <w:pPr>
              <w:pStyle w:val="TableContents"/>
              <w:bidi w:val="0"/>
              <w:spacing w:before="0" w:after="283"/>
              <w:jc w:val="left"/>
              <w:rPr/>
            </w:pPr>
            <w:r>
              <w:rPr/>
              <w:t>Cash, cash equivalents, and restricted cash at beginning of period</w:t>
            </w:r>
          </w:p>
        </w:tc>
        <w:tc>
          <w:tcPr>
            <w:tcW w:w="60" w:type="dxa"/>
            <w:tcBorders/>
            <w:vAlign w:val="center"/>
          </w:tcPr>
          <w:p>
            <w:pPr>
              <w:pStyle w:val="TableContents"/>
              <w:bidi w:val="0"/>
              <w:spacing w:before="0" w:after="283"/>
              <w:jc w:val="left"/>
              <w:rPr/>
            </w:pPr>
            <w:r>
              <w:rPr/>
              <w:t> </w:t>
            </w:r>
          </w:p>
        </w:tc>
        <w:tc>
          <w:tcPr>
            <w:tcW w:w="3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64" w:type="dxa"/>
            <w:tcBorders>
              <w:bottom w:val="single" w:sz="12" w:space="0" w:color="000000"/>
            </w:tcBorders>
            <w:tcMar>
              <w:bottom w:w="28" w:type="dxa"/>
            </w:tcMar>
            <w:vAlign w:val="center"/>
          </w:tcPr>
          <w:p>
            <w:pPr>
              <w:pStyle w:val="TableContents"/>
              <w:bidi w:val="0"/>
              <w:spacing w:before="0" w:after="283"/>
              <w:jc w:val="right"/>
              <w:rPr/>
            </w:pPr>
            <w:r>
              <w:rPr/>
              <w:t>6,416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0" w:type="dxa"/>
            <w:tcBorders>
              <w:bottom w:val="single" w:sz="12" w:space="0" w:color="000000"/>
            </w:tcBorders>
            <w:tcMar>
              <w:bottom w:w="28" w:type="dxa"/>
            </w:tcMar>
            <w:vAlign w:val="center"/>
          </w:tcPr>
          <w:p>
            <w:pPr>
              <w:pStyle w:val="TableContents"/>
              <w:bidi w:val="0"/>
              <w:spacing w:before="0" w:after="283"/>
              <w:jc w:val="right"/>
              <w:rPr/>
            </w:pPr>
            <w:r>
              <w:rPr/>
              <w:t>8,316</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64" w:type="dxa"/>
            <w:tcBorders>
              <w:bottom w:val="double" w:sz="10" w:space="0" w:color="000000"/>
            </w:tcBorders>
            <w:shd w:fill="CCEEFF" w:val="clear"/>
            <w:tcMar>
              <w:bottom w:w="28" w:type="dxa"/>
            </w:tcMar>
            <w:vAlign w:val="center"/>
          </w:tcPr>
          <w:p>
            <w:pPr>
              <w:pStyle w:val="TableContents"/>
              <w:bidi w:val="0"/>
              <w:spacing w:before="0" w:after="283"/>
              <w:jc w:val="right"/>
              <w:rPr/>
            </w:pPr>
            <w:r>
              <w:rPr/>
              <w:t>5,677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20" w:type="dxa"/>
            <w:tcBorders>
              <w:bottom w:val="double" w:sz="10" w:space="0" w:color="000000"/>
            </w:tcBorders>
            <w:shd w:fill="CCEEFF" w:val="clear"/>
            <w:tcMar>
              <w:bottom w:w="28" w:type="dxa"/>
            </w:tcMar>
            <w:vAlign w:val="center"/>
          </w:tcPr>
          <w:p>
            <w:pPr>
              <w:pStyle w:val="TableContents"/>
              <w:bidi w:val="0"/>
              <w:spacing w:before="0" w:after="283"/>
              <w:jc w:val="right"/>
              <w:rPr/>
            </w:pPr>
            <w:r>
              <w:rPr/>
              <w:t>6,312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Cash paid during the period for interest</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2020" w:type="dxa"/>
            <w:tcBorders/>
            <w:vAlign w:val="center"/>
          </w:tcPr>
          <w:p>
            <w:pPr>
              <w:pStyle w:val="TableContents"/>
              <w:bidi w:val="0"/>
              <w:spacing w:before="0" w:after="283"/>
              <w:jc w:val="right"/>
              <w:rPr/>
            </w:pPr>
            <w:r>
              <w:rPr/>
              <w:t>1,789</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2020"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5530" w:type="dxa"/>
            <w:tcBorders/>
            <w:shd w:fill="CCEEFF" w:val="clear"/>
            <w:vAlign w:val="center"/>
          </w:tcPr>
          <w:p>
            <w:pPr>
              <w:pStyle w:val="TableContents"/>
              <w:bidi w:val="0"/>
              <w:spacing w:before="0" w:after="283"/>
              <w:jc w:val="left"/>
              <w:rPr>
                <w:b/>
              </w:rPr>
            </w:pPr>
            <w:r>
              <w:rPr>
                <w:b/>
              </w:rPr>
              <w:t>Supplemental disclosure of 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5530" w:type="dxa"/>
            <w:tcBorders/>
            <w:vAlign w:val="center"/>
          </w:tcPr>
          <w:p>
            <w:pPr>
              <w:pStyle w:val="TableContents"/>
              <w:bidi w:val="0"/>
              <w:spacing w:before="0" w:after="283"/>
              <w:jc w:val="left"/>
              <w:rPr/>
            </w:pPr>
            <w:r>
              <w:rPr/>
              <w:t>Conversion of SAFE Agreements to shares of common stock</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2020" w:type="dxa"/>
            <w:tcBorders/>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jc w:val="left"/>
              <w:rPr/>
            </w:pPr>
            <w:r>
              <w:rPr/>
              <w:t> </w:t>
            </w:r>
          </w:p>
        </w:tc>
      </w:tr>
    </w:tbl>
    <w:p>
      <w:pPr>
        <w:pStyle w:val="TextBody"/>
        <w:bidi w:val="0"/>
        <w:spacing w:before="0" w:after="0"/>
        <w:ind w:left="3780" w:right="407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60"/>
        <w:gridCol w:w="1175"/>
      </w:tblGrid>
      <w:tr>
        <w:trPr/>
        <w:tc>
          <w:tcPr>
            <w:tcW w:w="260" w:type="dxa"/>
            <w:tcBorders/>
            <w:vAlign w:val="center"/>
          </w:tcPr>
          <w:p>
            <w:pPr>
              <w:pStyle w:val="TableContents"/>
              <w:bidi w:val="0"/>
              <w:spacing w:before="0" w:after="283"/>
              <w:jc w:val="left"/>
              <w:rPr>
                <w:b/>
                <w:sz w:val="20"/>
              </w:rPr>
            </w:pPr>
            <w:r>
              <w:rPr>
                <w:b/>
                <w:sz w:val="20"/>
              </w:rPr>
              <w:t>(1)</w:t>
            </w:r>
          </w:p>
        </w:tc>
        <w:tc>
          <w:tcPr>
            <w:tcW w:w="1175" w:type="dxa"/>
            <w:tcBorders/>
            <w:vAlign w:val="center"/>
          </w:tcPr>
          <w:p>
            <w:pPr>
              <w:pStyle w:val="TableContents"/>
              <w:bidi w:val="0"/>
              <w:spacing w:before="0" w:after="283"/>
              <w:jc w:val="left"/>
              <w:rPr>
                <w:b/>
                <w:sz w:val="20"/>
              </w:rPr>
            </w:pPr>
            <w:r>
              <w:rPr>
                <w:b/>
                <w:sz w:val="20"/>
              </w:rPr>
              <w:t>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(the “Company” or “Complete Solaria”) is a residential solar installer headquartered in Fremont, California, which was formed through Complete Solar Holding Corporation’s acquisition of The Solaria Corporation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were transferred to Complete Solar Holdings at their carrying value, and there were no changes to net loss, other comprehensive loss, or any related per share amounts reported in the unaudited condensed consolidated financial statements requiring retrospective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Solaria,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contemplated by the Amended and Restated Business Combination Agreement were consummated on July 18, 2023 (“Closing Date”). Following the consummation of the Merger on the Closing Date, FACT changed its name to “Complete Solaria,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transactions contemplated by the Amended and Restated Business Combination Agreement, FACT effected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 owned subsidiary of FACT (the “First Merger”), and immediately following the First Merger, Complete Solaria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Each share of the Company’s capital stock, inclusive of shares converted from the 2022 Convertible Notes, issued and outstanding immediately prior to the Closing (“Legacy Complete Solaria Capital Stock”) were cancelled and exchanged into an aggregate of 25,494,332 shares of Complete Solaria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Complete Solaria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Each issued and outstanding FACT Class B Ordinary Share converted, on a one-for-one basis, into one share of Complete Solaria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Complete Solar Holdings acquired Solaria and changed its name to Complete Solaria, Inc. On August 18, 2023, the Company entered into a Non-Binding Letter of Intent to sell certain of Complete Solaria’s North American solar panel assets to Maxeon, Inc. (“Maxeon”). In October 2023, the Company completed the sale of its solar panel business to Maxeon. Refer to Note 1(b) – Divestiture and Note 7 –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to Maxeon, pursuant to the terms of the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 As of December 31, 2023, the Company sold all its Maxeon shares and recorded a loss of $4.2 million in its unaudited condensed consolidated statements of operations and comprehensive loss within loss from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divestiture represented a strategic shift in Complete Solaria’s business and qualified as held for sale and as a discontinued operation. Based on the held for sale classification of the assets, the Company reduced the carrying value of the disposal group to its fair value, less its cost to sell and recorded an impairment loss associated with the held for sale intangible assets and goodwill. As a result, the Company classified the results of its solar panel business in discontinued operations in its unaudited condensed consolidated statements of operations and comprehensive loss for all periods presented. The cash flows related to discontinued operations were segregated from continuing operations within the unaudited condensed consolidated statements of cash flows for all periods presented. Unless otherwise noted, discussion within the notes to the unaudited condensed consolidated financial statements relates to continuing operations only and excludes the historical activities of the North American panel business. See Note 7 – Divestiture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incurred recurring losses and negative cash flows from operations. The Company incurred net losses from continuing operations of $13.9 million and $6.8 million, during the thirteen-weeks ended June 30, 2024 and July 2, 2023, respectively, net losses from continuing operations of $23.5 million and $22.5 million, during the twenty-six weeks ended June 30, 2024 and July 2, 2023, respectively, and had an accumulated deficit of $380.4 million and current debt of $67.5 million as of June 30, 2024. The Company had cash and cash equivalents of $1.8 million as of June 30, 2024. The Company believes that its operating losses and negative operating cash flows will continue into the foreseeable future. These conditions raise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plans to obtain additional funding and restructure its current debt, as summarized below under Note 20 – Subsequent Events. Historically, the Company’s activities have been financed through private placements of equity securities, debt and proceeds from the Merger.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entity’s ability to continue as a going concern within one year after the date that these unaudited condensed consolidated financial statements have been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Notices of Delisting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the Company received written notice (“NASDAQ Notice”) from the Nasdaq Stock Market, LLC (“Nasdaq”) notifying the Company that it was not in compliance with the minimum bid price requirement set forth in Nasdaq Listing Rule 5450(a)(1) for continued listing on The Nasdaq Global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Notice does not impact the listing of the Company’s common stock on The Nasdaq Global Market at this time. In accordance with Nasdaq Listing Rule 5810(c)(3)(A), the Company had 180 calendar days to regain compliance with the minimum bid price requirement. To regain compliance, the closing bid price of the Company’s common stock must be at least $1.00 per share for a minimum of ten consecutive business days before October 14, 2024. The Company satisfied this requirement during the thirteen week period ended June 30, 2024. On June 3, 2024, the Company received written notice from the Nasdaq notifying the Company that it had regained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16, 2024, the Company received a letter (“NASDAQ Letter”) from the staff at Nasdaq notifying the Company that, for the 30 consecutive trading days prior to the date of the NASDAQ Letter, the Company’s common stock had traded at a value below the minimum $50,000,000 “Market Value of Listed Securities” (“MVLS”) requirement set forth in Nasdaq Listing Rule 5450(b)(2)(A), which is required for continued listing of the Company’s common stock on The Nasdaq Global Market. The Letter is only a notification of deficiency, not of imminent delisting, and has no current effect on the listing or trading of the Company’s securities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5810(c)(3)(C), the Company has 180 calendar days, or until October 14, 2024, to regain compliance. The NASDAQ Letter notes that to regain compliance, the Company’s common stock must trade at or above a level such that the Company’s MVLS closes at or above $50,000,000 for a minimum of ten consecutive business days during the compliance period, which ends October 14, 2024. The NASDAQ Letter further notes that if the Company is unable to satisfy the MVLS requirement prior to such date, the Company may be eligible to transfer the listing of its securities to The Nasdaq Capital Market (provided that the Company then satisfies the requirements for continued listing on that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by October 14, 2024, Nasdaq staff will provide written notice to the Company that its securities are subject to delisting. At that time, the Company may appeal any such delisting determination to a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monitoring the Company’s MVLS and may, if appropriate, evaluate available options to resolve the deficiency and regain compliance with the MVLS requirement. While the Company is exercising diligent efforts to maintain the listing of its securities on Nasdaq, there can be no assurance that the Company will be able to regain or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4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(2)</w:t>
            </w:r>
          </w:p>
        </w:tc>
        <w:tc>
          <w:tcPr>
            <w:tcW w:w="3755" w:type="dxa"/>
            <w:tcBorders/>
            <w:vAlign w:val="center"/>
          </w:tcPr>
          <w:p>
            <w:pPr>
              <w:pStyle w:val="TableContents"/>
              <w:bidi w:val="0"/>
              <w:spacing w:before="0" w:after="283"/>
              <w:jc w:val="left"/>
              <w:rPr>
                <w:b/>
                <w:sz w:val="20"/>
              </w:rPr>
            </w:pPr>
            <w:r>
              <w:rPr>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245"/>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(a)</w:t>
            </w:r>
          </w:p>
        </w:tc>
        <w:tc>
          <w:tcPr>
            <w:tcW w:w="1790" w:type="dxa"/>
            <w:tcBorders/>
            <w:vAlign w:val="center"/>
          </w:tcPr>
          <w:p>
            <w:pPr>
              <w:pStyle w:val="TableContents"/>
              <w:bidi w:val="0"/>
              <w:spacing w:before="0" w:after="283"/>
              <w:jc w:val="left"/>
              <w:rPr>
                <w:b/>
                <w:i/>
                <w:sz w:val="20"/>
              </w:rPr>
            </w:pPr>
            <w:r>
              <w:rPr>
                <w:b/>
                <w:i/>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and accompanying notes have been prepared in accordance with generally accepted accounting principles in the Unites States of America (“GAAP” or “U.S. GAAP”) and pursuant to the rules and regulations of the Securities and Exchange Commission (“SEC”) and reflect all normal and recurring adjustments that are, in the opinion of management, necessary for a fair presentation of the results for the interim periods presented. The unaudited condensed consolidated financial statements include the accounts of the Company and its wholly-owned subsidiaries. All significant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4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(b)</w:t>
            </w:r>
          </w:p>
        </w:tc>
        <w:tc>
          <w:tcPr>
            <w:tcW w:w="1400" w:type="dxa"/>
            <w:tcBorders/>
            <w:vAlign w:val="center"/>
          </w:tcPr>
          <w:p>
            <w:pPr>
              <w:pStyle w:val="TableContents"/>
              <w:bidi w:val="0"/>
              <w:spacing w:before="0" w:after="283"/>
              <w:jc w:val="left"/>
              <w:rPr>
                <w:b/>
                <w:i/>
                <w:sz w:val="20"/>
              </w:rPr>
            </w:pPr>
            <w:r>
              <w:rPr>
                <w:b/>
                <w:i/>
                <w:sz w:val="20"/>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unaudited condensed consolidated financial statements in conformity with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170"/>
        <w:gridCol w:w="6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sz w:val="20"/>
              </w:rPr>
            </w:pPr>
            <w:r>
              <w:rPr>
                <w:sz w:val="20"/>
              </w:rPr>
              <w:t>The allocation of the transaction price to identified performance obligations;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sz w:val="20"/>
              </w:rPr>
            </w:pPr>
            <w:r>
              <w:rPr>
                <w:sz w:val="20"/>
              </w:rPr>
              <w:t>Fair value of warrant liabilities;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sz w:val="20"/>
              </w:rPr>
            </w:pPr>
            <w:r>
              <w:rPr>
                <w:sz w:val="20"/>
              </w:rPr>
              <w:t>The fair value of the forward purchase agreements;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sz w:val="20"/>
              </w:rPr>
            </w:pPr>
            <w:r>
              <w:rPr>
                <w:sz w:val="20"/>
              </w:rPr>
              <w:t>The reserve methodology for inventory obsolescence;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sz w:val="20"/>
              </w:rPr>
            </w:pPr>
            <w:r>
              <w:rPr>
                <w:sz w:val="20"/>
              </w:rPr>
              <w:t>The reserve methodology for product warranty;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sz w:val="20"/>
              </w:rPr>
            </w:pPr>
            <w:r>
              <w:rPr>
                <w:sz w:val="20"/>
              </w:rPr>
              <w:t>The reserve methodology for the allowance for credit losses;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sz w:val="20"/>
              </w:rPr>
            </w:pPr>
            <w:r>
              <w:rPr>
                <w:sz w:val="20"/>
              </w:rPr>
              <w:t>The measurement of 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there are material differences between these estimates and actual results, the Company’s financial condition or operating results will be affected.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bidi w:val="0"/>
        <w:spacing w:before="0" w:after="0"/>
        <w:ind w:left="0" w:right="0" w:hanging="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23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sz w:val="20"/>
              </w:rPr>
            </w:pPr>
            <w:r>
              <w:rPr>
                <w:b/>
                <w:i/>
                <w:sz w:val="20"/>
              </w:rPr>
              <w:t>(c)</w:t>
            </w:r>
          </w:p>
        </w:tc>
        <w:tc>
          <w:tcPr>
            <w:tcW w:w="1790" w:type="dxa"/>
            <w:tcBorders/>
            <w:vAlign w:val="center"/>
          </w:tcPr>
          <w:p>
            <w:pPr>
              <w:pStyle w:val="TableContents"/>
              <w:bidi w:val="0"/>
              <w:spacing w:before="0" w:after="283"/>
              <w:jc w:val="left"/>
              <w:rPr>
                <w:b/>
                <w:i/>
                <w:sz w:val="20"/>
              </w:rPr>
            </w:pPr>
            <w:r>
              <w:rPr>
                <w:b/>
                <w:i/>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United States of America.</w:t>
      </w:r>
    </w:p>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24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(d)</w:t>
            </w:r>
          </w:p>
        </w:tc>
        <w:tc>
          <w:tcPr>
            <w:tcW w:w="1985" w:type="dxa"/>
            <w:tcBorders/>
            <w:vAlign w:val="center"/>
          </w:tcPr>
          <w:p>
            <w:pPr>
              <w:pStyle w:val="TableContents"/>
              <w:bidi w:val="0"/>
              <w:spacing w:before="0" w:after="283"/>
              <w:jc w:val="left"/>
              <w:rPr>
                <w:b/>
                <w:i/>
                <w:sz w:val="20"/>
              </w:rPr>
            </w:pPr>
            <w:r>
              <w:rPr>
                <w:b/>
                <w:i/>
                <w:sz w:val="20"/>
              </w:rPr>
              <w:t xml:space="preserve">Concentration of Risks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primarily of cash and cash equivalents and accounts receivable. The Company’s cash and cash equivalents are on deposit with major financial institutions. Such deposits may be in excess of insured limits from time to time. The Company believes that the financial institutions that hold the Company’s cash are financially sound, and accordingly, minimum credit risk exists with respect to these balances. The Company has not experienced any losses due to institutional failure or bankruptcy. The Company’s customers consist primarily of residential homeowners. The Company performs credit evaluations of its customers and generally does not require collateral for sales on credit. Many residential customers finance the transaction through third-party financing entities from whom the Company collects the receivable. The Company reviews accounts receivable balances to determine if any receivables will potentially be uncollectible and includes any amounts that are determined to be uncollectible in the allowance for credit losses. As of June 30, 2024, two entities had an outstanding balance that represented 18% and 16% of the total accounts receivable balance. As of December 31, 2023, two entities had an outstanding balance that represented 38% and 16% of the total accounts receivable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customers represented more than 10% of gross revenues from continuing operations for the thirteen and twenty-six weeks ended June 30, 2024 and July 2, 2023.</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thirteen-weeks ended June 30, 2024, three suppliers represented 53%, 17% and 14%, of the Company’s inventory purchases. For the twenty-six weeks ended June 30, 2024, one supplier represented 83% of the Company’s inventory purchases. For the thirteen-weeks and twenty-six weeks ended July 2, 2023, one supplier represented 91% and 87% of the Company’s inventory purchases, respectively.</w:t>
      </w:r>
    </w:p>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45"/>
        <w:gridCol w:w="2315"/>
      </w:tblGrid>
      <w:tr>
        <w:trPr/>
        <w:tc>
          <w:tcPr>
            <w:tcW w:w="245" w:type="dxa"/>
            <w:tcBorders/>
            <w:vAlign w:val="center"/>
          </w:tcPr>
          <w:p>
            <w:pPr>
              <w:pStyle w:val="TableContents"/>
              <w:bidi w:val="0"/>
              <w:spacing w:before="0" w:after="283"/>
              <w:jc w:val="left"/>
              <w:rPr>
                <w:b/>
                <w:i/>
                <w:sz w:val="20"/>
              </w:rPr>
            </w:pPr>
            <w:r>
              <w:rPr>
                <w:b/>
                <w:i/>
                <w:sz w:val="20"/>
              </w:rPr>
              <w:t>(e)</w:t>
            </w:r>
          </w:p>
        </w:tc>
        <w:tc>
          <w:tcPr>
            <w:tcW w:w="2315" w:type="dxa"/>
            <w:tcBorders/>
            <w:vAlign w:val="center"/>
          </w:tcPr>
          <w:p>
            <w:pPr>
              <w:pStyle w:val="TableContents"/>
              <w:bidi w:val="0"/>
              <w:spacing w:before="0" w:after="283"/>
              <w:jc w:val="left"/>
              <w:rPr>
                <w:b/>
                <w:i/>
                <w:sz w:val="20"/>
              </w:rPr>
            </w:pPr>
            <w:r>
              <w:rPr>
                <w:b/>
                <w:i/>
                <w:sz w:val="20"/>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securities that mature within three months or less from the original date of purchase to be cash equivalents. The Company maintains the majority of its cash balances with commercial banks in interest bearing accounts. Cash and cash equivalents include cash held in checking and savings accounts and money market accounts consisting of highly liquid securities with original maturity dates of three months or less from the original date of purchase.</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b/>
                <w:i/>
                <w:sz w:val="20"/>
              </w:rPr>
            </w:pPr>
            <w:r>
              <w:rPr>
                <w:b/>
                <w:i/>
                <w:sz w:val="20"/>
              </w:rPr>
              <w:t>(f)</w:t>
            </w:r>
          </w:p>
        </w:tc>
        <w:tc>
          <w:tcPr>
            <w:tcW w:w="1340" w:type="dxa"/>
            <w:tcBorders/>
            <w:vAlign w:val="center"/>
          </w:tcPr>
          <w:p>
            <w:pPr>
              <w:pStyle w:val="TableContents"/>
              <w:bidi w:val="0"/>
              <w:spacing w:before="0" w:after="283"/>
              <w:jc w:val="left"/>
              <w:rPr>
                <w:b/>
                <w:i/>
                <w:sz w:val="20"/>
              </w:rPr>
            </w:pPr>
            <w:r>
              <w:rPr>
                <w:b/>
                <w:i/>
                <w:sz w:val="20"/>
              </w:rPr>
              <w:t>Restricted 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all cash for which usage is limited by contractual provisions as restricted cash. The restricted cash balance was $3.8 million, at each of June 30, 2024 and December 31, 2023. Restricted cash consists of deposits in money market accounts, which is used as cash collateral backing letters of credit related to customs duty authorities’ requirements. The Company has presented these balances under restricted cash, as a long-term asset, in its unaudited condensed consolidated balance sheets. The Company reconciles cash, cash equivalents, and restricted cash reported in the unaudited condensed consolidated balance sheets that aggregate to the beginning and ending balances shown in the unaudited condensed consolidated statements of cash flows as follows (in thousands):</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4475"/>
        <w:gridCol w:w="60"/>
        <w:gridCol w:w="187"/>
        <w:gridCol w:w="748"/>
        <w:gridCol w:w="60"/>
        <w:gridCol w:w="60"/>
        <w:gridCol w:w="295"/>
        <w:gridCol w:w="1180"/>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2023</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2,593</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Restricted cash</w:t>
            </w:r>
          </w:p>
        </w:tc>
        <w:tc>
          <w:tcPr>
            <w:tcW w:w="6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tcMar>
              <w:bottom w:w="28" w:type="dxa"/>
            </w:tcMar>
            <w:vAlign w:val="center"/>
          </w:tcPr>
          <w:p>
            <w:pPr>
              <w:pStyle w:val="TableContents"/>
              <w:bidi w:val="0"/>
              <w:spacing w:before="0" w:after="283"/>
              <w:jc w:val="right"/>
              <w:rPr/>
            </w:pPr>
            <w:r>
              <w:rPr/>
              <w:t>3,838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3,823</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double" w:sz="10" w:space="0" w:color="000000"/>
            </w:tcBorders>
            <w:shd w:fill="CCEEFF" w:val="clear"/>
            <w:tcMar>
              <w:bottom w:w="28" w:type="dxa"/>
            </w:tcMar>
            <w:vAlign w:val="center"/>
          </w:tcPr>
          <w:p>
            <w:pPr>
              <w:pStyle w:val="TableContents"/>
              <w:bidi w:val="0"/>
              <w:spacing w:before="0" w:after="283"/>
              <w:jc w:val="right"/>
              <w:rPr/>
            </w:pPr>
            <w:r>
              <w:rPr/>
              <w:t>5,677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6,416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60"/>
        <w:gridCol w:w="1850"/>
      </w:tblGrid>
      <w:tr>
        <w:trPr/>
        <w:tc>
          <w:tcPr>
            <w:tcW w:w="260" w:type="dxa"/>
            <w:tcBorders/>
            <w:vAlign w:val="center"/>
          </w:tcPr>
          <w:p>
            <w:pPr>
              <w:pStyle w:val="TableContents"/>
              <w:bidi w:val="0"/>
              <w:spacing w:before="0" w:after="283"/>
              <w:jc w:val="left"/>
              <w:rPr>
                <w:b/>
                <w:i/>
                <w:sz w:val="20"/>
              </w:rPr>
            </w:pPr>
            <w:r>
              <w:rPr>
                <w:b/>
                <w:i/>
                <w:sz w:val="20"/>
              </w:rPr>
              <w:t>(g)</w:t>
            </w:r>
          </w:p>
        </w:tc>
        <w:tc>
          <w:tcPr>
            <w:tcW w:w="1850" w:type="dxa"/>
            <w:tcBorders/>
            <w:vAlign w:val="center"/>
          </w:tcPr>
          <w:p>
            <w:pPr>
              <w:pStyle w:val="TableContents"/>
              <w:bidi w:val="0"/>
              <w:spacing w:before="0" w:after="283"/>
              <w:jc w:val="left"/>
              <w:rPr>
                <w:b/>
                <w:i/>
                <w:sz w:val="20"/>
              </w:rPr>
            </w:pPr>
            <w:r>
              <w:rPr>
                <w:b/>
                <w:i/>
                <w:sz w:val="20"/>
              </w:rPr>
              <w:t xml:space="preserve">Revenue Recognition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the Company’s revenue recognized by product and service type (in thousands):</w:t>
      </w:r>
    </w:p>
    <w:p>
      <w:pPr>
        <w:pStyle w:val="TextBody"/>
        <w:bidi w:val="0"/>
        <w:spacing w:before="0" w:after="0"/>
        <w:ind w:left="360" w:right="0" w:hanging="0"/>
        <w:jc w:val="both"/>
        <w:rPr>
          <w:caps w:val="false"/>
          <w:smallCaps w:val="false"/>
        </w:rPr>
      </w:pPr>
      <w:r>
        <w:rPr>
          <w:caps w:val="false"/>
          <w:smallCaps w:val="false"/>
        </w:rPr>
        <w:t> </w:t>
      </w:r>
    </w:p>
    <w:tbl>
      <w:tblPr>
        <w:tblW w:w="8391" w:type="dxa"/>
        <w:jc w:val="left"/>
        <w:tblInd w:w="0" w:type="dxa"/>
        <w:tblLayout w:type="fixed"/>
        <w:tblCellMar>
          <w:top w:w="0" w:type="dxa"/>
          <w:left w:w="0" w:type="dxa"/>
          <w:bottom w:w="0" w:type="dxa"/>
          <w:right w:w="0" w:type="dxa"/>
        </w:tblCellMar>
      </w:tblPr>
      <w:tblGrid>
        <w:gridCol w:w="3110"/>
        <w:gridCol w:w="60"/>
        <w:gridCol w:w="202"/>
        <w:gridCol w:w="810"/>
        <w:gridCol w:w="86"/>
        <w:gridCol w:w="86"/>
        <w:gridCol w:w="202"/>
        <w:gridCol w:w="984"/>
        <w:gridCol w:w="60"/>
        <w:gridCol w:w="60"/>
        <w:gridCol w:w="211"/>
        <w:gridCol w:w="1027"/>
        <w:gridCol w:w="90"/>
        <w:gridCol w:w="90"/>
        <w:gridCol w:w="211"/>
        <w:gridCol w:w="1027"/>
        <w:gridCol w:w="75"/>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Twenty-Six Weeks Ended</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center"/>
              <w:rPr>
                <w:b/>
              </w:rPr>
            </w:pPr>
            <w:r>
              <w:rPr>
                <w:b/>
              </w:rPr>
              <w:t>June 30,</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center"/>
              <w:rPr>
                <w:b/>
              </w:rPr>
            </w:pPr>
            <w:r>
              <w:rPr>
                <w:b/>
              </w:rPr>
              <w:t>July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8"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8" w:type="dxa"/>
            <w:gridSpan w:val="2"/>
            <w:tcBorders/>
            <w:vAlign w:val="center"/>
          </w:tcPr>
          <w:p>
            <w:pPr>
              <w:pStyle w:val="TableContents"/>
              <w:bidi w:val="0"/>
              <w:spacing w:before="0" w:after="283"/>
              <w:jc w:val="center"/>
              <w:rPr>
                <w:b/>
              </w:rPr>
            </w:pPr>
            <w:r>
              <w:rPr>
                <w:b/>
              </w:rPr>
              <w:t>July 2,</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Solar energy system installations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4,474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24,753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14,396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40,596</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Software enhanced services</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18</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tcMar>
              <w:bottom w:w="28" w:type="dxa"/>
            </w:tcMar>
            <w:vAlign w:val="center"/>
          </w:tcPr>
          <w:p>
            <w:pPr>
              <w:pStyle w:val="TableContents"/>
              <w:bidi w:val="0"/>
              <w:spacing w:before="0" w:after="283"/>
              <w:jc w:val="right"/>
              <w:rPr/>
            </w:pPr>
            <w:r>
              <w:rPr/>
              <w:t>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tcMar>
              <w:bottom w:w="28" w:type="dxa"/>
            </w:tcMar>
            <w:vAlign w:val="center"/>
          </w:tcPr>
          <w:p>
            <w:pPr>
              <w:pStyle w:val="TableContents"/>
              <w:bidi w:val="0"/>
              <w:spacing w:before="0" w:after="283"/>
              <w:jc w:val="right"/>
              <w:rPr/>
            </w:pPr>
            <w:r>
              <w:rPr/>
              <w:t>136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tcMar>
              <w:bottom w:w="28" w:type="dxa"/>
            </w:tcMar>
            <w:vAlign w:val="center"/>
          </w:tcPr>
          <w:p>
            <w:pPr>
              <w:pStyle w:val="TableContents"/>
              <w:bidi w:val="0"/>
              <w:spacing w:before="0" w:after="283"/>
              <w:jc w:val="right"/>
              <w:rPr/>
            </w:pPr>
            <w:r>
              <w:rPr/>
              <w:t>1,701</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10" w:space="0" w:color="000000"/>
            </w:tcBorders>
            <w:shd w:fill="CCEEFF" w:val="clear"/>
            <w:tcMar>
              <w:bottom w:w="28" w:type="dxa"/>
            </w:tcMar>
            <w:vAlign w:val="center"/>
          </w:tcPr>
          <w:p>
            <w:pPr>
              <w:pStyle w:val="TableContents"/>
              <w:bidi w:val="0"/>
              <w:spacing w:before="0" w:after="283"/>
              <w:jc w:val="right"/>
              <w:rPr/>
            </w:pPr>
            <w:r>
              <w:rPr/>
              <w:t>4,492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10" w:space="0" w:color="000000"/>
            </w:tcBorders>
            <w:shd w:fill="CCEEFF" w:val="clear"/>
            <w:tcMar>
              <w:bottom w:w="28" w:type="dxa"/>
            </w:tcMar>
            <w:vAlign w:val="center"/>
          </w:tcPr>
          <w:p>
            <w:pPr>
              <w:pStyle w:val="TableContents"/>
              <w:bidi w:val="0"/>
              <w:spacing w:before="0" w:after="283"/>
              <w:jc w:val="right"/>
              <w:rPr/>
            </w:pPr>
            <w:r>
              <w:rPr/>
              <w:t>25,620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14,532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42,297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recognized by geography based on the location of the customer for the thirteen week and twenty-six week periods ended June 30, 2024 and July 2, 2023 was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practical expedient not to disclose remaining performance obligations for contracts that are less than one year in length. As of June 30, 2024, the Company has deferred $1.1 million associated with a long-term service contract. As of December 31, 2023, the Company has deferred $1.2 million associated with a long-term service contract, which will be recognized evenly through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unaudited condensed consolidated statements of operations and comprehensive loss. As of June 30, 2024 and December 31, 2023, deferred commissions were $6.2 million and $4.2 million, respectively, which were included in prepaid expenses and other current assets in the accompanying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12-months, the Company’s deferred revenue is reflected in current liabilities in the accompanying unaudited condensed consolidated balance sheets. The amount of revenue recognized during the twenty-six week period ended June 30, 2024 that was included in deferred revenue at the beginning of the period was $1.9 million. The amount of revenue recognized during the twenty-six week period ended July 2, 2023 that was included in deferred revenue at the beginning of the period was $2.8 million.</w:t>
      </w:r>
    </w:p>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60"/>
        <w:gridCol w:w="2195"/>
      </w:tblGrid>
      <w:tr>
        <w:trPr/>
        <w:tc>
          <w:tcPr>
            <w:tcW w:w="260" w:type="dxa"/>
            <w:tcBorders/>
            <w:vAlign w:val="center"/>
          </w:tcPr>
          <w:p>
            <w:pPr>
              <w:pStyle w:val="TableContents"/>
              <w:bidi w:val="0"/>
              <w:spacing w:before="0" w:after="283"/>
              <w:jc w:val="left"/>
              <w:rPr>
                <w:b/>
                <w:i/>
                <w:sz w:val="20"/>
              </w:rPr>
            </w:pPr>
            <w:r>
              <w:rPr>
                <w:b/>
                <w:i/>
                <w:sz w:val="20"/>
              </w:rPr>
              <w:t>(h)</w:t>
            </w:r>
          </w:p>
        </w:tc>
        <w:tc>
          <w:tcPr>
            <w:tcW w:w="2195" w:type="dxa"/>
            <w:tcBorders/>
            <w:vAlign w:val="center"/>
          </w:tcPr>
          <w:p>
            <w:pPr>
              <w:pStyle w:val="TableContents"/>
              <w:bidi w:val="0"/>
              <w:spacing w:before="0" w:after="283"/>
              <w:jc w:val="left"/>
              <w:rPr>
                <w:b/>
                <w:i/>
                <w:sz w:val="20"/>
              </w:rPr>
            </w:pPr>
            <w:r>
              <w:rPr>
                <w:b/>
                <w:i/>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Level 1 inputs: Unadjusted quoted prices in active markets for identical assets or liabilities accessible to the reporting entity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on a recurring basis as of June 30, 2024 and December 31, 2023 include the warrant liabilities, SAFE Agreements and FPA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and accrued expenses approximate their fair value because of their short-term nature (classified as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warrant liabilities, SAFE agreements, and FPA liabilities are measured at fair value using Level 3 inputs. The Company records subsequent adjustments to reflect the increase or decrease in estimated fair value at each reporting date within the unaudited condensed consolidated statements of operations and comprehensive loss as a component of other (expense) income, net.</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15"/>
        <w:gridCol w:w="1775"/>
      </w:tblGrid>
      <w:tr>
        <w:trPr/>
        <w:tc>
          <w:tcPr>
            <w:tcW w:w="215" w:type="dxa"/>
            <w:tcBorders/>
            <w:vAlign w:val="center"/>
          </w:tcPr>
          <w:p>
            <w:pPr>
              <w:pStyle w:val="TableContents"/>
              <w:bidi w:val="0"/>
              <w:spacing w:before="0" w:after="283"/>
              <w:jc w:val="both"/>
              <w:rPr>
                <w:b/>
                <w:i/>
                <w:sz w:val="20"/>
              </w:rPr>
            </w:pPr>
            <w:r>
              <w:rPr>
                <w:b/>
                <w:i/>
                <w:sz w:val="20"/>
              </w:rPr>
              <w:t>(i)</w:t>
            </w:r>
          </w:p>
        </w:tc>
        <w:tc>
          <w:tcPr>
            <w:tcW w:w="1775" w:type="dxa"/>
            <w:tcBorders/>
            <w:vAlign w:val="center"/>
          </w:tcPr>
          <w:p>
            <w:pPr>
              <w:pStyle w:val="TableContents"/>
              <w:bidi w:val="0"/>
              <w:spacing w:before="0" w:after="283"/>
              <w:jc w:val="both"/>
              <w:rPr>
                <w:b/>
                <w:i/>
                <w:sz w:val="20"/>
              </w:rPr>
            </w:pPr>
            <w:r>
              <w:rPr>
                <w:b/>
                <w:i/>
                <w:sz w:val="20"/>
              </w:rPr>
              <w:t>Direct Offering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offering costs represent legal, accounting and other direct costs related to the Mergers, which was consummated in July 2023. In accounting for the Mergers, direct offering costs of approximately $5.7 million were reclassified to additional paid-in capital and netted against the Mergers proceeds received upon close. As of June 30, 2024 and December 31, 2023, the Company had no deferred offering costs included within prepaid expenses and other current assets in its 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15"/>
        <w:gridCol w:w="1640"/>
      </w:tblGrid>
      <w:tr>
        <w:trPr/>
        <w:tc>
          <w:tcPr>
            <w:tcW w:w="215" w:type="dxa"/>
            <w:tcBorders/>
            <w:vAlign w:val="center"/>
          </w:tcPr>
          <w:p>
            <w:pPr>
              <w:pStyle w:val="TableContents"/>
              <w:bidi w:val="0"/>
              <w:spacing w:before="0" w:after="283"/>
              <w:jc w:val="left"/>
              <w:rPr>
                <w:b/>
                <w:i/>
                <w:sz w:val="20"/>
              </w:rPr>
            </w:pPr>
            <w:r>
              <w:rPr>
                <w:b/>
                <w:i/>
                <w:sz w:val="20"/>
              </w:rPr>
              <w:t>(j)</w:t>
            </w:r>
          </w:p>
        </w:tc>
        <w:tc>
          <w:tcPr>
            <w:tcW w:w="1640" w:type="dxa"/>
            <w:tcBorders/>
            <w:vAlign w:val="center"/>
          </w:tcPr>
          <w:p>
            <w:pPr>
              <w:pStyle w:val="TableContents"/>
              <w:bidi w:val="0"/>
              <w:spacing w:before="0" w:after="283"/>
              <w:jc w:val="left"/>
              <w:rPr>
                <w:b/>
                <w:i/>
                <w:sz w:val="20"/>
              </w:rPr>
            </w:pPr>
            <w:r>
              <w:rPr>
                <w:b/>
                <w:i/>
                <w:sz w:val="20"/>
              </w:rPr>
              <w:t>Warrant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warrant liabilities in accordance with the guidance in ASC 815-40, Derivatives and Hedging – Contracts in Entity’s Own Equity, under which the warrants that do not meet the criteria for equity classification and must be recorded as liabilities. The warrant liabilities are measured at fair value at inception and at each reporting date in accordance with the guidance in ASC 820, Fair Value Measurement, with any subsequent changes in fair value recognized in other (expense) income, net on the unaudited condensed consolidated statements of operations and comprehensive loss. Refer to Note 3 – Fair Value Measurements and Note 12 – Warrants.</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60"/>
        <w:gridCol w:w="2600"/>
      </w:tblGrid>
      <w:tr>
        <w:trPr/>
        <w:tc>
          <w:tcPr>
            <w:tcW w:w="260" w:type="dxa"/>
            <w:tcBorders/>
            <w:vAlign w:val="center"/>
          </w:tcPr>
          <w:p>
            <w:pPr>
              <w:pStyle w:val="TableContents"/>
              <w:bidi w:val="0"/>
              <w:spacing w:before="0" w:after="283"/>
              <w:jc w:val="left"/>
              <w:rPr>
                <w:b/>
                <w:i/>
                <w:sz w:val="20"/>
              </w:rPr>
            </w:pPr>
            <w:r>
              <w:rPr>
                <w:b/>
                <w:i/>
                <w:sz w:val="20"/>
              </w:rPr>
              <w:t>(k)</w:t>
            </w:r>
          </w:p>
        </w:tc>
        <w:tc>
          <w:tcPr>
            <w:tcW w:w="2600" w:type="dxa"/>
            <w:tcBorders/>
            <w:vAlign w:val="center"/>
          </w:tcPr>
          <w:p>
            <w:pPr>
              <w:pStyle w:val="TableContents"/>
              <w:bidi w:val="0"/>
              <w:spacing w:before="0" w:after="283"/>
              <w:jc w:val="left"/>
              <w:rPr>
                <w:b/>
                <w:i/>
                <w:sz w:val="20"/>
              </w:rPr>
            </w:pPr>
            <w:r>
              <w:rPr>
                <w:b/>
                <w:i/>
                <w:sz w:val="20"/>
              </w:rPr>
              <w:t>Forward Purchase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FPAs in accordance with the guidance in ASC 480, Distinguishing Liabilities from Equity, as the agreements embody an obligation to transfer assets to settle a forward contract. The FPA liabilities are measured at fair value at inception and at each reporting date in accordance with the guidance in ASC 820, Fair Value Measurement, with any subsequent changes in fair value recognized in other (expense) income, net on the unaudited condensed consolidated statements of operations and comprehensive loss. Refer to Note 3 – Fair Value Measurements and Note 5 – Forward Purchase Agreements.</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15"/>
        <w:gridCol w:w="1595"/>
      </w:tblGrid>
      <w:tr>
        <w:trPr/>
        <w:tc>
          <w:tcPr>
            <w:tcW w:w="215" w:type="dxa"/>
            <w:tcBorders/>
            <w:vAlign w:val="center"/>
          </w:tcPr>
          <w:p>
            <w:pPr>
              <w:pStyle w:val="TableContents"/>
              <w:bidi w:val="0"/>
              <w:spacing w:before="0" w:after="283"/>
              <w:jc w:val="left"/>
              <w:rPr>
                <w:b/>
                <w:i/>
                <w:sz w:val="20"/>
              </w:rPr>
            </w:pPr>
            <w:r>
              <w:rPr>
                <w:b/>
                <w:i/>
                <w:sz w:val="20"/>
              </w:rPr>
              <w:t>(l)</w:t>
            </w:r>
          </w:p>
        </w:tc>
        <w:tc>
          <w:tcPr>
            <w:tcW w:w="1595" w:type="dxa"/>
            <w:tcBorders/>
            <w:vAlign w:val="center"/>
          </w:tcPr>
          <w:p>
            <w:pPr>
              <w:pStyle w:val="TableContents"/>
              <w:bidi w:val="0"/>
              <w:spacing w:before="0" w:after="283"/>
              <w:jc w:val="left"/>
              <w:rPr>
                <w:b/>
                <w:i/>
                <w:sz w:val="20"/>
              </w:rPr>
            </w:pPr>
            <w:r>
              <w:rPr>
                <w:b/>
                <w:i/>
                <w:sz w:val="20"/>
              </w:rPr>
              <w:t>Net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following ASC 260, Earnings Per Share. Basic net loss per share is measured as the income or loss available to common stockholders divided by the weighted average common shares outstanding for the period. Diluted net loss per share presents the dilutive effect on a per-share basis from the potential exercise of options, SAFE agreements and/or warrants. The potentially dilutive effect of options, SAFE agreements or warrants are computed using the if-converted method. Securities that potentially have an anti-dilutive effect (i.e., those that increase income per share or decrease loss per share) are excluded from the diluted loss per share calculation.</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05"/>
        <w:gridCol w:w="3830"/>
      </w:tblGrid>
      <w:tr>
        <w:trPr/>
        <w:tc>
          <w:tcPr>
            <w:tcW w:w="305" w:type="dxa"/>
            <w:tcBorders/>
            <w:vAlign w:val="center"/>
          </w:tcPr>
          <w:p>
            <w:pPr>
              <w:pStyle w:val="TableContents"/>
              <w:bidi w:val="0"/>
              <w:spacing w:before="0" w:after="283"/>
              <w:jc w:val="both"/>
              <w:rPr>
                <w:b/>
                <w:i/>
                <w:sz w:val="20"/>
              </w:rPr>
            </w:pPr>
            <w:r>
              <w:rPr>
                <w:b/>
                <w:i/>
                <w:sz w:val="20"/>
              </w:rPr>
              <w:t>(m)</w:t>
            </w:r>
          </w:p>
        </w:tc>
        <w:tc>
          <w:tcPr>
            <w:tcW w:w="3830" w:type="dxa"/>
            <w:tcBorders/>
            <w:vAlign w:val="center"/>
          </w:tcPr>
          <w:p>
            <w:pPr>
              <w:pStyle w:val="TableContents"/>
              <w:bidi w:val="0"/>
              <w:spacing w:before="0" w:after="283"/>
              <w:jc w:val="both"/>
              <w:rPr>
                <w:b/>
                <w:i/>
                <w:sz w:val="20"/>
              </w:rPr>
            </w:pPr>
            <w:r>
              <w:rPr>
                <w:b/>
                <w:i/>
                <w:sz w:val="20"/>
              </w:rPr>
              <w:t>Accounting Pronouncements Not Yet Adopted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and requires retrospective adoption. The Company is currently evaluating ASU 2023-07.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ASU 2023-09.</w:t>
      </w:r>
    </w:p>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60"/>
        <w:gridCol w:w="2225"/>
      </w:tblGrid>
      <w:tr>
        <w:trPr/>
        <w:tc>
          <w:tcPr>
            <w:tcW w:w="260" w:type="dxa"/>
            <w:tcBorders/>
            <w:vAlign w:val="center"/>
          </w:tcPr>
          <w:p>
            <w:pPr>
              <w:pStyle w:val="TableContents"/>
              <w:bidi w:val="0"/>
              <w:spacing w:before="0" w:after="283"/>
              <w:jc w:val="left"/>
              <w:rPr>
                <w:b/>
                <w:sz w:val="20"/>
              </w:rPr>
            </w:pPr>
            <w:r>
              <w:rPr>
                <w:b/>
                <w:sz w:val="20"/>
              </w:rPr>
              <w:t>(3)</w:t>
            </w:r>
          </w:p>
        </w:tc>
        <w:tc>
          <w:tcPr>
            <w:tcW w:w="2225" w:type="dxa"/>
            <w:tcBorders/>
            <w:vAlign w:val="center"/>
          </w:tcPr>
          <w:p>
            <w:pPr>
              <w:pStyle w:val="TableContents"/>
              <w:bidi w:val="0"/>
              <w:spacing w:before="0" w:after="283"/>
              <w:jc w:val="left"/>
              <w:rPr>
                <w:b/>
                <w:sz w:val="20"/>
              </w:rPr>
            </w:pPr>
            <w:r>
              <w:rPr>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financial assets and liabilities that are measured at fair value, on a recurring basis (in thousands):</w:t>
      </w:r>
    </w:p>
    <w:p>
      <w:pPr>
        <w:pStyle w:val="TextBody"/>
        <w:bidi w:val="0"/>
        <w:spacing w:before="0" w:after="0"/>
        <w:ind w:left="0" w:right="0" w:hanging="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680"/>
        <w:gridCol w:w="60"/>
        <w:gridCol w:w="202"/>
        <w:gridCol w:w="552"/>
        <w:gridCol w:w="60"/>
        <w:gridCol w:w="60"/>
        <w:gridCol w:w="202"/>
        <w:gridCol w:w="552"/>
        <w:gridCol w:w="60"/>
        <w:gridCol w:w="60"/>
        <w:gridCol w:w="140"/>
        <w:gridCol w:w="680"/>
        <w:gridCol w:w="60"/>
        <w:gridCol w:w="60"/>
        <w:gridCol w:w="140"/>
        <w:gridCol w:w="680"/>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2024</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b/>
              </w:rPr>
            </w:pPr>
            <w:r>
              <w:rPr>
                <w:b/>
              </w:rPr>
              <w:t>Financial 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Carlyle warrants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6,646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Public warrants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302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302</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Working capital warrants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6,653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SAFE Agreements</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CCEEFF" w:val="clear"/>
            <w:tcMar>
              <w:bottom w:w="28" w:type="dxa"/>
            </w:tcMar>
            <w:vAlign w:val="center"/>
          </w:tcPr>
          <w:p>
            <w:pPr>
              <w:pStyle w:val="TableContents"/>
              <w:bidi w:val="0"/>
              <w:spacing w:before="0" w:after="283"/>
              <w:jc w:val="right"/>
              <w:rPr/>
            </w:pPr>
            <w:r>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CCEEFF" w:val="clear"/>
            <w:tcMar>
              <w:bottom w:w="28" w:type="dxa"/>
            </w:tcMar>
            <w:vAlign w:val="center"/>
          </w:tcPr>
          <w:p>
            <w:pPr>
              <w:pStyle w:val="TableContents"/>
              <w:bidi w:val="0"/>
              <w:spacing w:before="0" w:after="283"/>
              <w:jc w:val="right"/>
              <w:rPr/>
            </w:pPr>
            <w:r>
              <w:rPr/>
              <w:t>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14,845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680"/>
        <w:gridCol w:w="60"/>
        <w:gridCol w:w="202"/>
        <w:gridCol w:w="552"/>
        <w:gridCol w:w="60"/>
        <w:gridCol w:w="60"/>
        <w:gridCol w:w="202"/>
        <w:gridCol w:w="552"/>
        <w:gridCol w:w="60"/>
        <w:gridCol w:w="60"/>
        <w:gridCol w:w="140"/>
        <w:gridCol w:w="680"/>
        <w:gridCol w:w="60"/>
        <w:gridCol w:w="60"/>
        <w:gridCol w:w="140"/>
        <w:gridCol w:w="680"/>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2023</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b/>
              </w:rPr>
            </w:pPr>
            <w:r>
              <w:rPr>
                <w:b/>
              </w:rPr>
              <w:t>Financial 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Carlyle warrants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9,515</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Public warrants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167</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Working capital warrants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Replacement warrants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1,310</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Forward purchase agreement liabilities</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3,831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3,831</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CCEEFF" w:val="clear"/>
            <w:tcMar>
              <w:bottom w:w="28" w:type="dxa"/>
            </w:tcMar>
            <w:vAlign w:val="center"/>
          </w:tcPr>
          <w:p>
            <w:pPr>
              <w:pStyle w:val="TableContents"/>
              <w:bidi w:val="0"/>
              <w:spacing w:before="0" w:after="283"/>
              <w:jc w:val="right"/>
              <w:rPr/>
            </w:pPr>
            <w:r>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CCEEFF" w:val="clear"/>
            <w:tcMar>
              <w:bottom w:w="28" w:type="dxa"/>
            </w:tcMar>
            <w:vAlign w:val="center"/>
          </w:tcPr>
          <w:p>
            <w:pPr>
              <w:pStyle w:val="TableContents"/>
              <w:bidi w:val="0"/>
              <w:spacing w:before="0" w:after="283"/>
              <w:jc w:val="right"/>
              <w:rPr/>
            </w:pPr>
            <w:r>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14,959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Carlyle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amended and restated warrant agreement with CRSEF Solis Holdings, LLC and its affiliates (“Carlyle”), the Company issued Carlyle a warrant to purchase shares of Complete Solaria Common Stock at a price per share of $0.01. Refer to Note 12 – Warrants for further details. The Company valued the warrants based on a Black-Scholes Option Pricing Method,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330"/>
        <w:gridCol w:w="60"/>
        <w:gridCol w:w="60"/>
        <w:gridCol w:w="845"/>
        <w:gridCol w:w="215"/>
        <w:gridCol w:w="60"/>
        <w:gridCol w:w="169"/>
        <w:gridCol w:w="1246"/>
        <w:gridCol w:w="230"/>
      </w:tblGrid>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Expected volatility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60.8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77.0</w:t>
            </w:r>
          </w:p>
        </w:tc>
        <w:tc>
          <w:tcPr>
            <w:tcW w:w="230" w:type="dxa"/>
            <w:tcBorders/>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3.92</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vAlign w:val="center"/>
          </w:tcPr>
          <w:p>
            <w:pPr>
              <w:pStyle w:val="TableContents"/>
              <w:bidi w:val="0"/>
              <w:spacing w:before="0" w:after="283"/>
              <w:jc w:val="left"/>
              <w:rPr/>
            </w:pPr>
            <w:r>
              <w:rPr/>
              <w:t>Expected dividend yield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0.0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0.0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Private Placement and Working Capital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private placement and working capital warrants are measured at fair value on a recurring basis. The public warrants were valued based on the closing price of the publicly traded instrument. The private placement and working capital warrants were valued using observable inputs for similar publicly-traded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FPA liabilities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045"/>
        <w:gridCol w:w="60"/>
        <w:gridCol w:w="140"/>
        <w:gridCol w:w="845"/>
        <w:gridCol w:w="215"/>
        <w:gridCol w:w="60"/>
        <w:gridCol w:w="341"/>
        <w:gridCol w:w="1074"/>
        <w:gridCol w:w="23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23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VWAP 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1.66</w:t>
            </w:r>
          </w:p>
        </w:tc>
        <w:tc>
          <w:tcPr>
            <w:tcW w:w="230"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Simulation period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 years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 years</w:t>
            </w:r>
          </w:p>
        </w:tc>
        <w:tc>
          <w:tcPr>
            <w:tcW w:w="23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5.07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4.48</w:t>
            </w:r>
          </w:p>
        </w:tc>
        <w:tc>
          <w:tcPr>
            <w:tcW w:w="230" w:type="dxa"/>
            <w:tcBorders/>
            <w:shd w:fill="CCEEFF" w:val="clear"/>
            <w:vAlign w:val="center"/>
          </w:tcPr>
          <w:p>
            <w:pPr>
              <w:pStyle w:val="TableContents"/>
              <w:bidi w:val="0"/>
              <w:spacing w:before="0" w:after="283"/>
              <w:jc w:val="left"/>
              <w:rPr/>
            </w:pPr>
            <w:r>
              <w:rPr/>
              <w:t>%</w:t>
            </w:r>
          </w:p>
        </w:tc>
      </w:tr>
      <w:tr>
        <w:trPr/>
        <w:tc>
          <w:tcPr>
            <w:tcW w:w="2045" w:type="dxa"/>
            <w:tcBorders/>
            <w:vAlign w:val="center"/>
          </w:tcPr>
          <w:p>
            <w:pPr>
              <w:pStyle w:val="TableContents"/>
              <w:bidi w:val="0"/>
              <w:spacing w:before="0" w:after="283"/>
              <w:jc w:val="left"/>
              <w:rPr/>
            </w:pPr>
            <w:r>
              <w:rPr/>
              <w:t>Volatility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107.0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95.0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carrying value of the Third SAFE Agreement approximates the fair value based upon its conversion features and management’s expectation that the Third SAFE Agreement will convert to shares of the Company’s common stock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replacement warrants as of June 30, 2024. The Company valued the Replacement Warrants as of December 31, 2023, based on a Black-Scholes Option Pricing Method,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2330"/>
        <w:gridCol w:w="60"/>
        <w:gridCol w:w="147"/>
        <w:gridCol w:w="1268"/>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Expected volatility</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78.5</w:t>
            </w:r>
          </w:p>
        </w:tc>
        <w:tc>
          <w:tcPr>
            <w:tcW w:w="230" w:type="dxa"/>
            <w:tcBorders/>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5.4</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vAlign w:val="center"/>
          </w:tcPr>
          <w:p>
            <w:pPr>
              <w:pStyle w:val="TableContents"/>
              <w:bidi w:val="0"/>
              <w:spacing w:before="0" w:after="283"/>
              <w:jc w:val="left"/>
              <w:rPr/>
            </w:pPr>
            <w:r>
              <w:rPr/>
              <w:t>Expected dividend yield</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0.0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60"/>
        <w:gridCol w:w="2150"/>
      </w:tblGrid>
      <w:tr>
        <w:trPr/>
        <w:tc>
          <w:tcPr>
            <w:tcW w:w="260" w:type="dxa"/>
            <w:tcBorders/>
            <w:vAlign w:val="center"/>
          </w:tcPr>
          <w:p>
            <w:pPr>
              <w:pStyle w:val="TableContents"/>
              <w:bidi w:val="0"/>
              <w:spacing w:before="0" w:after="283"/>
              <w:jc w:val="left"/>
              <w:rPr>
                <w:b/>
                <w:sz w:val="20"/>
              </w:rPr>
            </w:pPr>
            <w:r>
              <w:rPr>
                <w:b/>
                <w:sz w:val="20"/>
              </w:rPr>
              <w:t>(4)</w:t>
            </w:r>
          </w:p>
        </w:tc>
        <w:tc>
          <w:tcPr>
            <w:tcW w:w="2150" w:type="dxa"/>
            <w:tcBorders/>
            <w:vAlign w:val="center"/>
          </w:tcPr>
          <w:p>
            <w:pPr>
              <w:pStyle w:val="TableContents"/>
              <w:bidi w:val="0"/>
              <w:spacing w:before="0" w:after="283"/>
              <w:jc w:val="left"/>
              <w:rPr>
                <w:b/>
                <w:sz w:val="20"/>
              </w:rPr>
            </w:pPr>
            <w:r>
              <w:rPr>
                <w:b/>
                <w:sz w:val="20"/>
              </w:rPr>
              <w:t>Reverse Recapitalization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was determined to be the accounting acquirer based on an evaluation of the following facts and circumstances:</w:t>
      </w:r>
    </w:p>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sz w:val="20"/>
              </w:rPr>
            </w:pPr>
            <w:r>
              <w:rPr>
                <w:sz w:val="20"/>
              </w:rPr>
              <w:t>Complete Solaria’s pre-combination stockholders have the majority of the voting power in the post- merged company;</w:t>
            </w:r>
          </w:p>
        </w:tc>
      </w:tr>
    </w:tbl>
    <w:p>
      <w:pPr>
        <w:pStyle w:val="TextBody"/>
        <w:bidi w:val="0"/>
        <w:spacing w:before="0" w:after="0"/>
        <w:ind w:left="0" w:right="0" w:hanging="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sz w:val="20"/>
              </w:rPr>
            </w:pPr>
            <w:r>
              <w:rPr>
                <w:sz w:val="20"/>
              </w:rPr>
              <w:t>Legacy Complete Solaria’s stockholders have the ability to appoint a majority of the Complete Solaria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sz w:val="20"/>
              </w:rPr>
            </w:pPr>
            <w:r>
              <w:rPr>
                <w:sz w:val="20"/>
              </w:rPr>
              <w:t>Legacy Complete Solaria’s management team is considered the management team of the post-merged company;</w:t>
            </w:r>
          </w:p>
        </w:tc>
      </w:tr>
    </w:tbl>
    <w:p>
      <w:pPr>
        <w:pStyle w:val="TextBody"/>
        <w:bidi w:val="0"/>
        <w:spacing w:before="0" w:after="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sz w:val="20"/>
              </w:rPr>
            </w:pPr>
            <w:r>
              <w:rPr>
                <w:sz w:val="20"/>
              </w:rPr>
              <w:t>Legacy Complete Solaria’s prior operations are comprised of the ongoing operations of the post-merged company;</w:t>
            </w:r>
          </w:p>
        </w:tc>
      </w:tr>
    </w:tbl>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sz w:val="20"/>
              </w:rPr>
            </w:pPr>
            <w:r>
              <w:rPr>
                <w:sz w:val="20"/>
              </w:rPr>
              <w:t>Complete Solaria is the larger entity based on historical revenues and business operations; and</w:t>
            </w:r>
          </w:p>
        </w:tc>
      </w:tr>
    </w:tbl>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sz w:val="20"/>
              </w:rPr>
            </w:pPr>
            <w:r>
              <w:rPr>
                <w:sz w:val="20"/>
              </w:rPr>
              <w:t>the post-merged company has assumed Complete Solaria’s operating 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of accounting, the reverse recapitalization was treated as the equivalent of Complete Solaria issuing stock for the net assets of FACT, accompanied by a recapitalization. The net assets of FACT are stated at historical cost, with no goodwill or other intangible assets recorded. The unaudited condensed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Mergers and the PIPE Financing in July 2023, the Company received net cash proceeds of $19.7 million less non-cash net liabilities assumed from FACT of $10.1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upon closing of the Mergers, the Company had 45,290,553 shares issued and outstanding of Class A Common Stock. The following table presents the number of shares of Complete Solaria Common Stock outstanding immediately following the consummation of the Mergers:</w:t>
      </w:r>
    </w:p>
    <w:p>
      <w:pPr>
        <w:pStyle w:val="TextBody"/>
        <w:bidi w:val="0"/>
        <w:spacing w:before="0" w:after="0"/>
        <w:ind w:left="0" w:right="0" w:hanging="0"/>
        <w:jc w:val="both"/>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6650"/>
        <w:gridCol w:w="60"/>
        <w:gridCol w:w="80"/>
        <w:gridCol w:w="1575"/>
        <w:gridCol w:w="110"/>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Recapitalization</w:t>
            </w:r>
          </w:p>
        </w:tc>
        <w:tc>
          <w:tcPr>
            <w:tcW w:w="11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FACT Class A Ordinary Shares, outstanding prior to Mergers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34,500,000</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FACT Class B Ordinary Shares, outstanding prior to Mergers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8,625,000</w:t>
            </w:r>
          </w:p>
        </w:tc>
        <w:tc>
          <w:tcPr>
            <w:tcW w:w="11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Bonus shares issued to sponsor</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193,976</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Bonus shares issued to PIPE investors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120,000</w:t>
            </w:r>
          </w:p>
        </w:tc>
        <w:tc>
          <w:tcPr>
            <w:tcW w:w="11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Bonus shares issued to FPA investors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150,000</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Shares issued from PIPE financing</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1,690,000</w:t>
            </w:r>
          </w:p>
        </w:tc>
        <w:tc>
          <w:tcPr>
            <w:tcW w:w="11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Shares issued from FPA agreements, net of recycled shares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5,558,488</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Less: redemption of FACT Class A Ordinary Shares</w:t>
            </w:r>
          </w:p>
        </w:tc>
        <w:tc>
          <w:tcPr>
            <w:tcW w:w="60" w:type="dxa"/>
            <w:tcBorders/>
            <w:vAlign w:val="center"/>
          </w:tcPr>
          <w:p>
            <w:pPr>
              <w:pStyle w:val="TableContents"/>
              <w:bidi w:val="0"/>
              <w:spacing w:before="0" w:after="283"/>
              <w:jc w:val="left"/>
              <w:rPr/>
            </w:pPr>
            <w:r>
              <w:rPr/>
              <w:t> </w:t>
            </w:r>
          </w:p>
        </w:tc>
        <w:tc>
          <w:tcPr>
            <w:tcW w:w="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75" w:type="dxa"/>
            <w:tcBorders>
              <w:bottom w:val="single" w:sz="12" w:space="0" w:color="000000"/>
            </w:tcBorders>
            <w:tcMar>
              <w:bottom w:w="28" w:type="dxa"/>
            </w:tcMar>
            <w:vAlign w:val="center"/>
          </w:tcPr>
          <w:p>
            <w:pPr>
              <w:pStyle w:val="TableContents"/>
              <w:bidi w:val="0"/>
              <w:spacing w:before="0" w:after="283"/>
              <w:jc w:val="right"/>
              <w:rPr/>
            </w:pPr>
            <w:r>
              <w:rPr/>
              <w:t>(31,041,243</w:t>
            </w:r>
          </w:p>
        </w:tc>
        <w:tc>
          <w:tcPr>
            <w:tcW w:w="110" w:type="dxa"/>
            <w:tcBorders/>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pPr>
            <w:r>
              <w:rPr/>
              <w:t>Total shares from the Mergers and PIPE Financing</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19,796,221</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Legacy Complete Solaria shares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20,034,257</w:t>
            </w:r>
          </w:p>
        </w:tc>
        <w:tc>
          <w:tcPr>
            <w:tcW w:w="11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2022 Convertible Note Shares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single" w:sz="12" w:space="0" w:color="000000"/>
            </w:tcBorders>
            <w:shd w:fill="CCEEFF" w:val="clear"/>
            <w:tcMar>
              <w:bottom w:w="28" w:type="dxa"/>
            </w:tcMar>
            <w:vAlign w:val="center"/>
          </w:tcPr>
          <w:p>
            <w:pPr>
              <w:pStyle w:val="TableContents"/>
              <w:bidi w:val="0"/>
              <w:spacing w:before="0" w:after="283"/>
              <w:jc w:val="right"/>
              <w:rPr/>
            </w:pPr>
            <w:r>
              <w:rPr/>
              <w:t>5,460,075</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Shares of Complete Solaria Common stock immediately after Mergers</w:t>
            </w:r>
          </w:p>
        </w:tc>
        <w:tc>
          <w:tcPr>
            <w:tcW w:w="60" w:type="dxa"/>
            <w:tcBorders/>
            <w:vAlign w:val="center"/>
          </w:tcPr>
          <w:p>
            <w:pPr>
              <w:pStyle w:val="TableContents"/>
              <w:bidi w:val="0"/>
              <w:spacing w:before="0" w:after="283"/>
              <w:jc w:val="left"/>
              <w:rPr/>
            </w:pPr>
            <w:r>
              <w:rPr/>
              <w:t> </w:t>
            </w:r>
          </w:p>
        </w:tc>
        <w:tc>
          <w:tcPr>
            <w:tcW w:w="80" w:type="dxa"/>
            <w:tcBorders>
              <w:bottom w:val="double" w:sz="10" w:space="0" w:color="000000"/>
            </w:tcBorders>
            <w:tcMar>
              <w:bottom w:w="28" w:type="dxa"/>
            </w:tcMar>
            <w:vAlign w:val="center"/>
          </w:tcPr>
          <w:p>
            <w:pPr>
              <w:pStyle w:val="TableContents"/>
              <w:bidi w:val="0"/>
              <w:spacing w:before="0" w:after="283"/>
              <w:jc w:val="left"/>
              <w:rPr/>
            </w:pPr>
            <w:r>
              <w:rPr/>
              <w:t> </w:t>
            </w:r>
          </w:p>
        </w:tc>
        <w:tc>
          <w:tcPr>
            <w:tcW w:w="1575" w:type="dxa"/>
            <w:tcBorders>
              <w:bottom w:val="double" w:sz="10" w:space="0" w:color="000000"/>
            </w:tcBorders>
            <w:tcMar>
              <w:bottom w:w="28" w:type="dxa"/>
            </w:tcMar>
            <w:vAlign w:val="center"/>
          </w:tcPr>
          <w:p>
            <w:pPr>
              <w:pStyle w:val="TableContents"/>
              <w:bidi w:val="0"/>
              <w:spacing w:before="0" w:after="283"/>
              <w:jc w:val="right"/>
              <w:rPr/>
            </w:pPr>
            <w:r>
              <w:rPr/>
              <w:t>45,290,553</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the Company incurred direct and incremental costs of approximately $15.8 million related to legal, accounting, and other professional fees, which were offset against the Company’s additional paid-in capital. Of the $15.8 million, $5.2 million was incurred by Legacy Complete Solaria and $10.6 million was incurred by FACT. As of December 31, 2023, the Company made cash payments totaling $5.4 million to settle transaction costs. As a result of the Closing, outstanding 2022 Convertible Notes were converted into shares of Complete Solaria Common Stock.</w:t>
      </w:r>
    </w:p>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60"/>
        <w:gridCol w:w="2660"/>
      </w:tblGrid>
      <w:tr>
        <w:trPr/>
        <w:tc>
          <w:tcPr>
            <w:tcW w:w="260" w:type="dxa"/>
            <w:tcBorders/>
            <w:vAlign w:val="center"/>
          </w:tcPr>
          <w:p>
            <w:pPr>
              <w:pStyle w:val="TableContents"/>
              <w:bidi w:val="0"/>
              <w:spacing w:before="0" w:after="283"/>
              <w:jc w:val="left"/>
              <w:rPr>
                <w:b/>
                <w:sz w:val="20"/>
              </w:rPr>
            </w:pPr>
            <w:r>
              <w:rPr>
                <w:b/>
                <w:sz w:val="20"/>
              </w:rPr>
              <w:t>(5)</w:t>
            </w:r>
          </w:p>
        </w:tc>
        <w:tc>
          <w:tcPr>
            <w:tcW w:w="2660" w:type="dxa"/>
            <w:tcBorders/>
            <w:vAlign w:val="center"/>
          </w:tcPr>
          <w:p>
            <w:pPr>
              <w:pStyle w:val="TableContents"/>
              <w:bidi w:val="0"/>
              <w:spacing w:before="0" w:after="283"/>
              <w:jc w:val="left"/>
              <w:rPr>
                <w:b/>
                <w:sz w:val="20"/>
              </w:rPr>
            </w:pPr>
            <w:r>
              <w:rPr>
                <w:b/>
                <w:sz w:val="20"/>
              </w:rPr>
              <w:t>Forward Purchase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Inc. entered into FPAs with each of (i) Meteora; (ii) Polar, and (iii) Sandia (each individually, a “Seller”, and together, the “FPA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forward contracts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Settlement occurs as of the Valuation Date, which is the earlier to occur of (a) the date that is two years after the date of the Closing Date of the Mergers (b) the date specified by Seller in a written notice to be delivered to the Counterparty at the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recorded a liability and other (expense) income, net based on the fair value upon of the obligation upon the signing of the FPAs. The liability was extinguished in July 2023 upon the issuance of Complete Solaria Common Stock to the FPA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the Company has determined that the forward contracts are financial instruments other than shares that represent or are indexed to obligations to repurchase the issuer’s equity shares by transferring assets, referred to herein as the “forward purchase liability” on its unaudited condensed consolidated balance sheets. The Company initially measured the forward purchase liabilities at fair value and has subsequently remeasured them at fair value with changes in fair value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date of issuance of the Complete Solaria Common Stock in satisfaction of the Company’s obligation to issue shares around the closing of the Mergers, the Company recorded $35.5 million to other (expense) income, net associated with the issuance of 6,720,000 shares of Complete Solaria Common Stock in association with the FPAs.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of the Mergers and issuance of the Complete Solaria Common Stock underlying the FPAs, the fair value of the prepaid FPAs was an asset balance of $0.1 million and was recorded on the Company’s unaudited condensed consolidated balance sheets and within other (expense) income, net on the unaudited condensed consolidated statements of operations and comprehensive loss. Subsequently, the change of fair value of the forward purchase liabilities amounted to income of $2.8 million for the thirteen weeks ended June 30, 2024, and expense of $2.8 million for the twenty-six weeks ended June 30, 2024, respectively. As of June 30, 2024, and December 31, 2023, the forward purchase liabilities amounted to $6.7 million and $3.8 million, respectively. Of the balances as of June 30, 2024 and December 31, 2023, $5.6 million and $3.2 million, respectively, are due to related parties Refer to Note 19 – Related Party Transactions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and the FPA Sellers entered into separate amendments to the FPAs (the “Amendments”). The Amendments lower the reset floor price of each FPA from $5.00 to $3.00 and allow the Company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and 8, 2024, respectively, the Company entered into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the Company executes similar amendments with both Polar and Meteora.</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the Company entered into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 Execution of the Sandia Third Amendment was conditioned on both Carlyle and Kline Hill consummating the terms of the Debt-Equity Swap as discussed in Note 20 – Subsequent Events. In the event either Polar or Meteora amend their FPAs to include different terms from the $1.00 per share reset price and VWAP trigger adjustment, or file a notice of a VWAP trigger event, the Sandia FPA will be retroactively amended to reflect those improved terms and liquidity on their entire FPA, including any of the 1,050,000 shares that are sold upon execution of Sandia Third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60"/>
        <w:gridCol w:w="3710"/>
      </w:tblGrid>
      <w:tr>
        <w:trPr/>
        <w:tc>
          <w:tcPr>
            <w:tcW w:w="260" w:type="dxa"/>
            <w:tcBorders/>
            <w:vAlign w:val="center"/>
          </w:tcPr>
          <w:p>
            <w:pPr>
              <w:pStyle w:val="TableContents"/>
              <w:bidi w:val="0"/>
              <w:spacing w:before="0" w:after="283"/>
              <w:jc w:val="left"/>
              <w:rPr>
                <w:b/>
                <w:sz w:val="20"/>
              </w:rPr>
            </w:pPr>
            <w:r>
              <w:rPr>
                <w:b/>
                <w:sz w:val="20"/>
              </w:rPr>
              <w:t>(6)</w:t>
            </w:r>
          </w:p>
        </w:tc>
        <w:tc>
          <w:tcPr>
            <w:tcW w:w="3710" w:type="dxa"/>
            <w:tcBorders/>
            <w:vAlign w:val="center"/>
          </w:tcPr>
          <w:p>
            <w:pPr>
              <w:pStyle w:val="TableContents"/>
              <w:bidi w:val="0"/>
              <w:spacing w:before="0" w:after="283"/>
              <w:jc w:val="both"/>
              <w:rPr>
                <w:b/>
                <w:sz w:val="20"/>
              </w:rPr>
            </w:pPr>
            <w:r>
              <w:rPr>
                <w:b/>
                <w:sz w:val="20"/>
              </w:rPr>
              <w:t>Prepaid Expenses and Other Current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 of the following (in thousands):</w:t>
      </w:r>
    </w:p>
    <w:p>
      <w:pPr>
        <w:pStyle w:val="TextBody"/>
        <w:bidi w:val="0"/>
        <w:spacing w:before="0" w:after="0"/>
        <w:ind w:left="360" w:right="0" w:hanging="0"/>
        <w:jc w:val="both"/>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4475"/>
        <w:gridCol w:w="60"/>
        <w:gridCol w:w="175"/>
        <w:gridCol w:w="700"/>
        <w:gridCol w:w="60"/>
        <w:gridCol w:w="60"/>
        <w:gridCol w:w="283"/>
        <w:gridCol w:w="1132"/>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4,185</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Inventory deposits</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616</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1,016</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Total prepaid expenses and other current assets</w:t>
            </w:r>
          </w:p>
        </w:tc>
        <w:tc>
          <w:tcPr>
            <w:tcW w:w="6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tcMar>
              <w:bottom w:w="28" w:type="dxa"/>
            </w:tcMar>
            <w:vAlign w:val="center"/>
          </w:tcPr>
          <w:p>
            <w:pPr>
              <w:pStyle w:val="TableContents"/>
              <w:bidi w:val="0"/>
              <w:spacing w:before="0" w:after="283"/>
              <w:jc w:val="right"/>
              <w:rPr/>
            </w:pPr>
            <w:r>
              <w:rPr/>
              <w:t>7,140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bottom w:val="double" w:sz="10" w:space="0" w:color="000000"/>
            </w:tcBorders>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tcMar>
              <w:bottom w:w="28" w:type="dxa"/>
            </w:tcMar>
            <w:vAlign w:val="center"/>
          </w:tcPr>
          <w:p>
            <w:pPr>
              <w:pStyle w:val="TableContents"/>
              <w:bidi w:val="0"/>
              <w:spacing w:before="0" w:after="283"/>
              <w:jc w:val="right"/>
              <w:rPr/>
            </w:pPr>
            <w:r>
              <w:rPr/>
              <w:t>5,817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60"/>
        <w:gridCol w:w="1010"/>
      </w:tblGrid>
      <w:tr>
        <w:trPr/>
        <w:tc>
          <w:tcPr>
            <w:tcW w:w="260" w:type="dxa"/>
            <w:tcBorders/>
            <w:vAlign w:val="center"/>
          </w:tcPr>
          <w:p>
            <w:pPr>
              <w:pStyle w:val="TableContents"/>
              <w:bidi w:val="0"/>
              <w:spacing w:before="0" w:after="283"/>
              <w:jc w:val="left"/>
              <w:rPr>
                <w:b/>
                <w:sz w:val="20"/>
              </w:rPr>
            </w:pPr>
            <w:r>
              <w:rPr>
                <w:b/>
                <w:sz w:val="20"/>
              </w:rPr>
              <w:t>(7)</w:t>
            </w:r>
          </w:p>
        </w:tc>
        <w:tc>
          <w:tcPr>
            <w:tcW w:w="1010" w:type="dxa"/>
            <w:tcBorders/>
            <w:vAlign w:val="center"/>
          </w:tcPr>
          <w:p>
            <w:pPr>
              <w:pStyle w:val="TableContents"/>
              <w:bidi w:val="0"/>
              <w:spacing w:before="0" w:after="283"/>
              <w:jc w:val="both"/>
              <w:rPr>
                <w:b/>
                <w:sz w:val="20"/>
              </w:rPr>
            </w:pPr>
            <w:r>
              <w:rPr>
                <w:b/>
                <w:sz w:val="20"/>
              </w:rPr>
              <w:t xml:space="preserve">Divestiture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described in Note 1 – Organization, on August 18, 2023, the Company entered into a Non-Binding Letter of Intent to sell certain of Complete Solaria’s North American solar panel assets, inclusive of intellectual property and customer contracts, to Maxeon. Under the terms of the Disposal Agreement, Maxeon agreed to acquire certain assets and employees of Complete Solaria. The Company determined that this divestiture represented a strategic shift in the Company’s business and qualified as a discontinued operation. In October 2023, the Company completed the sale of its solar panel business to Maxeon, pursuant to the terms of the Asset Purchase Agreement Disposal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loss from discontinued operations of $2.0 million for the thirteen and twenty-six weeks ended June 30, 2024, arising from attorney fees incurred in connection with litigation attributable to the solar panel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reflected in the unaudited condensed consolidated statements of operations and comprehensive loss in 2023 related to discontinued operations are presented in the table, as follows (in thousands):</w:t>
      </w:r>
    </w:p>
    <w:p>
      <w:pPr>
        <w:pStyle w:val="TextBody"/>
        <w:bidi w:val="0"/>
        <w:spacing w:before="0" w:after="0"/>
        <w:ind w:left="0" w:right="0" w:hanging="0"/>
        <w:jc w:val="both"/>
        <w:rPr>
          <w:caps w:val="false"/>
          <w:smallCaps w:val="false"/>
        </w:rPr>
      </w:pPr>
      <w:r>
        <w:rPr>
          <w:caps w:val="false"/>
          <w:smallCaps w:val="false"/>
        </w:rPr>
        <w:t> </w:t>
      </w:r>
    </w:p>
    <w:tbl>
      <w:tblPr>
        <w:tblW w:w="8423" w:type="dxa"/>
        <w:jc w:val="left"/>
        <w:tblInd w:w="0" w:type="dxa"/>
        <w:tblLayout w:type="fixed"/>
        <w:tblCellMar>
          <w:top w:w="0" w:type="dxa"/>
          <w:left w:w="0" w:type="dxa"/>
          <w:bottom w:w="0" w:type="dxa"/>
          <w:right w:w="0" w:type="dxa"/>
        </w:tblCellMar>
      </w:tblPr>
      <w:tblGrid>
        <w:gridCol w:w="5240"/>
        <w:gridCol w:w="60"/>
        <w:gridCol w:w="257"/>
        <w:gridCol w:w="1172"/>
        <w:gridCol w:w="95"/>
        <w:gridCol w:w="60"/>
        <w:gridCol w:w="222"/>
        <w:gridCol w:w="1207"/>
        <w:gridCol w:w="110"/>
      </w:tblGrid>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Thirteen</w:t>
              <w:br/>
              <w:t>Weeks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b/>
              </w:rPr>
            </w:pPr>
            <w:r>
              <w:rPr>
                <w:b/>
              </w:rPr>
              <w:t>Twenty-Six-</w:t>
              <w:br/>
              <w:t>Weeks Ended</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July 2,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July 2, </w:t>
              <w:br/>
              <w:t>2023</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6,553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25,274</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283"/>
              <w:jc w:val="right"/>
              <w:rPr/>
            </w:pPr>
            <w:r>
              <w:rPr/>
              <w:t>7,028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tcMar>
              <w:bottom w:w="28" w:type="dxa"/>
            </w:tcMar>
            <w:vAlign w:val="center"/>
          </w:tcPr>
          <w:p>
            <w:pPr>
              <w:pStyle w:val="TableContents"/>
              <w:bidi w:val="0"/>
              <w:spacing w:before="0" w:after="283"/>
              <w:jc w:val="right"/>
              <w:rPr/>
            </w:pPr>
            <w:r>
              <w:rPr/>
              <w:t>26,507</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(1,233</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4,430</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283"/>
              <w:jc w:val="right"/>
              <w:rPr/>
            </w:pPr>
            <w:r>
              <w:rPr/>
              <w:t>2,706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tcMar>
              <w:bottom w:w="28" w:type="dxa"/>
            </w:tcMar>
            <w:vAlign w:val="center"/>
          </w:tcPr>
          <w:p>
            <w:pPr>
              <w:pStyle w:val="TableContents"/>
              <w:bidi w:val="0"/>
              <w:spacing w:before="0" w:after="283"/>
              <w:jc w:val="right"/>
              <w:rPr/>
            </w:pPr>
            <w:r>
              <w:rPr/>
              <w:t>6,891</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4,270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11,321</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Loss from discontinued operations</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(4,745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(12,554</w:t>
            </w:r>
          </w:p>
        </w:tc>
        <w:tc>
          <w:tcPr>
            <w:tcW w:w="110" w:type="dxa"/>
            <w:tcBorders/>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Loss from discontinued operations before income taxes</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(4,744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(12,553</w:t>
            </w:r>
          </w:p>
        </w:tc>
        <w:tc>
          <w:tcPr>
            <w:tcW w:w="110" w:type="dxa"/>
            <w:tcBorders/>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Net loss from discontinued operations</w:t>
            </w:r>
          </w:p>
        </w:tc>
        <w:tc>
          <w:tcPr>
            <w:tcW w:w="60"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pPr>
            <w:r>
              <w:rPr/>
              <w:t>$</w:t>
            </w:r>
          </w:p>
        </w:tc>
        <w:tc>
          <w:tcPr>
            <w:tcW w:w="1172" w:type="dxa"/>
            <w:tcBorders>
              <w:bottom w:val="double" w:sz="10" w:space="0" w:color="000000"/>
            </w:tcBorders>
            <w:tcMar>
              <w:bottom w:w="28" w:type="dxa"/>
            </w:tcMar>
            <w:vAlign w:val="center"/>
          </w:tcPr>
          <w:p>
            <w:pPr>
              <w:pStyle w:val="TableContents"/>
              <w:bidi w:val="0"/>
              <w:spacing w:before="0" w:after="283"/>
              <w:jc w:val="right"/>
              <w:rPr/>
            </w:pPr>
            <w:r>
              <w:rPr/>
              <w:t>(4,744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 w:type="dxa"/>
            <w:tcBorders>
              <w:bottom w:val="double" w:sz="10" w:space="0" w:color="000000"/>
            </w:tcBorders>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tcMar>
              <w:bottom w:w="28" w:type="dxa"/>
            </w:tcMar>
            <w:vAlign w:val="center"/>
          </w:tcPr>
          <w:p>
            <w:pPr>
              <w:pStyle w:val="TableContents"/>
              <w:bidi w:val="0"/>
              <w:spacing w:before="0" w:after="283"/>
              <w:jc w:val="right"/>
              <w:rPr/>
            </w:pPr>
            <w:r>
              <w:rPr/>
              <w:t>(12,549</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60"/>
        <w:gridCol w:w="2510"/>
      </w:tblGrid>
      <w:tr>
        <w:trPr/>
        <w:tc>
          <w:tcPr>
            <w:tcW w:w="260" w:type="dxa"/>
            <w:tcBorders/>
            <w:vAlign w:val="center"/>
          </w:tcPr>
          <w:p>
            <w:pPr>
              <w:pStyle w:val="TableContents"/>
              <w:bidi w:val="0"/>
              <w:spacing w:before="0" w:after="283"/>
              <w:jc w:val="left"/>
              <w:rPr>
                <w:b/>
                <w:sz w:val="20"/>
              </w:rPr>
            </w:pPr>
            <w:r>
              <w:rPr>
                <w:b/>
                <w:sz w:val="20"/>
              </w:rPr>
              <w:t>(8)</w:t>
            </w:r>
          </w:p>
        </w:tc>
        <w:tc>
          <w:tcPr>
            <w:tcW w:w="2510" w:type="dxa"/>
            <w:tcBorders/>
            <w:vAlign w:val="center"/>
          </w:tcPr>
          <w:p>
            <w:pPr>
              <w:pStyle w:val="TableContents"/>
              <w:bidi w:val="0"/>
              <w:spacing w:before="0" w:after="283"/>
              <w:jc w:val="left"/>
              <w:rPr>
                <w:b/>
                <w:sz w:val="20"/>
              </w:rPr>
            </w:pPr>
            <w:r>
              <w:rPr>
                <w:b/>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 (in thousands, except year data):</w:t>
      </w:r>
    </w:p>
    <w:p>
      <w:pPr>
        <w:pStyle w:val="TextBody"/>
        <w:bidi w:val="0"/>
        <w:spacing w:before="0" w:after="0"/>
        <w:ind w:left="0" w:right="0" w:hanging="0"/>
        <w:jc w:val="left"/>
        <w:rPr>
          <w:caps w:val="false"/>
          <w:smallCaps w:val="false"/>
        </w:rPr>
      </w:pPr>
      <w:r>
        <w:rPr>
          <w:caps w:val="false"/>
          <w:smallCaps w:val="false"/>
        </w:rPr>
        <w:t> </w:t>
      </w:r>
    </w:p>
    <w:tbl>
      <w:tblPr>
        <w:tblW w:w="8564" w:type="dxa"/>
        <w:jc w:val="left"/>
        <w:tblInd w:w="0" w:type="dxa"/>
        <w:tblLayout w:type="fixed"/>
        <w:tblCellMar>
          <w:top w:w="0" w:type="dxa"/>
          <w:left w:w="0" w:type="dxa"/>
          <w:bottom w:w="0" w:type="dxa"/>
          <w:right w:w="0" w:type="dxa"/>
        </w:tblCellMar>
      </w:tblPr>
      <w:tblGrid>
        <w:gridCol w:w="4625"/>
        <w:gridCol w:w="60"/>
        <w:gridCol w:w="1265"/>
        <w:gridCol w:w="60"/>
        <w:gridCol w:w="158"/>
        <w:gridCol w:w="716"/>
        <w:gridCol w:w="95"/>
        <w:gridCol w:w="60"/>
        <w:gridCol w:w="255"/>
        <w:gridCol w:w="1160"/>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24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12" w:space="0" w:color="000000"/>
            </w:tcBorders>
            <w:tcMar>
              <w:bottom w:w="28" w:type="dxa"/>
            </w:tcMar>
            <w:vAlign w:val="center"/>
          </w:tcPr>
          <w:p>
            <w:pPr>
              <w:pStyle w:val="TableContents"/>
              <w:bidi w:val="0"/>
              <w:spacing w:before="0" w:after="283"/>
              <w:jc w:val="center"/>
              <w:rPr>
                <w:b/>
              </w:rPr>
            </w:pPr>
            <w:r>
              <w:rPr>
                <w:b/>
              </w:rPr>
              <w:t>Useful Lives</w:t>
              <w:br/>
              <w:t>(Years)</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Developed software</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7,876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6,993</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Manufacturing equipment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131</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Leasehold improvements</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tcMar>
              <w:bottom w:w="28" w:type="dxa"/>
            </w:tcMar>
            <w:vAlign w:val="center"/>
          </w:tcPr>
          <w:p>
            <w:pPr>
              <w:pStyle w:val="TableContents"/>
              <w:bidi w:val="0"/>
              <w:spacing w:before="0" w:after="283"/>
              <w:jc w:val="right"/>
              <w:rPr/>
            </w:pPr>
            <w:r>
              <w:rPr/>
              <w:t>708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708</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8,753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7,928</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Less: accumulated depreciation and amortization</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tcMar>
              <w:bottom w:w="28" w:type="dxa"/>
            </w:tcMar>
            <w:vAlign w:val="center"/>
          </w:tcPr>
          <w:p>
            <w:pPr>
              <w:pStyle w:val="TableContents"/>
              <w:bidi w:val="0"/>
              <w:spacing w:before="0" w:after="283"/>
              <w:jc w:val="right"/>
              <w:rPr/>
            </w:pPr>
            <w:r>
              <w:rPr/>
              <w:t>(4,297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(3,611</w:t>
            </w:r>
          </w:p>
        </w:tc>
        <w:tc>
          <w:tcPr>
            <w:tcW w:w="110" w:type="dxa"/>
            <w:tcBorders/>
            <w:vAlign w:val="center"/>
          </w:tcPr>
          <w:p>
            <w:pPr>
              <w:pStyle w:val="TableContents"/>
              <w:bidi w:val="0"/>
              <w:spacing w:before="0" w:after="283"/>
              <w:jc w:val="left"/>
              <w:rPr/>
            </w:pPr>
            <w:r>
              <w:rPr/>
              <w:t>)</w:t>
            </w:r>
          </w:p>
        </w:tc>
      </w:tr>
      <w:tr>
        <w:trPr/>
        <w:tc>
          <w:tcPr>
            <w:tcW w:w="4625"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6" w:type="dxa"/>
            <w:tcBorders>
              <w:bottom w:val="double" w:sz="10" w:space="0" w:color="000000"/>
            </w:tcBorders>
            <w:shd w:fill="CCEEFF" w:val="clear"/>
            <w:tcMar>
              <w:bottom w:w="28" w:type="dxa"/>
            </w:tcMar>
            <w:vAlign w:val="center"/>
          </w:tcPr>
          <w:p>
            <w:pPr>
              <w:pStyle w:val="TableContents"/>
              <w:bidi w:val="0"/>
              <w:spacing w:before="0" w:after="283"/>
              <w:jc w:val="right"/>
              <w:rPr/>
            </w:pPr>
            <w:r>
              <w:rPr/>
              <w:t>4,456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pPr>
            <w:r>
              <w:rPr/>
              <w:t>4,317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from continuing operations totaled $0.3 million and $0.2 million for the thirteen weeks ended June 30, 2024 and July 2, 2023, respectively. Depreciation and amortization expense from continuing operations totaled $0.7 million and $0.4 million for the twenty-six weeks ended June, 2024 and July 2, 2023, respectively. 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60"/>
        <w:gridCol w:w="4100"/>
      </w:tblGrid>
      <w:tr>
        <w:trPr/>
        <w:tc>
          <w:tcPr>
            <w:tcW w:w="260" w:type="dxa"/>
            <w:tcBorders/>
            <w:vAlign w:val="center"/>
          </w:tcPr>
          <w:p>
            <w:pPr>
              <w:pStyle w:val="TableContents"/>
              <w:bidi w:val="0"/>
              <w:spacing w:before="0" w:after="283"/>
              <w:jc w:val="left"/>
              <w:rPr>
                <w:b/>
                <w:sz w:val="20"/>
              </w:rPr>
            </w:pPr>
            <w:r>
              <w:rPr>
                <w:b/>
                <w:sz w:val="20"/>
              </w:rPr>
              <w:t>(9)</w:t>
            </w:r>
          </w:p>
        </w:tc>
        <w:tc>
          <w:tcPr>
            <w:tcW w:w="4100" w:type="dxa"/>
            <w:tcBorders/>
            <w:vAlign w:val="center"/>
          </w:tcPr>
          <w:p>
            <w:pPr>
              <w:pStyle w:val="TableContents"/>
              <w:bidi w:val="0"/>
              <w:spacing w:before="0" w:after="283"/>
              <w:jc w:val="left"/>
              <w:rPr>
                <w:b/>
                <w:sz w:val="20"/>
              </w:rPr>
            </w:pPr>
            <w:r>
              <w:rPr>
                <w:b/>
                <w:sz w:val="20"/>
              </w:rPr>
              <w:t>Accrued Expenses and Other Current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 (in thousands):</w:t>
      </w:r>
    </w:p>
    <w:p>
      <w:pPr>
        <w:pStyle w:val="TextBody"/>
        <w:bidi w:val="0"/>
        <w:spacing w:before="0" w:after="0"/>
        <w:ind w:left="360" w:right="0" w:hanging="0"/>
        <w:jc w:val="both"/>
        <w:rPr>
          <w:caps w:val="false"/>
          <w:smallCaps w:val="false"/>
        </w:rPr>
      </w:pPr>
      <w:r>
        <w:rPr>
          <w:caps w:val="false"/>
          <w:smallCaps w:val="false"/>
        </w:rPr>
        <w:t> </w:t>
      </w:r>
    </w:p>
    <w:tbl>
      <w:tblPr>
        <w:tblW w:w="9509" w:type="dxa"/>
        <w:jc w:val="left"/>
        <w:tblInd w:w="0" w:type="dxa"/>
        <w:tblLayout w:type="fixed"/>
        <w:tblCellMar>
          <w:top w:w="0" w:type="dxa"/>
          <w:left w:w="0" w:type="dxa"/>
          <w:bottom w:w="0" w:type="dxa"/>
          <w:right w:w="0" w:type="dxa"/>
        </w:tblCellMar>
      </w:tblPr>
      <w:tblGrid>
        <w:gridCol w:w="6965"/>
        <w:gridCol w:w="60"/>
        <w:gridCol w:w="149"/>
        <w:gridCol w:w="725"/>
        <w:gridCol w:w="60"/>
        <w:gridCol w:w="60"/>
        <w:gridCol w:w="241"/>
        <w:gridCol w:w="1174"/>
        <w:gridCol w:w="75"/>
      </w:tblGrid>
      <w:tr>
        <w:trPr/>
        <w:tc>
          <w:tcPr>
            <w:tcW w:w="6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7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4,071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3,969</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Customer deposits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243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544</w:t>
            </w:r>
          </w:p>
        </w:tc>
        <w:tc>
          <w:tcPr>
            <w:tcW w:w="7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Uninvoiced contract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671</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Accrued term loan and revolving loan amendment and final payment fees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2,400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2,400</w:t>
            </w:r>
          </w:p>
        </w:tc>
        <w:tc>
          <w:tcPr>
            <w:tcW w:w="7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Accrued legal settlements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7,700</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Accrued taxes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931</w:t>
            </w:r>
          </w:p>
        </w:tc>
        <w:tc>
          <w:tcPr>
            <w:tcW w:w="7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Accrued rebates and credits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677</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Operating lease liabilities, current</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607</w:t>
            </w:r>
          </w:p>
        </w:tc>
        <w:tc>
          <w:tcPr>
            <w:tcW w:w="7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Accrued warranty, current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1,433</w:t>
            </w:r>
          </w:p>
        </w:tc>
        <w:tc>
          <w:tcPr>
            <w:tcW w:w="7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Other accrued liabilities</w:t>
            </w:r>
          </w:p>
        </w:tc>
        <w:tc>
          <w:tcPr>
            <w:tcW w:w="6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8,559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tcMar>
              <w:bottom w:w="28" w:type="dxa"/>
            </w:tcMar>
            <w:vAlign w:val="center"/>
          </w:tcPr>
          <w:p>
            <w:pPr>
              <w:pStyle w:val="TableContents"/>
              <w:bidi w:val="0"/>
              <w:spacing w:before="0" w:after="283"/>
              <w:jc w:val="right"/>
              <w:rPr/>
            </w:pPr>
            <w:r>
              <w:rPr/>
              <w:t>8,938</w:t>
            </w:r>
          </w:p>
        </w:tc>
        <w:tc>
          <w:tcPr>
            <w:tcW w:w="7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25,832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27,870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65"/>
        <w:gridCol w:w="1580"/>
      </w:tblGrid>
      <w:tr>
        <w:trPr/>
        <w:tc>
          <w:tcPr>
            <w:tcW w:w="365" w:type="dxa"/>
            <w:tcBorders/>
            <w:vAlign w:val="center"/>
          </w:tcPr>
          <w:p>
            <w:pPr>
              <w:pStyle w:val="TableContents"/>
              <w:bidi w:val="0"/>
              <w:spacing w:before="0" w:after="283"/>
              <w:jc w:val="left"/>
              <w:rPr>
                <w:b/>
                <w:sz w:val="20"/>
              </w:rPr>
            </w:pPr>
            <w:r>
              <w:rPr>
                <w:b/>
                <w:sz w:val="20"/>
              </w:rPr>
              <w:t>(10)</w:t>
            </w:r>
          </w:p>
        </w:tc>
        <w:tc>
          <w:tcPr>
            <w:tcW w:w="1580" w:type="dxa"/>
            <w:tcBorders/>
            <w:vAlign w:val="center"/>
          </w:tcPr>
          <w:p>
            <w:pPr>
              <w:pStyle w:val="TableContents"/>
              <w:bidi w:val="0"/>
              <w:spacing w:before="0" w:after="283"/>
              <w:jc w:val="left"/>
              <w:rPr>
                <w:b/>
                <w:sz w:val="20"/>
              </w:rPr>
            </w:pPr>
            <w:r>
              <w:rPr>
                <w:b/>
                <w:sz w:val="20"/>
              </w:rPr>
              <w:t>Other Income,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2"/>
        <w:gridCol w:w="60"/>
        <w:gridCol w:w="181"/>
        <w:gridCol w:w="824"/>
        <w:gridCol w:w="122"/>
        <w:gridCol w:w="76"/>
        <w:gridCol w:w="181"/>
        <w:gridCol w:w="730"/>
        <w:gridCol w:w="60"/>
        <w:gridCol w:w="60"/>
        <w:gridCol w:w="195"/>
        <w:gridCol w:w="888"/>
        <w:gridCol w:w="132"/>
        <w:gridCol w:w="83"/>
        <w:gridCol w:w="195"/>
        <w:gridCol w:w="783"/>
        <w:gridCol w:w="83"/>
      </w:tblGrid>
      <w:tr>
        <w:trPr/>
        <w:tc>
          <w:tcPr>
            <w:tcW w:w="55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Twenty-Six Weeks Ended</w:t>
            </w:r>
          </w:p>
        </w:tc>
        <w:tc>
          <w:tcPr>
            <w:tcW w:w="83" w:type="dxa"/>
            <w:tcBorders/>
            <w:vAlign w:val="center"/>
          </w:tcPr>
          <w:p>
            <w:pPr>
              <w:pStyle w:val="TableContents"/>
              <w:bidi w:val="0"/>
              <w:spacing w:before="0" w:after="283"/>
              <w:jc w:val="left"/>
              <w:rPr/>
            </w:pPr>
            <w:r>
              <w:rPr/>
              <w:t> </w:t>
            </w:r>
          </w:p>
        </w:tc>
      </w:tr>
      <w:tr>
        <w:trPr/>
        <w:tc>
          <w:tcPr>
            <w:tcW w:w="55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w:t>
              <w:br/>
              <w:t>2023</w:t>
            </w:r>
          </w:p>
        </w:tc>
        <w:tc>
          <w:tcPr>
            <w:tcW w:w="83" w:type="dxa"/>
            <w:tcBorders/>
            <w:vAlign w:val="center"/>
          </w:tcPr>
          <w:p>
            <w:pPr>
              <w:pStyle w:val="TableContents"/>
              <w:bidi w:val="0"/>
              <w:spacing w:before="0" w:after="283"/>
              <w:ind w:left="0" w:right="0" w:hanging="180"/>
              <w:jc w:val="left"/>
              <w:rPr/>
            </w:pPr>
            <w:r>
              <w:rPr/>
              <w:t> </w:t>
            </w:r>
          </w:p>
        </w:tc>
      </w:tr>
      <w:tr>
        <w:trPr/>
        <w:tc>
          <w:tcPr>
            <w:tcW w:w="5552" w:type="dxa"/>
            <w:tcBorders/>
            <w:shd w:fill="CCEEFF" w:val="clear"/>
            <w:vAlign w:val="center"/>
          </w:tcPr>
          <w:p>
            <w:pPr>
              <w:pStyle w:val="TableContents"/>
              <w:bidi w:val="0"/>
              <w:spacing w:before="0" w:after="283"/>
              <w:jc w:val="left"/>
              <w:rPr/>
            </w:pPr>
            <w:r>
              <w:rPr/>
              <w:t>Change in fair value of redeemable convertible preferred stock warrant liability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4" w:type="dxa"/>
            <w:tcBorders/>
            <w:shd w:fill="CCEEFF" w:val="clear"/>
            <w:vAlign w:val="center"/>
          </w:tcPr>
          <w:p>
            <w:pPr>
              <w:pStyle w:val="TableContents"/>
              <w:bidi w:val="0"/>
              <w:spacing w:before="0" w:after="283"/>
              <w:jc w:val="right"/>
              <w:rPr/>
            </w:pPr>
            <w:r>
              <w:rPr/>
              <w:t>5</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9,207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1,310</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9,416</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5552" w:type="dxa"/>
            <w:tcBorders/>
            <w:vAlign w:val="center"/>
          </w:tcPr>
          <w:p>
            <w:pPr>
              <w:pStyle w:val="TableContents"/>
              <w:bidi w:val="0"/>
              <w:spacing w:before="0" w:after="283"/>
              <w:jc w:val="left"/>
              <w:rPr/>
            </w:pPr>
            <w:r>
              <w:rPr/>
              <w:t>Change in fair value of Carlyle warrants</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(3,560</w:t>
            </w:r>
          </w:p>
        </w:tc>
        <w:tc>
          <w:tcPr>
            <w:tcW w:w="122" w:type="dxa"/>
            <w:tcBorders/>
            <w:vAlign w:val="center"/>
          </w:tcPr>
          <w:p>
            <w:pPr>
              <w:pStyle w:val="TableContents"/>
              <w:bidi w:val="0"/>
              <w:spacing w:before="0" w:after="283"/>
              <w:jc w:val="left"/>
              <w:rPr/>
            </w:pPr>
            <w:r>
              <w:rPr/>
              <w:t>)</w:t>
            </w:r>
          </w:p>
        </w:tc>
        <w:tc>
          <w:tcPr>
            <w:tcW w:w="7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2,869</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0"/>
              <w:jc w:val="right"/>
              <w:rPr/>
            </w:pPr>
            <w:r>
              <w:rPr/>
              <w:t>—</w:t>
            </w:r>
          </w:p>
        </w:tc>
        <w:tc>
          <w:tcPr>
            <w:tcW w:w="83" w:type="dxa"/>
            <w:tcBorders/>
            <w:vAlign w:val="center"/>
          </w:tcPr>
          <w:p>
            <w:pPr>
              <w:pStyle w:val="TableContents"/>
              <w:bidi w:val="0"/>
              <w:spacing w:before="0" w:after="283"/>
              <w:ind w:left="0" w:right="0" w:hanging="180"/>
              <w:jc w:val="left"/>
              <w:rPr/>
            </w:pPr>
            <w:r>
              <w:rPr/>
              <w:t> </w:t>
            </w:r>
          </w:p>
        </w:tc>
      </w:tr>
      <w:tr>
        <w:trPr/>
        <w:tc>
          <w:tcPr>
            <w:tcW w:w="5552" w:type="dxa"/>
            <w:tcBorders/>
            <w:shd w:fill="CCEEFF" w:val="clear"/>
            <w:vAlign w:val="center"/>
          </w:tcPr>
          <w:p>
            <w:pPr>
              <w:pStyle w:val="TableContents"/>
              <w:bidi w:val="0"/>
              <w:spacing w:before="0" w:after="283"/>
              <w:jc w:val="left"/>
              <w:rPr/>
            </w:pPr>
            <w:r>
              <w:rPr/>
              <w:t>Change in fair value of FACT public, private placement and working capital warrants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246</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(243</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0"/>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55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2,756</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(2,822</w:t>
            </w:r>
          </w:p>
        </w:tc>
        <w:tc>
          <w:tcPr>
            <w:tcW w:w="132" w:type="dxa"/>
            <w:tcBorders/>
            <w:vAlign w:val="center"/>
          </w:tcPr>
          <w:p>
            <w:pPr>
              <w:pStyle w:val="TableContents"/>
              <w:bidi w:val="0"/>
              <w:spacing w:before="0" w:after="283"/>
              <w:jc w:val="left"/>
              <w:rPr/>
            </w:pPr>
            <w:r>
              <w:rPr/>
              <w:t>)</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0"/>
              <w:jc w:val="right"/>
              <w:rPr/>
            </w:pPr>
            <w:r>
              <w:rPr/>
              <w:t>—</w:t>
            </w:r>
          </w:p>
        </w:tc>
        <w:tc>
          <w:tcPr>
            <w:tcW w:w="83" w:type="dxa"/>
            <w:tcBorders/>
            <w:vAlign w:val="center"/>
          </w:tcPr>
          <w:p>
            <w:pPr>
              <w:pStyle w:val="TableContents"/>
              <w:bidi w:val="0"/>
              <w:spacing w:before="0" w:after="283"/>
              <w:ind w:left="0" w:right="0" w:hanging="180"/>
              <w:jc w:val="left"/>
              <w:rPr/>
            </w:pPr>
            <w:r>
              <w:rPr/>
              <w:t> </w:t>
            </w:r>
          </w:p>
        </w:tc>
      </w:tr>
      <w:tr>
        <w:trPr/>
        <w:tc>
          <w:tcPr>
            <w:tcW w:w="55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(1,250</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(1,250</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0"/>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5552" w:type="dxa"/>
            <w:tcBorders/>
            <w:vAlign w:val="center"/>
          </w:tcPr>
          <w:p>
            <w:pPr>
              <w:pStyle w:val="TableContents"/>
              <w:bidi w:val="0"/>
              <w:spacing w:before="0" w:after="283"/>
              <w:jc w:val="left"/>
              <w:rPr/>
            </w:pPr>
            <w:r>
              <w:rPr/>
              <w:t>Other, net</w:t>
            </w:r>
          </w:p>
        </w:tc>
        <w:tc>
          <w:tcPr>
            <w:tcW w:w="60"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tcMar>
              <w:bottom w:w="28" w:type="dxa"/>
            </w:tcMar>
            <w:vAlign w:val="center"/>
          </w:tcPr>
          <w:p>
            <w:pPr>
              <w:pStyle w:val="TableContents"/>
              <w:bidi w:val="0"/>
              <w:spacing w:before="0" w:after="283"/>
              <w:jc w:val="right"/>
              <w:rPr/>
            </w:pPr>
            <w:r>
              <w:rPr/>
              <w:t>(266</w:t>
            </w:r>
          </w:p>
        </w:tc>
        <w:tc>
          <w:tcPr>
            <w:tcW w:w="122" w:type="dxa"/>
            <w:tcBorders/>
            <w:vAlign w:val="center"/>
          </w:tcPr>
          <w:p>
            <w:pPr>
              <w:pStyle w:val="TableContents"/>
              <w:bidi w:val="0"/>
              <w:spacing w:before="0" w:after="283"/>
              <w:jc w:val="left"/>
              <w:rPr/>
            </w:pPr>
            <w:r>
              <w:rPr/>
              <w:t>)</w:t>
            </w:r>
          </w:p>
        </w:tc>
        <w:tc>
          <w:tcPr>
            <w:tcW w:w="76"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pPr>
            <w:r>
              <w:rPr/>
              <w:t>177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888" w:type="dxa"/>
            <w:tcBorders>
              <w:bottom w:val="single" w:sz="12" w:space="0" w:color="000000"/>
            </w:tcBorders>
            <w:tcMar>
              <w:bottom w:w="28" w:type="dxa"/>
            </w:tcMar>
            <w:vAlign w:val="center"/>
          </w:tcPr>
          <w:p>
            <w:pPr>
              <w:pStyle w:val="TableContents"/>
              <w:bidi w:val="0"/>
              <w:spacing w:before="0" w:after="283"/>
              <w:jc w:val="right"/>
              <w:rPr/>
            </w:pPr>
            <w:r>
              <w:rPr/>
              <w:t>(414</w:t>
            </w:r>
          </w:p>
        </w:tc>
        <w:tc>
          <w:tcPr>
            <w:tcW w:w="132" w:type="dxa"/>
            <w:tcBorders/>
            <w:vAlign w:val="center"/>
          </w:tcPr>
          <w:p>
            <w:pPr>
              <w:pStyle w:val="TableContents"/>
              <w:bidi w:val="0"/>
              <w:spacing w:before="0" w:after="283"/>
              <w:jc w:val="left"/>
              <w:rPr/>
            </w:pPr>
            <w:r>
              <w:rPr/>
              <w:t>)</w:t>
            </w:r>
          </w:p>
        </w:tc>
        <w:tc>
          <w:tcPr>
            <w:tcW w:w="83"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before="0" w:after="283"/>
              <w:jc w:val="right"/>
              <w:rPr/>
            </w:pPr>
            <w:r>
              <w:rPr/>
              <w:t>285</w:t>
            </w:r>
          </w:p>
        </w:tc>
        <w:tc>
          <w:tcPr>
            <w:tcW w:w="83" w:type="dxa"/>
            <w:tcBorders/>
            <w:vAlign w:val="center"/>
          </w:tcPr>
          <w:p>
            <w:pPr>
              <w:pStyle w:val="TableContents"/>
              <w:bidi w:val="0"/>
              <w:spacing w:before="0" w:after="283"/>
              <w:ind w:left="0" w:right="0" w:hanging="180"/>
              <w:jc w:val="left"/>
              <w:rPr/>
            </w:pPr>
            <w:r>
              <w:rPr/>
              <w:t> </w:t>
            </w:r>
          </w:p>
        </w:tc>
      </w:tr>
      <w:tr>
        <w:trPr/>
        <w:tc>
          <w:tcPr>
            <w:tcW w:w="5552"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4" w:type="dxa"/>
            <w:tcBorders>
              <w:bottom w:val="double" w:sz="10" w:space="0" w:color="000000"/>
            </w:tcBorders>
            <w:shd w:fill="CCEEFF" w:val="clear"/>
            <w:tcMar>
              <w:bottom w:w="28" w:type="dxa"/>
            </w:tcMar>
            <w:vAlign w:val="center"/>
          </w:tcPr>
          <w:p>
            <w:pPr>
              <w:pStyle w:val="TableContents"/>
              <w:bidi w:val="0"/>
              <w:spacing w:before="0" w:after="283"/>
              <w:jc w:val="right"/>
              <w:rPr/>
            </w:pPr>
            <w:r>
              <w:rPr/>
              <w:t>(2,069</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double" w:sz="10" w:space="0" w:color="000000"/>
            </w:tcBorders>
            <w:shd w:fill="CCEEFF" w:val="clear"/>
            <w:tcMar>
              <w:bottom w:w="28" w:type="dxa"/>
            </w:tcMar>
            <w:vAlign w:val="center"/>
          </w:tcPr>
          <w:p>
            <w:pPr>
              <w:pStyle w:val="TableContents"/>
              <w:bidi w:val="0"/>
              <w:spacing w:before="0" w:after="283"/>
              <w:jc w:val="right"/>
              <w:rPr/>
            </w:pPr>
            <w:r>
              <w:rPr/>
              <w:t>9,384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double" w:sz="10" w:space="0" w:color="000000"/>
            </w:tcBorders>
            <w:shd w:fill="CCEEFF" w:val="clear"/>
            <w:tcMar>
              <w:bottom w:w="28" w:type="dxa"/>
            </w:tcMar>
            <w:vAlign w:val="center"/>
          </w:tcPr>
          <w:p>
            <w:pPr>
              <w:pStyle w:val="TableContents"/>
              <w:bidi w:val="0"/>
              <w:spacing w:before="0" w:after="283"/>
              <w:jc w:val="right"/>
              <w:rPr/>
            </w:pPr>
            <w:r>
              <w:rPr/>
              <w:t>(550</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pPr>
            <w:r>
              <w:rPr/>
              <w:t>9,701</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position w:val="7"/>
                <w:sz w:val="16"/>
                <w:sz w:val="20"/>
              </w:rPr>
            </w:pPr>
            <w:r>
              <w:rPr>
                <w:position w:val="7"/>
                <w:sz w:val="16"/>
                <w:sz w:val="20"/>
              </w:rPr>
              <w:t>(1)</w:t>
            </w:r>
          </w:p>
        </w:tc>
        <w:tc>
          <w:tcPr>
            <w:tcW w:w="9992" w:type="dxa"/>
            <w:tcBorders/>
            <w:vAlign w:val="center"/>
          </w:tcPr>
          <w:p>
            <w:pPr>
              <w:pStyle w:val="TableContents"/>
              <w:bidi w:val="0"/>
              <w:spacing w:before="0" w:after="283"/>
              <w:jc w:val="both"/>
              <w:rPr/>
            </w:pPr>
            <w:r>
              <w:rPr/>
              <w:t>The Company entered into forward purchase agreements with related parties in July 2023. The change in the fair value of forward purchase agreement liabilities entered into with related parties includes $2.3 million and zero of income for the thirteen weeks ended June 30, 2024 and July 2, 2023, respectively, and $2.4 million and zero of expense for the twenty-six weeks ended June 30, 2024 and July 2, 2023, respectively.</w:t>
            </w:r>
          </w:p>
        </w:tc>
      </w:tr>
      <w:tr>
        <w:trPr/>
        <w:tc>
          <w:tcPr>
            <w:tcW w:w="213" w:type="dxa"/>
            <w:tcBorders/>
            <w:vAlign w:val="center"/>
          </w:tcPr>
          <w:p>
            <w:pPr>
              <w:pStyle w:val="TableContents"/>
              <w:bidi w:val="0"/>
              <w:spacing w:before="0" w:after="283"/>
              <w:jc w:val="left"/>
              <w:rPr>
                <w:position w:val="8"/>
                <w:sz w:val="19"/>
              </w:rPr>
            </w:pPr>
            <w:r>
              <w:rPr>
                <w:position w:val="8"/>
                <w:sz w:val="19"/>
              </w:rPr>
              <w:t>(2)</w:t>
            </w:r>
          </w:p>
        </w:tc>
        <w:tc>
          <w:tcPr>
            <w:tcW w:w="9992" w:type="dxa"/>
            <w:tcBorders/>
            <w:vAlign w:val="center"/>
          </w:tcPr>
          <w:p>
            <w:pPr>
              <w:pStyle w:val="TableContents"/>
              <w:bidi w:val="0"/>
              <w:spacing w:before="0" w:after="283"/>
              <w:jc w:val="both"/>
              <w:rPr/>
            </w:pPr>
            <w:r>
              <w:rPr/>
              <w:t>The SAFE Agreements were entered into with a related party, and the loss on the conversion of the SAFE Agreements to shares of the Company’s common stock is a related party transaction. Refer to Note 14 – SAFE Agreements and Note 19 – Related Party Transactions for further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65"/>
        <w:gridCol w:w="1325"/>
      </w:tblGrid>
      <w:tr>
        <w:trPr/>
        <w:tc>
          <w:tcPr>
            <w:tcW w:w="365" w:type="dxa"/>
            <w:tcBorders/>
            <w:vAlign w:val="center"/>
          </w:tcPr>
          <w:p>
            <w:pPr>
              <w:pStyle w:val="TableContents"/>
              <w:bidi w:val="0"/>
              <w:spacing w:before="0" w:after="283"/>
              <w:jc w:val="left"/>
              <w:rPr>
                <w:b/>
                <w:sz w:val="20"/>
              </w:rPr>
            </w:pPr>
            <w:r>
              <w:rPr>
                <w:b/>
                <w:sz w:val="20"/>
              </w:rPr>
              <w:t>(11)</w:t>
            </w:r>
          </w:p>
        </w:tc>
        <w:tc>
          <w:tcPr>
            <w:tcW w:w="1325" w:type="dxa"/>
            <w:tcBorders/>
            <w:vAlign w:val="center"/>
          </w:tcPr>
          <w:p>
            <w:pPr>
              <w:pStyle w:val="TableContents"/>
              <w:bidi w:val="0"/>
              <w:spacing w:before="0" w:after="283"/>
              <w:jc w:val="left"/>
              <w:rPr>
                <w:b/>
                <w:sz w:val="20"/>
              </w:rPr>
            </w:pPr>
            <w:r>
              <w:rPr>
                <w:b/>
                <w:sz w:val="20"/>
              </w:rPr>
              <w:t>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June 30, 2024. No preferred stock has been issued and none are outstanding as of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separate common stock purchase agreements (the “Purchase Agreements”) with the Rodgers Massey Freedom and Free Markets Charitable Trust and the Rodgers Massey Revocable Living Trust (each a “Purchaser”, and together, the “Purchasers”). Pursuant to the terms of the Purchase Agreements, each Purchaser purchased 1,838,235 shares of common stock of the Company, par value $0.0001, (the “Shares”), at a price per share of $1.36, representing an aggregate purchase price of $4,999,999.20. The Purchasers paid for the Shares in cash. Thurman J. Rodgers is a trustee of each Purchaser, Executive Chairman of the Company’s board of directors and Chief Executive Officer of the Company (“Rodgers” or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5270"/>
        <w:gridCol w:w="60"/>
        <w:gridCol w:w="60"/>
        <w:gridCol w:w="1100"/>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33,637,266</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Employee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2,628,996</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14,498,758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Stock options and RSUs, authorized for future issuance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729,211</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shares reserved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51,494,231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365"/>
        <w:gridCol w:w="860"/>
      </w:tblGrid>
      <w:tr>
        <w:trPr/>
        <w:tc>
          <w:tcPr>
            <w:tcW w:w="365" w:type="dxa"/>
            <w:tcBorders/>
            <w:vAlign w:val="center"/>
          </w:tcPr>
          <w:p>
            <w:pPr>
              <w:pStyle w:val="TableContents"/>
              <w:bidi w:val="0"/>
              <w:spacing w:before="0" w:after="283"/>
              <w:jc w:val="left"/>
              <w:rPr>
                <w:b/>
                <w:sz w:val="20"/>
              </w:rPr>
            </w:pPr>
            <w:r>
              <w:rPr>
                <w:b/>
                <w:sz w:val="20"/>
              </w:rPr>
              <w:t>(12)</w:t>
            </w:r>
          </w:p>
        </w:tc>
        <w:tc>
          <w:tcPr>
            <w:tcW w:w="860" w:type="dxa"/>
            <w:tcBorders/>
            <w:vAlign w:val="center"/>
          </w:tcPr>
          <w:p>
            <w:pPr>
              <w:pStyle w:val="TableContents"/>
              <w:bidi w:val="0"/>
              <w:spacing w:before="0" w:after="283"/>
              <w:jc w:val="left"/>
              <w:rPr>
                <w:b/>
                <w:sz w:val="20"/>
              </w:rPr>
            </w:pPr>
            <w:r>
              <w:rPr>
                <w:b/>
                <w:sz w:val="20"/>
              </w:rPr>
              <w:t>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 (in thousands)</w:t>
      </w:r>
    </w:p>
    <w:p>
      <w:pPr>
        <w:pStyle w:val="TextBody"/>
        <w:bidi w:val="0"/>
        <w:spacing w:before="0" w:after="0"/>
        <w:ind w:left="0" w:right="0" w:hanging="0"/>
        <w:jc w:val="left"/>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2675"/>
        <w:gridCol w:w="60"/>
        <w:gridCol w:w="175"/>
        <w:gridCol w:w="700"/>
        <w:gridCol w:w="60"/>
        <w:gridCol w:w="60"/>
        <w:gridCol w:w="241"/>
        <w:gridCol w:w="1173"/>
        <w:gridCol w:w="75"/>
      </w:tblGrid>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Carlyle warrants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9,515</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Replacement warrants</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1,310</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167</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Private placements warrants</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219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122</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Working capital warrants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tcMar>
              <w:bottom w:w="28" w:type="dxa"/>
            </w:tcMar>
            <w:vAlign w:val="center"/>
          </w:tcPr>
          <w:p>
            <w:pPr>
              <w:pStyle w:val="TableContents"/>
              <w:bidi w:val="0"/>
              <w:spacing w:before="0" w:after="283"/>
              <w:jc w:val="right"/>
              <w:rPr/>
            </w:pPr>
            <w:r>
              <w:rPr/>
              <w:t>7,192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tcMar>
              <w:bottom w:w="28" w:type="dxa"/>
            </w:tcMar>
            <w:vAlign w:val="center"/>
          </w:tcPr>
          <w:p>
            <w:pPr>
              <w:pStyle w:val="TableContents"/>
              <w:bidi w:val="0"/>
              <w:spacing w:before="0" w:after="283"/>
              <w:jc w:val="right"/>
              <w:rPr/>
            </w:pPr>
            <w:r>
              <w:rPr/>
              <w:t>11,127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Carlyle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as part of a debt financing from Carlyle (Refer to Note 13 – Borrowings), the Company issued a warrant to purchase 2,886,952 shares of common stock in conjunction with long-term debt issued to Carlyle (“CS Solis Debt”). The warrant contained two tranches, the first of which is immediately exercisable for 1,995,879 shares. The second tranche, which was determined to be a separate unit of account, expired on December 31, 2022 prior to becoming exercisable. In December 2023, Carlyle was issued an additional warrant to purchase an additional 2,190,604 shares of the Company’s common stock related to an anti-dilution provision within the CS Solis Debt that provides for such additional warrants under such circumstances as provided within the CS Solis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relative fair value of the warrant was determined to be $3.4 million using the Black-Scholes model with the following weighted average assumptions: expected term of 7 years; expected volatility of 73.0%; risk-free interest rate of 1.9%; and no dividend yield. The fair value of the warrant was initially recorded within additional paid-in capital as it met the conditions for equity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Complete Solaria Common Stock. As part of the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Of the additional warrants that become exercisable after the modification, the tranches of 350,000 warrants vesting ten days after the date of the agreement and 150,000 warrants vesting thirty days after the date of the agreement are exercisable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modification of the warrant resulted in the reclassification of previously equity-classified warrants to liability classification, which was accounted for in accordance with ASC 815 and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The Company recorded the fair value of the modified warrants as a warrant liability of $20.4 million, the pre-modification fair value of the warrants as a reduction to additional paid-in capital of $10.9 million and an expense of $9.5 million to other (expense) income, net equal to the incremental value of the warrants upon the modification. The fair value of the warrant was determined based on its intrinsic value, given a nominal exercise price. At issuance, the relative fair value of the warrant was determined to be $20.4 million using the Black-Scholes model with the following weighted average assumptions: expected term of 7 years; expected volatility of 77.0%; risk-free interest rate of 3.9%; and no dividend yield. As of June 30, 2024, the fair value of the warrant was $6.6 million. The Company recorded a $3.6 million increase and a $2.9 million decrease in the fair value of this warrant, due to the change in the valuation of the warrant, as other (expense) income, net on the unaudited condensed consolidated statements of operations and comprehensive loss for thirteen weeks and twenty-six weeks ended June 30,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D-7 Warrants (Converted to common stock warrants “Replacement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issued warrants to purchase 656,630 shares of Series D-7 preferred stock (the “Series D-7 warrants”) in conjunction with the Business Combination. The warrant contains two tranches. The first tranche of 518,752 shares of Series D-7 preferred stock were exercisable at an exercise price of $2.50 per share upon consummation of a merger transaction, or at an exercise price of $2.04 per share upon remaining private and had an expiration date of April 2024. The second tranche of 137,878 shares of Series D-7 preferred stock was exercisable at an exercise price of $5.00 per share upon consummation of a merger transaction, or at an exercise price of $4.09 per share upon remaining private and had an expiration date of April 2024. The fair value of the Series D-7 warrants was $2.4 million as of July 18, 2023 when the warrants were reclassified from redeemable convertible preferred stock warrant liability to additional paid-in capital, as the exercise price of the warrants is fixed at $2.50 per share of Complete Solaria Common Stock for the first tranche and $5.00 per share of Complete Solaria Common Stock for the second tranche upon the closing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entered into an Assignment and Acceptance Agreement (“Assignment Agreement”), (Refer to Note 13 – Borrowings). In connection with the Assignment Agreement, the Company also entered into the First Amendment to Warrant to Purchase Stock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their fair value on the amendment effective date, and the Company recorded subsequent changes in fair value in other (expense) income, net on its unaudited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Replacement Warrants expired in April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Private Placement, and Working Capital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the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Company’s 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Public and Private warrants to be classified as a liability and fair valued the warrants on the issuance date using the publicly available price for the warrants of $6.7 million. The fair value of these warrants was $0.5 million as of June 30, 2024. The Company recorded a $0.2 million decrease in the fair value of these warrants and a $0.2 million increase in the fair value of these warrants for the thirteen weeks and twenty-six weeks ended June 30, 2024, respectively, in other (expense) income, net in the unaudited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unaudited condensed consolidated balance sheets. As of June 30, 2024, the Working Capital warrants had a fair value of $0.03 million. The Company recorded a $0.01 million decrease in the fair value of these warrants and a $0.01 increase in the fair value of these warrants for the thirteen weeks and twenty-six weeks ended June 30, 2024, respectively, in other (expense) income, net on the unaudited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Series B Warrants (Converted to Common Stock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Company issued a warrant to purchase 5,054 shares of Series B preferred stock (the “Series B warrant”) in connection with a 2016 credit facility. The Series B warrant is immediately exercisable at an exercise price of $4.30 per share and has an expiration date of February 2026. The relative fair value of the Series B warrant at issuance was recorded as a debt issuance cost within other non-current liabilities upon issuance. The fair value of the Series B warrant was less than $0.1 million as of December 31, 2022 and as of July 18, 2023, when the Series B warrant was reclassified from warrant liability to additional paid-in capital, upon the warrant becoming exercisable into shares of Complete Solaria Common Stock upon the close of the Mergers. Prior to its reclassification from equity to a liability during 2023, the changes in fair value were recorded in other (expense) income, net on the accompanying unaudited condensed consolidated statements of operations and comprehensive loss for the thirteen-weeks ended April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Warrants (Converted to 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in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relative fair value of the Series C warrant at issuance was recorded as Series C preferred stock issuance costs and redeemable convertible preferred stock warrant liability and changes in the fair value of the warrant were recorded in other (expense) income, net on the accompanying unaudited condensed consolidated statements of operations and comprehensive loss for the thirteen-weeks ended April 2, 2023. The fair value of the Series C warrant was $2.3 million as of July 18, 2023, when the Series B warrant was reclassified from redeemable convertible preferred stock warrant liability to additional paid-in capital, upon the warrant becoming exercisable into shares of Complete Solaria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C-1 Warrants (Converted to Common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Company issued a warrant to purchase 173,067 shares of common stock in conjunction with the Series C-1 preferred stock financing. The warrant is immediately exercisable at an exercise price of $0.01 per share and has an expiration date of January 2030. The warrant remains outstanding as of June 30, 2024. At issuance, the relative fair value of the warrant was determined to be $0.1 million using the Black-Scholes model with the following weighted average assumptions: expected term of 10 years; expected volatility of 62.5%;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SVB 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August 2021, the Company issued warrants to purchase 2,473 and 2,525 shares of common stock, respectively, in conjunction with the Fifth and Sixth Amendments to the Loan and Security Agreement (“Loan Agreement”) with Silicon Valley Bank (“SVB”). The warrants are immediately exercisable at exercise prices of $0.38 and $0.62 per share, respectively, and have expiration dates in 2033. The warrants remain outstanding as of June 30, 2024. At issuance, the relative fair value of the warrants was determined to be less than $0.1 million in aggregate using the Black-Scholes model with the following weighted average assumptions: expected term of 12 years; expected volatility of 73.0%; risk-free interest rate of 1.7% and 1.3% for the May and August 2021 warrants, respectively; and no dividend yield. The fair value of the warrant was recorded within additional paid-in-capital on the accompanying unaudited condensed consolidated balance sheets. The warrants are not remeasured in future periods as they meet the conditions for equity classification.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issued a warrant to purchase 24,148 shares of common stock in conjunction with the issuance of a short-term promissory note. The warrant is immediately exercisable at an exercise price of $0.01 per share and has an expiration date of October 2031. The warrant remains outstanding as of June 30, 2024. At issuance, the relative fair value of the warrant was determined to be less than $0.1 million using the Black-Scholes model with the following weighted average assumptions: expected term of 10 years; expected volatility of 73.0%;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2022 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issued a warrant to a third-party service provider to purchase 78,962 shares of common stock in conjunction with the Business Combination. The warrant was immediately exercisable at an exercise price of $8.00 per share and had an expiration date of April 2024. In May 2023, the Company amended the warrant, modifying (i) the shares of common stock to be purchased to 31,680, (ii) the exercise price to $0.01, and (iii) the expiration date to the earlier of October 2026 or the closing of an IPO. The impact of the modification was not material to the unaudited condensed consolidated financial statements. At issuance and upon the modification, the relative fair value of the warrant was determined to be $0.1 million using the Black-Scholes model with the following weighted average assumptions: expected term of 1.5 years; expected volatility of 78.5%; risk-free interest rate of 4.7%; and no dividend yield. The fair value of the warrant was recorded within additional paid-in capital on the unaudited condensed consolidated balance sheets. The warrant is not remeasured in future periods as it meets the conditions for equity classification. Upon the Closing of the Mergers, the warrant was net exercised into 31,680 shares of Complete Solaria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2023 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issued a warrant to a third-party service provider to purchase 38,981 shares of the Company’s common stock in exchange for services provided in obtaining financing at the Closing of the Mergers. The warrant is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warrant is recorded within additional paid-in capital on the unaudited condensed consolidated balance sheets. The warrant is not remeasured in future periods as it meets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 As of June 30, 2024, all warrants issued as warrant consideration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shares of the Company’s common stock (“Ayna Warrant”) was executed which certifies that Ayna.AI LLC (“Ayna”) is entitled to purchase 6,000,000 shares of the Company’s common stock at the exercise price per share of $0.01, subject to the provisions and upon the terms and conditions set forth in the Ayna Warrant. The Ayna Warrant expires on June 17, 2029. The issuance of the Ayna Warrant by the Company to Ayna is in satisfaction of the compensation owed by the Company to Ayna under the terms of a statement of work (“Ayna SOW”), signed May 21, 2024 (and effective as of March 12, 2024), as incorporated into a master services agreement dated March 12, 2024. Under the Ayna SOW, Ayna will provide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earlier of (i) September 9, 2024; and (ii) the first trading day after March 12, 2024 with a closing price of the Company’s common stock greater than or equal to $1.00 for 45 days out of the trailing consecutive 60-trading-day period (the earlier of the preceding clauses (i) and (ii) the “Exercise Date”), Ayna may exercise the Ayna Warrant for up to 4,000,000 shares of the Company’s common stock. On or after September 9, 2024, Ayna may exercise the Ayna Warrant for up to the remaining 2,000,000 shares of the Company’s common stock. Prior to the Exercise Date Ayna may not exercise the 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exercising the Ayna Warrant for cash, Ayna may from time to time convert the Ayna Warrant, in whole or in part, into a number of shares of the Company’s common stock determined by dividing (a) the aggregate fair market value of the shares of the Company’s common stock or other securities otherwise issuable upon exercise of the Ayna Warrant minus the aggregate warrant price of such shares of the Company’s common stock by (b) the fair market value (“Ayna Warrant FMV”) of one share of the Company’s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shares of common stock are traded regularly in a public market, the Ayna Warrant FMV shall be the weighted average price for the 30 trading days ending on the trading day immediately before Ayna delivers its notice of exercise to the Company. If the Company’s shares of common stock are not regularly traded in a public market, the Company’s Board of Directors shall determine that the Ayna Warrant FMV in its reasonable good faith judgment. The foregoing notwithstanding, if Ayna advises the Company’s Board of Directors in writing that Ayna disagrees with such determination, then the Company and Ayna shall promptly agree upon a reputable investment banking firm or a third party independent appraiser to undertake such valuation. If the valuation of such investment banking firm is greater than that determined by the Board of Directors, then all fees and expenses of such investment banking firm shall be paid by the Company. In all other circumstances, such fee and expenses shall be paid by Ayna.</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fair value of the Ayna Warrant was determined to be $9.2 million, based on the intrinsic value of the Ayna Warrant and the $0.01 per share exercise price. As the Ayna Warrant is accounted for as stock-based compensation under ASC 718, the Ayna Warrant is recorded within additional paid-in capital on the unaudited condensed consolidated balance sheets. The Ayna Warrant is not remeasured in future periods as it meets the conditions for equity classification. As the Ayna statement of work period is different than the date of the warrant agreement, the differences in dates cause an accrued expense for services rendered by Ayna but consideration has not vested as of June 30, 2024. As of June 30, 2024, the Company recognized expense of $1.6 million, representing the amount earned to date, accrued liability of $0.2 million and a credit to additional paid-in-capital of $1.4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65"/>
        <w:gridCol w:w="1040"/>
      </w:tblGrid>
      <w:tr>
        <w:trPr/>
        <w:tc>
          <w:tcPr>
            <w:tcW w:w="365" w:type="dxa"/>
            <w:tcBorders/>
            <w:vAlign w:val="center"/>
          </w:tcPr>
          <w:p>
            <w:pPr>
              <w:pStyle w:val="TableContents"/>
              <w:bidi w:val="0"/>
              <w:spacing w:before="0" w:after="283"/>
              <w:jc w:val="left"/>
              <w:rPr>
                <w:b/>
                <w:sz w:val="20"/>
              </w:rPr>
            </w:pPr>
            <w:r>
              <w:rPr>
                <w:b/>
                <w:sz w:val="20"/>
              </w:rPr>
              <w:t>(13)</w:t>
            </w:r>
          </w:p>
        </w:tc>
        <w:tc>
          <w:tcPr>
            <w:tcW w:w="1040" w:type="dxa"/>
            <w:tcBorders/>
            <w:vAlign w:val="center"/>
          </w:tcPr>
          <w:p>
            <w:pPr>
              <w:pStyle w:val="TableContents"/>
              <w:bidi w:val="0"/>
              <w:spacing w:before="0" w:after="283"/>
              <w:jc w:val="left"/>
              <w:rPr>
                <w:b/>
                <w:sz w:val="20"/>
              </w:rPr>
            </w:pPr>
            <w:r>
              <w:rPr>
                <w:b/>
                <w:sz w:val="20"/>
              </w:rPr>
              <w:t>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borrowings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049" w:type="dxa"/>
        <w:jc w:val="left"/>
        <w:tblInd w:w="0" w:type="dxa"/>
        <w:tblLayout w:type="fixed"/>
        <w:tblCellMar>
          <w:top w:w="0" w:type="dxa"/>
          <w:left w:w="0" w:type="dxa"/>
          <w:bottom w:w="0" w:type="dxa"/>
          <w:right w:w="0" w:type="dxa"/>
        </w:tblCellMar>
      </w:tblPr>
      <w:tblGrid>
        <w:gridCol w:w="4805"/>
        <w:gridCol w:w="60"/>
        <w:gridCol w:w="125"/>
        <w:gridCol w:w="650"/>
        <w:gridCol w:w="80"/>
        <w:gridCol w:w="60"/>
        <w:gridCol w:w="189"/>
        <w:gridCol w:w="985"/>
        <w:gridCol w:w="9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89"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r>
          </w:p>
        </w:tc>
        <w:tc>
          <w:tcPr>
            <w:tcW w:w="9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b/>
                <w:sz w:val="20"/>
              </w:rPr>
            </w:pPr>
            <w:r>
              <w:rPr>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9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sz w:val="20"/>
              </w:rPr>
            </w:pPr>
            <w:r>
              <w:rPr>
                <w:sz w:val="20"/>
              </w:rPr>
              <w:t>2018 Bridge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11,731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20"/>
              </w:rPr>
            </w:pPr>
            <w:r>
              <w:rPr>
                <w:sz w:val="20"/>
              </w:rPr>
              <w:t>$</w:t>
            </w:r>
          </w:p>
        </w:tc>
        <w:tc>
          <w:tcPr>
            <w:tcW w:w="985" w:type="dxa"/>
            <w:tcBorders/>
            <w:shd w:fill="CCEEFF" w:val="clear"/>
            <w:vAlign w:val="center"/>
          </w:tcPr>
          <w:p>
            <w:pPr>
              <w:pStyle w:val="TableContents"/>
              <w:bidi w:val="0"/>
              <w:spacing w:before="0" w:after="283"/>
              <w:jc w:val="right"/>
              <w:rPr>
                <w:sz w:val="20"/>
              </w:rPr>
            </w:pPr>
            <w:r>
              <w:rPr>
                <w:sz w:val="20"/>
              </w:rPr>
              <w:t>11,031</w:t>
            </w:r>
          </w:p>
        </w:tc>
        <w:tc>
          <w:tcPr>
            <w:tcW w:w="9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20"/>
              </w:rPr>
            </w:pPr>
            <w:r>
              <w:rPr>
                <w:sz w:val="20"/>
              </w:rPr>
              <w:t>Revolver Loan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sz w:val="20"/>
              </w:rPr>
            </w:pPr>
            <w:r>
              <w:rPr>
                <w:sz w:val="20"/>
              </w:rPr>
              <w:t>5,522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sz w:val="20"/>
              </w:rPr>
            </w:pPr>
            <w:r>
              <w:rPr>
                <w:sz w:val="20"/>
              </w:rPr>
              <w:t>5,168</w:t>
            </w:r>
          </w:p>
        </w:tc>
        <w:tc>
          <w:tcPr>
            <w:tcW w:w="9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sz w:val="20"/>
              </w:rPr>
            </w:pPr>
            <w:r>
              <w:rPr>
                <w:sz w:val="20"/>
              </w:rPr>
              <w:t>Secured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13,124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sz w:val="20"/>
              </w:rPr>
            </w:pPr>
            <w:r>
              <w:rPr>
                <w:sz w:val="20"/>
              </w:rPr>
              <w:t>12,158</w:t>
            </w:r>
          </w:p>
        </w:tc>
        <w:tc>
          <w:tcPr>
            <w:tcW w:w="9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20"/>
              </w:rPr>
            </w:pPr>
            <w:r>
              <w:rPr>
                <w:sz w:val="20"/>
              </w:rPr>
              <w:t>Polar Settlement Agreement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300</w:t>
            </w:r>
          </w:p>
        </w:tc>
        <w:tc>
          <w:tcPr>
            <w:tcW w:w="9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sz w:val="20"/>
              </w:rPr>
            </w:pPr>
            <w:r>
              <w:rPr>
                <w:sz w:val="20"/>
              </w:rPr>
              <w:t>Total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30,377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sz w:val="20"/>
              </w:rPr>
            </w:pPr>
            <w:r>
              <w:rPr>
                <w:sz w:val="20"/>
              </w:rPr>
              <w:t>28,657</w:t>
            </w:r>
          </w:p>
        </w:tc>
        <w:tc>
          <w:tcPr>
            <w:tcW w:w="9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20"/>
              </w:rPr>
            </w:pPr>
            <w:r>
              <w:rPr>
                <w:sz w:val="20"/>
              </w:rPr>
              <w:t>Debt in CS Solis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37,152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33,280</w:t>
            </w:r>
          </w:p>
        </w:tc>
        <w:tc>
          <w:tcPr>
            <w:tcW w:w="9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sz w:val="20"/>
              </w:rPr>
            </w:pPr>
            <w:r>
              <w:rPr>
                <w:sz w:val="20"/>
              </w:rPr>
              <w:t>Total notes payable and convertible notes,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67,529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sz w:val="20"/>
              </w:rPr>
            </w:pPr>
            <w:r>
              <w:rPr>
                <w:sz w:val="20"/>
              </w:rPr>
              <w:t>61,937</w:t>
            </w:r>
          </w:p>
        </w:tc>
        <w:tc>
          <w:tcPr>
            <w:tcW w:w="95" w:type="dxa"/>
            <w:tcBorders/>
            <w:shd w:fill="CCEEFF"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20"/>
              </w:rPr>
            </w:pPr>
            <w:r>
              <w:rPr>
                <w:sz w:val="20"/>
              </w:rPr>
              <w:t>Less current portion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(67,529</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(61,937</w:t>
            </w:r>
          </w:p>
        </w:tc>
        <w:tc>
          <w:tcPr>
            <w:tcW w:w="95" w:type="dxa"/>
            <w:tcBorders/>
            <w:vAlign w:val="center"/>
          </w:tcPr>
          <w:p>
            <w:pPr>
              <w:pStyle w:val="TableContents"/>
              <w:bidi w:val="0"/>
              <w:spacing w:before="0" w:after="283"/>
              <w:jc w:val="left"/>
              <w:rPr>
                <w:sz w:val="20"/>
              </w:rPr>
            </w:pPr>
            <w:r>
              <w:rPr>
                <w:sz w:val="20"/>
              </w:rPr>
              <w:t>)</w:t>
            </w:r>
          </w:p>
        </w:tc>
      </w:tr>
      <w:tr>
        <w:trPr/>
        <w:tc>
          <w:tcPr>
            <w:tcW w:w="4805" w:type="dxa"/>
            <w:tcBorders/>
            <w:shd w:fill="CCEEFF" w:val="clear"/>
            <w:vAlign w:val="center"/>
          </w:tcPr>
          <w:p>
            <w:pPr>
              <w:pStyle w:val="TableContents"/>
              <w:bidi w:val="0"/>
              <w:spacing w:before="0" w:after="283"/>
              <w:jc w:val="left"/>
              <w:rPr>
                <w:sz w:val="20"/>
              </w:rPr>
            </w:pPr>
            <w:r>
              <w:rPr>
                <w:sz w:val="20"/>
              </w:rPr>
              <w:t>Notes payable and convertible notes,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5"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2018 Bridge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Solaria Corporation issued senior subordinated convertible secured notes (“2018 Notes”) totaling approximately $3.4 million in exchange for cash. The notes bear interest at the rate of 8% per annum and the investors are entitled to receive twice the face value of the 2018 Notes at maturity. The 2018 Notes are secured by substantially all of the assets of Solaria Corporation.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The 2018 Notes are secured by substantially all of the assets of Complete Solaria.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entered into an amendment to the 2018 Notes extending the maturity date from December 13, 2022 to December 13, 2023, and the 2018 Notes remain outstanding as of June 30, 2024. In connection with the amendment, the 2018 Notes will continue to bear interest at 8% per annum and are entitled to an increased repayment premium from 110% to 120% of the principal and accrued interest at the time of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amendment represented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The incremental repayment premium is being amortized to interest expense using the effective interest rate method. As of June 30, 2024 and December 31, 2023, the carrying value of the 2018 Notes was $11.7 million and $11.0 million, respectively. Interest expense recognized for the thirteen weeks ended June 30, 2024 and July 2, 2023 was $0.4 million and $0.3 million, respectively. Interest expense recognized for the twenty-six weeks ended June 30, 2024 and July 2, 2023 was $0.7 million and $0.6 million, respectively. As of June 30, 2024, the carrying value of the 2018 Notes approximates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Revolver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Solaria entered into a loan agreement (“SCI Loan Agreement”) with Structural Capital Investments III, LP (“SCI”).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 Loan Agreement is comprised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has a term of thirty-six months, with the principal due at the end of the term and an annual interest rate of 7.75% or Prime rate plus 4.5%, whichever is higher. The SCI Loan Agreement requires the Company to meet certain financial covenants relating to the maintenance of a specified restricted cash balance, achieve specified revenue targets and maintain specified contribution margins (“Financial Covenants”) over the term of the Revolving Loan. The Revolving Loan is collateralized by substantially all assets and property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ended December 31, 2022 and December 31, 2021, Solaria entered into several Amended and Restated Loan and Security Agreements with SCI to forbear SCI from exercising any rights and remedies available to it as a result of the Company not meeting certain Financial Covenants required by the Original Agreement. As a result of these amendments changes were made to the Financial Covenants, and Solaria recorded a total of $1.9 million in amendment fees which amount was recorded in Other Liabilities, and this liability was included in the assumed liabilities for purchase price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Solaria had historically issued warrants to purchase shares of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Complete Solaria.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outstanding on the date of the Business Combination was fair valued at $5.0 million for the purpose of purchase price accounting. The Revolving Loan principal balance at June 30, 2024 and December 31, 2023 amounted to $5.5 million and $5.1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entered into an Assignment Agreement whereby Structural Capital Investments III, LP assigned the SCI debt to Kline Hill Partners Fund LP, Kline Hill Partners IV SPV LLC, Kline Hill Partners Opportunity IV SPV LLC, (collectively “Kline Hill”) and Rodgers Massey Revocable Living Trust for a total purchase price of $5.0 million. The Company has identified this arrangement as a related party transaction, as discussed in Note 19 – Related Party Transactions. The SCI Revolving Loan continued to remain outstanding as of June 30, 2024 and is currently being renegotiated.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for the thirteen-week periods ended June 30, 2024 and July 2, 2023 was $0.2 million and $0.2 million, respectively. Interest expense recognized for the twenty-six weeks ended June 30, 2024 and July 2, 2023, was $0.4 million and $0.3 million, respectively. The interest expense recognized in 2024 is deemed to be related party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2024, the Company entered into an agreement with Kline Hill that will cancel this obligation upon satisfaction of certain events. Refer to Note 20 - Subsequent Events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entered into a secured credit facility agreement with Kline Hill Partners IV SPV LLC and Kline Hill Partners Opportunity IV SPV LLC (“Secured Credit Facility”). The Secured Credit Facility agreement allows the Company to borrow up to 70% of the net amount of its eligible vendor purchase orders with a maximum amount of $10.0 million at any point in time. The purchase orders are backed by relevant customer sales orders which serves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The Company may prepay any borrowed amount without premium or penalty. Under the original terms, the Secured Credit Facility agreement was due to mature in April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2024, the balance outstanding was $13.1 million, including accrued financing cost of $5.5 million, and as of December 31, 2023, the balance outstanding was $12.2 million, including accrued financing cost of $4.5 million. The Company recognized interest expense of $0.4 million and $1.3 million related to the Secured Credit Facility during the thirteen weeks ended June 30, 2024 and July 2, 2023, respectively. The Company recognized interest expense of $1.0 million and $3.1 million related to the Secured Credit Facility during the twenty-six weeks ended June 30, 2024 and July 2, 2023, respectively. As of June 30, 2024, the total estimated fair value of the Secured Credit Facility approximated its carrying value. On May 1, 2024, the Company entered into an agreement with Kline Hill that will cancel this obligation upon satisfaction of certain events. Refer to Note 20 - Subsequent Events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Entry into an Agreement to Cancel Revolver Loan and Secured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2024, the Company entered into a common stock purchase agreement (the “Common Stock Purchase Agreement”) with Kline Hill providing for (a) the cancellation of all indebtedness owed to Kline Hill by the Company, termination of all debt instruments by and between the Company and Kline Hill, and the satisfaction of all obligations owed to Kline Hill by the Company under the terminated debt instruments, (b) the issuance of 9,800,000 shares of the Company’s common stock to Kline Hill, (c) the issuance of warrants (the “Kline Hill Warrants”) to Kline Hill to purchase up to 3,700,000 shares of the Company’s common stock, with an exercise price per share of $0.62 (the closing price per share of the Company’s common stock as reported on the Nasdaq Capital Market as of the date of the Agreement), and (d) a one-time $3,750,000 cash payment to Kline Hill upon the earlier of (i) the Company achieving $100,000,000 of trailing twelve month revenue, or (ii) the Company achieving $10,000,000 of trailing twelve month EBITDA. The Kline Hill Warrants are exercisable at a price of $0.125 per share of the Company’s common stock. The closing of the foregoing transactions will occur when the following conditions are met: Carlyle executes an agreement to cancel all debt owed to Carlyle by the Company, and all debt owed to Carlyle and its affiliates by the Company is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amount owed to Carlyle was outstanding. Refer to Note 20 - Subsequent Events for further information regarding details regarding the exchange of the Carlyle debt and cancellation of the Kline Hill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Polar 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in connection with the Mergers, the Company entered into a settlement and release agreement with Polar Multi-Strategy Master Fund (“Polar”) for the settlement of a working capital loan that had been made by Polar to the Sponsor, prior to the closing of the Mergers. The settlement agreement required the Company to pay Polar $0.5 million in ten equal monthly installments and did not accrue interest. As of December 31, 2023, the balance owed to Polar was $0.3 million all of which was paid in the first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in CS Solis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Reorganization described in Note 1(a) Organization - Description of Business and Note 12 - Warrants, the Company received cash and recorded debt for an investment by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are mandatorily redeemable by the Company on the three-year anniversary of the effective date of the CS Solis amended and restated LLC agreement (February 14, 2025). The Class B Membership Units accrue interest that is payable upon redemption at a rate of 10.5% (which is structured as a dividend payable based on 25% of the investment amount measured quarterly), compounded annually, and subject to increases in the event the Company declares any dividends. In connection with the investment by Carlyle, the Company issued Carlyle a warrant to purchase 5,978,960 shares of the Company’s common stock at a price of $0.01 per share, of which, the purchase of 4,132,513 shares of the Company’s common stock is immediately exercisable. The Company has accounted for the mandatorily redeemable investment from Carlyle in accordance with ASC 480, Distinguishing Liabilities from Equity, and has recorded the investment as a liability, which was accreted to its redemption value under the effective interest method. The Company has recorded the warrants as a discount to the liability. Refer to Note 11 – Common Stock, for further discussion of the warrants issued in connection with the Class B Membership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Carlyle Debt Modification Agreement accelerates the redemption date of the investment, which was previously February 14, 2025 and is now March 31, 2024 subsequent to the modification. The acceleration of the redemption date of the investment, resulted in the total redemption amount to be 1.3 times the principal at December 31, 2023. The redemption amount increased to 1.4 times the original investment as of March 31, 2024. Additionally, as part of the amendment, the parties entered into an amended and restated warrant agreement. As part of the Carlyle Warrant Amendment, Complete Solaria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The warrants are classified as liabilities under ASC 815 and are recorded within warrant liability on the Company’s unaudited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modification of the debt due with CS Solis as a debt extinguishment in accordance with ASC 480 and ASC 470. As a result of the extinguishment, the Company recorded a loss on extinguishment, of $10.3 million in the thirteen-week period ended October 1, 2023. As of the modification date, the Company recorded the fair value of the new debt of $28.4 million as short-term debt with CS Solis. As of June 30, 2024, the debt has a redemption obligation of $35.8 million under the Carlyle Debt Modification Agreement. The debt in CS Solis is currently under negotiation.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 liability of $37.2 million and $33.3 million included in short-term debt with CS Solis on its unaudited condensed consolidated balance sheets as of June 30, 2024 and December 31, 2023, respectively. For the thirteen weeks ended June 30, 2024 and July 2, 2023, the Company has recorded accretion of the liability as interest expense of $1.3 million and $0.8 million, respectively, and made no payments of interest expense. For the twenty-six weeks ended June 30, 2024 and July 2, 2023, the Company has recorded accretion of the liability as interest expense of $3.9 million and $1.5 million, respectively, and made no payments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weeks ended June 30, 2024 and July 2, 2023 the Company recorded amortization of issuance costs as interest expense of zero and $0.3 million, respectively. For the twenty-six weeks ended June 30, 2024 and July 2, 2023 the Company recorded amortization of issuance costs as interest expense of zero and $0.7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total estimated fair value of the Company’s debt with CS Solis was $37.2 million, which was estimated based on Level 3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425"/>
        <w:gridCol w:w="1940"/>
      </w:tblGrid>
      <w:tr>
        <w:trPr/>
        <w:tc>
          <w:tcPr>
            <w:tcW w:w="425" w:type="dxa"/>
            <w:tcBorders/>
            <w:vAlign w:val="center"/>
          </w:tcPr>
          <w:p>
            <w:pPr>
              <w:pStyle w:val="TableContents"/>
              <w:bidi w:val="0"/>
              <w:spacing w:before="0" w:after="283"/>
              <w:jc w:val="left"/>
              <w:rPr>
                <w:b/>
              </w:rPr>
            </w:pPr>
            <w:r>
              <w:rPr>
                <w:b/>
              </w:rPr>
              <w:t>(14)</w:t>
            </w:r>
          </w:p>
        </w:tc>
        <w:tc>
          <w:tcPr>
            <w:tcW w:w="1940" w:type="dxa"/>
            <w:tcBorders/>
            <w:vAlign w:val="center"/>
          </w:tcPr>
          <w:p>
            <w:pPr>
              <w:pStyle w:val="TableContents"/>
              <w:bidi w:val="0"/>
              <w:spacing w:before="0" w:after="283"/>
              <w:jc w:val="both"/>
              <w:rPr>
                <w:b/>
              </w:rPr>
            </w:pPr>
            <w:r>
              <w:rPr>
                <w:b/>
              </w:rPr>
              <w:t>SAFE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simple agreement for future equity (the “First SAFE”) with the Rodgers Massey Freedom and Free Markets Charitable Trust (the “Purchaser”), a related party, in connection with the Purchaser investing $1.5 million in the Company. The First SAFE does not accrue interest. The First SAFE was initially convertible into shares of the Company’s common stock, par value $0.0001 per share, upon the initial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to 4,166,667 shares of the Company’s common stock based on a conversion price of $0.36 per share, defined in the First SAFE Amendment as the product of (i) $0.45, the closing price of the Company’s common stock on April 19, 2024, multiplied by (ii) 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Second SAFE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simple agreement for future equity (the “Second SAFE”) with the Purchaser, a related party, in connection with the Purchaser investing $3.5 million in the Company. The First SAFE does not accrued interest. The Second SAFE was initially convertible into shares of the Company’s common stock upon the initial closing of an Equity Financing at a per share conversion price which was equal to the lower of (i) the SAFE Price, and (ii) 80% of the price per share of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the Second SAFE investment of $3.5 million to 9,722,222 shares of the Company’s common stock based on a conversion price of $0.36 per share, defined in the Second SAFE Amendment as the product of (i) $0.45, the closing price of the Company’s common stock on April 19, 2024, multiplied by (ii) 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simple agreement for future equity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65"/>
        <w:gridCol w:w="2375"/>
      </w:tblGrid>
      <w:tr>
        <w:trPr/>
        <w:tc>
          <w:tcPr>
            <w:tcW w:w="365" w:type="dxa"/>
            <w:tcBorders/>
            <w:vAlign w:val="center"/>
          </w:tcPr>
          <w:p>
            <w:pPr>
              <w:pStyle w:val="TableContents"/>
              <w:bidi w:val="0"/>
              <w:spacing w:before="0" w:after="283"/>
              <w:jc w:val="left"/>
              <w:rPr>
                <w:b/>
                <w:sz w:val="20"/>
              </w:rPr>
            </w:pPr>
            <w:r>
              <w:rPr>
                <w:b/>
                <w:sz w:val="20"/>
              </w:rPr>
              <w:t>(15)</w:t>
            </w:r>
          </w:p>
        </w:tc>
        <w:tc>
          <w:tcPr>
            <w:tcW w:w="2375" w:type="dxa"/>
            <w:tcBorders/>
            <w:vAlign w:val="center"/>
          </w:tcPr>
          <w:p>
            <w:pPr>
              <w:pStyle w:val="TableContents"/>
              <w:bidi w:val="0"/>
              <w:spacing w:before="0" w:after="283"/>
              <w:jc w:val="left"/>
              <w:rPr>
                <w:b/>
                <w:sz w:val="20"/>
              </w:rPr>
            </w:pPr>
            <w:r>
              <w:rPr>
                <w:b/>
                <w:sz w:val="20"/>
              </w:rPr>
              <w:t xml:space="preserve">Stock-Based Compensation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of directors prior to the date of the increase. The maximum number of shares of Complete Solaria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 The 2022 Plan is the successor of the Complete Solar 2021 Stock Plan, which was amended and assumed in connection with the acquisition of Solaria. The 2011 Plan is the Complete Solar 2011 Stock Plan that was assumed by Complete Solaria in the Required Transaction. The 2016 Plan and the 2006 Plan are the Solaria stock plans that were assumed by Complete Solaria in the Required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Plans, the Company has granted service and performance-based stock options and restricted stock units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for the twenty-six weeks ended June 30, 2024 under the Plans is as follows:</w:t>
      </w:r>
    </w:p>
    <w:p>
      <w:pPr>
        <w:pStyle w:val="TextBody"/>
        <w:bidi w:val="0"/>
        <w:spacing w:before="0" w:after="0"/>
        <w:ind w:left="0" w:right="0" w:hanging="0"/>
        <w:jc w:val="left"/>
        <w:rPr>
          <w:caps w:val="false"/>
          <w:smallCaps w:val="false"/>
        </w:rPr>
      </w:pPr>
      <w:r>
        <w:rPr>
          <w:caps w:val="false"/>
          <w:smallCaps w:val="false"/>
        </w:rPr>
        <w:t> </w:t>
      </w:r>
    </w:p>
    <w:tbl>
      <w:tblPr>
        <w:tblW w:w="9795" w:type="dxa"/>
        <w:jc w:val="left"/>
        <w:tblInd w:w="0" w:type="dxa"/>
        <w:tblLayout w:type="fixed"/>
        <w:tblCellMar>
          <w:top w:w="0" w:type="dxa"/>
          <w:left w:w="0" w:type="dxa"/>
          <w:bottom w:w="0" w:type="dxa"/>
          <w:right w:w="0" w:type="dxa"/>
        </w:tblCellMar>
      </w:tblPr>
      <w:tblGrid>
        <w:gridCol w:w="4250"/>
        <w:gridCol w:w="60"/>
        <w:gridCol w:w="60"/>
        <w:gridCol w:w="1100"/>
        <w:gridCol w:w="95"/>
        <w:gridCol w:w="60"/>
        <w:gridCol w:w="240"/>
        <w:gridCol w:w="755"/>
        <w:gridCol w:w="60"/>
        <w:gridCol w:w="60"/>
        <w:gridCol w:w="168"/>
        <w:gridCol w:w="1232"/>
        <w:gridCol w:w="60"/>
        <w:gridCol w:w="60"/>
        <w:gridCol w:w="292"/>
        <w:gridCol w:w="1168"/>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4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 xml:space="preserve">Exercise </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br/>
              <w:t>(in thousands)</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Outstanding—December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11,716,646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2,756</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Options 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6,121,251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Options canceled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(3,307,198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Outstanding—June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14,440,661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3,197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Vested and expected to vest—June 30, 2024</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14,440,661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tcMar>
              <w:bottom w:w="28" w:type="dxa"/>
            </w:tcMar>
            <w:vAlign w:val="center"/>
          </w:tcPr>
          <w:p>
            <w:pPr>
              <w:pStyle w:val="TableContents"/>
              <w:bidi w:val="0"/>
              <w:spacing w:before="0" w:after="283"/>
              <w:jc w:val="right"/>
              <w:rPr/>
            </w:pPr>
            <w:r>
              <w:rPr/>
              <w:t>2.83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8.48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3,197</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Vested and exercisable—June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5,092,830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750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RSU activity for the twenty-six weeks ended June 30, 2024 under the Plan is as follows:</w:t>
      </w:r>
    </w:p>
    <w:p>
      <w:pPr>
        <w:pStyle w:val="TextBody"/>
        <w:bidi w:val="0"/>
        <w:spacing w:before="0" w:after="0"/>
        <w:ind w:left="0" w:right="0" w:hanging="0"/>
        <w:jc w:val="left"/>
        <w:rPr>
          <w:caps w:val="false"/>
          <w:smallCaps w:val="false"/>
        </w:rPr>
      </w:pPr>
      <w:r>
        <w:rPr>
          <w:caps w:val="false"/>
          <w:smallCaps w:val="false"/>
        </w:rPr>
        <w:t> </w:t>
      </w:r>
    </w:p>
    <w:tbl>
      <w:tblPr>
        <w:tblW w:w="5713" w:type="dxa"/>
        <w:jc w:val="left"/>
        <w:tblInd w:w="0" w:type="dxa"/>
        <w:tblLayout w:type="fixed"/>
        <w:tblCellMar>
          <w:top w:w="0" w:type="dxa"/>
          <w:left w:w="0" w:type="dxa"/>
          <w:bottom w:w="0" w:type="dxa"/>
          <w:right w:w="0" w:type="dxa"/>
        </w:tblCellMar>
      </w:tblPr>
      <w:tblGrid>
        <w:gridCol w:w="3095"/>
        <w:gridCol w:w="60"/>
        <w:gridCol w:w="90"/>
        <w:gridCol w:w="1039"/>
        <w:gridCol w:w="60"/>
        <w:gridCol w:w="60"/>
        <w:gridCol w:w="297"/>
        <w:gridCol w:w="937"/>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Unvested at December 31, 2023</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58,097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2.07</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Vested and released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Cancelled or forfeited</w:t>
            </w:r>
          </w:p>
        </w:tc>
        <w:tc>
          <w:tcPr>
            <w:tcW w:w="6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Unvested at June 30, 2024</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58,097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stock-based compensation expense and its allocation within the accompanying unaudited condensed consolidated statements of operations and comprehensive loss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200"/>
        <w:gridCol w:w="803"/>
        <w:gridCol w:w="85"/>
        <w:gridCol w:w="85"/>
        <w:gridCol w:w="200"/>
        <w:gridCol w:w="803"/>
        <w:gridCol w:w="60"/>
        <w:gridCol w:w="60"/>
        <w:gridCol w:w="245"/>
        <w:gridCol w:w="900"/>
        <w:gridCol w:w="94"/>
        <w:gridCol w:w="94"/>
        <w:gridCol w:w="221"/>
        <w:gridCol w:w="884"/>
        <w:gridCol w:w="81"/>
      </w:tblGrid>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Twenty-Six Weeks Ended</w:t>
            </w:r>
          </w:p>
        </w:tc>
        <w:tc>
          <w:tcPr>
            <w:tcW w:w="81"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July 2,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w:t>
              <w:br/>
              <w:t>2023</w:t>
            </w:r>
          </w:p>
        </w:tc>
        <w:tc>
          <w:tcPr>
            <w:tcW w:w="81"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29</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56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31</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330"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214</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430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194</w:t>
            </w:r>
          </w:p>
        </w:tc>
        <w:tc>
          <w:tcPr>
            <w:tcW w:w="81"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2,084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517</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330" w:type="dxa"/>
            <w:tcBorders/>
            <w:vAlign w:val="center"/>
          </w:tcPr>
          <w:p>
            <w:pPr>
              <w:pStyle w:val="TableContents"/>
              <w:bidi w:val="0"/>
              <w:spacing w:before="0" w:after="283"/>
              <w:jc w:val="left"/>
              <w:rPr/>
            </w:pPr>
            <w:r>
              <w:rPr/>
              <w:t>Total stock-based compensation expense from continuing operations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1,229</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472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2,570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742</w:t>
            </w:r>
          </w:p>
        </w:tc>
        <w:tc>
          <w:tcPr>
            <w:tcW w:w="81" w:type="dxa"/>
            <w:tcBorders/>
            <w:vAlign w:val="center"/>
          </w:tcPr>
          <w:p>
            <w:pPr>
              <w:pStyle w:val="TableContents"/>
              <w:bidi w:val="0"/>
              <w:spacing w:before="0" w:after="283"/>
              <w:ind w:left="0" w:right="0" w:hanging="180"/>
              <w:jc w:val="left"/>
              <w:rPr/>
            </w:pPr>
            <w:r>
              <w:rPr/>
              <w:t> </w:t>
            </w:r>
          </w:p>
        </w:tc>
      </w:tr>
      <w:tr>
        <w:trPr/>
        <w:tc>
          <w:tcPr>
            <w:tcW w:w="5330" w:type="dxa"/>
            <w:tcBorders/>
            <w:shd w:fill="CCEEFF" w:val="clear"/>
            <w:vAlign w:val="center"/>
          </w:tcPr>
          <w:p>
            <w:pPr>
              <w:pStyle w:val="TableContents"/>
              <w:bidi w:val="0"/>
              <w:spacing w:before="0" w:after="283"/>
              <w:jc w:val="left"/>
              <w:rPr/>
            </w:pPr>
            <w:r>
              <w:rPr/>
              <w:t>Stock-based compensation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1,300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330" w:type="dxa"/>
            <w:tcBorders/>
            <w:vAlign w:val="center"/>
          </w:tcPr>
          <w:p>
            <w:pPr>
              <w:pStyle w:val="TableContents"/>
              <w:bidi w:val="0"/>
              <w:spacing w:before="0" w:after="283"/>
              <w:jc w:val="left"/>
              <w:rPr/>
            </w:pPr>
            <w:r>
              <w:rPr/>
              <w:t>Total stock-based compensation expense</w:t>
            </w:r>
          </w:p>
        </w:tc>
        <w:tc>
          <w:tcPr>
            <w:tcW w:w="6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pPr>
            <w:r>
              <w:rPr/>
              <w:t>$</w:t>
            </w:r>
          </w:p>
        </w:tc>
        <w:tc>
          <w:tcPr>
            <w:tcW w:w="803" w:type="dxa"/>
            <w:tcBorders>
              <w:bottom w:val="double" w:sz="10" w:space="0" w:color="000000"/>
            </w:tcBorders>
            <w:tcMar>
              <w:bottom w:w="28" w:type="dxa"/>
            </w:tcMar>
            <w:vAlign w:val="center"/>
          </w:tcPr>
          <w:p>
            <w:pPr>
              <w:pStyle w:val="TableContents"/>
              <w:bidi w:val="0"/>
              <w:spacing w:before="0" w:after="283"/>
              <w:jc w:val="right"/>
              <w:rPr/>
            </w:pPr>
            <w:r>
              <w:rPr/>
              <w:t>1,229</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pPr>
            <w:r>
              <w:rPr/>
              <w:t>$</w:t>
            </w:r>
          </w:p>
        </w:tc>
        <w:tc>
          <w:tcPr>
            <w:tcW w:w="803" w:type="dxa"/>
            <w:tcBorders>
              <w:bottom w:val="double" w:sz="10" w:space="0" w:color="000000"/>
            </w:tcBorders>
            <w:tcMar>
              <w:bottom w:w="28" w:type="dxa"/>
            </w:tcMar>
            <w:vAlign w:val="center"/>
          </w:tcPr>
          <w:p>
            <w:pPr>
              <w:pStyle w:val="TableContents"/>
              <w:bidi w:val="0"/>
              <w:spacing w:before="0" w:after="283"/>
              <w:jc w:val="right"/>
              <w:rPr/>
            </w:pPr>
            <w:r>
              <w:rPr/>
              <w:t>1,020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tcMar>
              <w:bottom w:w="28" w:type="dxa"/>
            </w:tcMar>
            <w:vAlign w:val="center"/>
          </w:tcPr>
          <w:p>
            <w:pPr>
              <w:pStyle w:val="TableContents"/>
              <w:bidi w:val="0"/>
              <w:spacing w:before="0" w:after="283"/>
              <w:jc w:val="right"/>
              <w:rPr/>
            </w:pPr>
            <w:r>
              <w:rPr/>
              <w:t>2,570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884" w:type="dxa"/>
            <w:tcBorders>
              <w:bottom w:val="double" w:sz="10" w:space="0" w:color="000000"/>
            </w:tcBorders>
            <w:tcMar>
              <w:bottom w:w="28" w:type="dxa"/>
            </w:tcMar>
            <w:vAlign w:val="center"/>
          </w:tcPr>
          <w:p>
            <w:pPr>
              <w:pStyle w:val="TableContents"/>
              <w:bidi w:val="0"/>
              <w:spacing w:before="0" w:after="283"/>
              <w:jc w:val="right"/>
              <w:rPr/>
            </w:pPr>
            <w:r>
              <w:rPr/>
              <w:t>2,042</w:t>
            </w:r>
          </w:p>
        </w:tc>
        <w:tc>
          <w:tcPr>
            <w:tcW w:w="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there was a total of $21.0 million and zero unrecognized stock-based compensation costs related to service-based options and RSUs, respectively. Such compensation cost is expected to be recognized over a weighted-average period of approximately 1.23 years for service-based options.</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410"/>
        <w:gridCol w:w="2705"/>
      </w:tblGrid>
      <w:tr>
        <w:trPr/>
        <w:tc>
          <w:tcPr>
            <w:tcW w:w="410" w:type="dxa"/>
            <w:tcBorders/>
            <w:vAlign w:val="center"/>
          </w:tcPr>
          <w:p>
            <w:pPr>
              <w:pStyle w:val="TableContents"/>
              <w:bidi w:val="0"/>
              <w:spacing w:before="0" w:after="283"/>
              <w:jc w:val="left"/>
              <w:rPr>
                <w:b/>
                <w:sz w:val="20"/>
              </w:rPr>
            </w:pPr>
            <w:r>
              <w:rPr>
                <w:b/>
                <w:sz w:val="20"/>
              </w:rPr>
              <w:t xml:space="preserve">(16) </w:t>
            </w:r>
          </w:p>
        </w:tc>
        <w:tc>
          <w:tcPr>
            <w:tcW w:w="2705" w:type="dxa"/>
            <w:tcBorders/>
            <w:vAlign w:val="center"/>
          </w:tcPr>
          <w:p>
            <w:pPr>
              <w:pStyle w:val="TableContents"/>
              <w:bidi w:val="0"/>
              <w:spacing w:before="0" w:after="283"/>
              <w:jc w:val="left"/>
              <w:rPr>
                <w:b/>
                <w:sz w:val="20"/>
              </w:rPr>
            </w:pPr>
            <w:r>
              <w:rPr>
                <w:b/>
                <w:sz w:val="20"/>
              </w:rPr>
              <w:t xml:space="preserve">Employee Stock Purchase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Employee Stock Purchase Plan (the “ESPP Plan”) in connection with the consummation of the Mergers in July 2023. All qualified employees may voluntarily enroll to purchase shares of the Company’s common stock through payroll deductions at a price equal to 85% of the lower of the fair market values of the stock of the offering periods or the applicable purchase date. As of June 30, 2024, 2,628,996 shares were reserved for future issuance under the ESPP Plan.</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365"/>
        <w:gridCol w:w="2810"/>
      </w:tblGrid>
      <w:tr>
        <w:trPr/>
        <w:tc>
          <w:tcPr>
            <w:tcW w:w="365" w:type="dxa"/>
            <w:tcBorders/>
            <w:vAlign w:val="center"/>
          </w:tcPr>
          <w:p>
            <w:pPr>
              <w:pStyle w:val="TableContents"/>
              <w:bidi w:val="0"/>
              <w:spacing w:before="0" w:after="283"/>
              <w:jc w:val="left"/>
              <w:rPr>
                <w:b/>
                <w:sz w:val="20"/>
              </w:rPr>
            </w:pPr>
            <w:r>
              <w:rPr>
                <w:b/>
                <w:sz w:val="20"/>
              </w:rPr>
              <w:t>(17)</w:t>
            </w:r>
          </w:p>
        </w:tc>
        <w:tc>
          <w:tcPr>
            <w:tcW w:w="2810" w:type="dxa"/>
            <w:tcBorders/>
            <w:vAlign w:val="center"/>
          </w:tcPr>
          <w:p>
            <w:pPr>
              <w:pStyle w:val="TableContents"/>
              <w:bidi w:val="0"/>
              <w:spacing w:before="0" w:after="283"/>
              <w:jc w:val="left"/>
              <w:rPr>
                <w:b/>
                <w:sz w:val="20"/>
              </w:rPr>
            </w:pPr>
            <w:r>
              <w:rPr>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the Company provides a 30-year warranty that the products will be free from defects in material and workmanship. The Company will retain its warranty obligation associated with its panel sales, subsequent to the disposal of its panel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accrues warranty costs when revenue is recognized for solar energy systems sales and panel sales,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unaudited condensed consolidated statements of operations and comprehensive loss. Warranty costs primarily consist of replacement materials and equipment and labor costs for service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by period relating to the Company’s warranty provision was as follows (in thousands):</w:t>
      </w:r>
    </w:p>
    <w:p>
      <w:pPr>
        <w:pStyle w:val="TextBody"/>
        <w:bidi w:val="0"/>
        <w:spacing w:before="0" w:after="0"/>
        <w:ind w:left="0" w:right="0" w:hanging="0"/>
        <w:jc w:val="left"/>
        <w:rPr>
          <w:caps w:val="false"/>
          <w:smallCaps w:val="false"/>
        </w:rPr>
      </w:pPr>
      <w:r>
        <w:rPr>
          <w:caps w:val="false"/>
          <w:smallCaps w:val="false"/>
        </w:rPr>
        <w:t> </w:t>
      </w:r>
    </w:p>
    <w:tbl>
      <w:tblPr>
        <w:tblW w:w="7074" w:type="dxa"/>
        <w:jc w:val="left"/>
        <w:tblInd w:w="0" w:type="dxa"/>
        <w:tblLayout w:type="fixed"/>
        <w:tblCellMar>
          <w:top w:w="0" w:type="dxa"/>
          <w:left w:w="0" w:type="dxa"/>
          <w:bottom w:w="0" w:type="dxa"/>
          <w:right w:w="0" w:type="dxa"/>
        </w:tblCellMar>
      </w:tblPr>
      <w:tblGrid>
        <w:gridCol w:w="3845"/>
        <w:gridCol w:w="60"/>
        <w:gridCol w:w="286"/>
        <w:gridCol w:w="1144"/>
        <w:gridCol w:w="95"/>
        <w:gridCol w:w="60"/>
        <w:gridCol w:w="265"/>
        <w:gridCol w:w="1209"/>
        <w:gridCol w:w="110"/>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Twenty-Six</w:t>
              <w:br/>
              <w:t>Weeks Ended</w:t>
              <w:br/>
              <w:t xml:space="preserve">June 30,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4,849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3,981</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Accruals for new warranties issued</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2,968</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Settlements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(2,100</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vAlign w:val="center"/>
          </w:tcPr>
          <w:p>
            <w:pPr>
              <w:pStyle w:val="TableContents"/>
              <w:bidi w:val="0"/>
              <w:spacing w:before="0" w:after="283"/>
              <w:jc w:val="left"/>
              <w:rPr/>
            </w:pPr>
            <w:r>
              <w:rPr/>
              <w:t>Warranty provision, end of period</w:t>
            </w:r>
          </w:p>
        </w:tc>
        <w:tc>
          <w:tcPr>
            <w:tcW w:w="60" w:type="dxa"/>
            <w:tcBorders/>
            <w:vAlign w:val="center"/>
          </w:tcPr>
          <w:p>
            <w:pPr>
              <w:pStyle w:val="TableContents"/>
              <w:bidi w:val="0"/>
              <w:spacing w:before="0" w:after="283"/>
              <w:jc w:val="left"/>
              <w:rPr/>
            </w:pPr>
            <w:r>
              <w:rPr/>
              <w:t> </w:t>
            </w:r>
          </w:p>
        </w:tc>
        <w:tc>
          <w:tcPr>
            <w:tcW w:w="286" w:type="dxa"/>
            <w:tcBorders>
              <w:bottom w:val="double" w:sz="10" w:space="0" w:color="000000"/>
            </w:tcBorders>
            <w:tcMar>
              <w:bottom w:w="28" w:type="dxa"/>
            </w:tcMar>
            <w:vAlign w:val="center"/>
          </w:tcPr>
          <w:p>
            <w:pPr>
              <w:pStyle w:val="TableContents"/>
              <w:bidi w:val="0"/>
              <w:spacing w:before="0" w:after="283"/>
              <w:jc w:val="left"/>
              <w:rPr/>
            </w:pPr>
            <w:r>
              <w:rPr/>
              <w:t>$</w:t>
            </w:r>
          </w:p>
        </w:tc>
        <w:tc>
          <w:tcPr>
            <w:tcW w:w="1144" w:type="dxa"/>
            <w:tcBorders>
              <w:bottom w:val="double" w:sz="10" w:space="0" w:color="000000"/>
            </w:tcBorders>
            <w:tcMar>
              <w:bottom w:w="28" w:type="dxa"/>
            </w:tcMar>
            <w:vAlign w:val="center"/>
          </w:tcPr>
          <w:p>
            <w:pPr>
              <w:pStyle w:val="TableContents"/>
              <w:bidi w:val="0"/>
              <w:spacing w:before="0" w:after="283"/>
              <w:jc w:val="right"/>
              <w:rPr/>
            </w:pPr>
            <w:r>
              <w:rPr/>
              <w:t>4,840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bottom w:val="double" w:sz="10" w:space="0" w:color="000000"/>
            </w:tcBorders>
            <w:tcMar>
              <w:bottom w:w="28" w:type="dxa"/>
            </w:tcMar>
            <w:vAlign w:val="center"/>
          </w:tcPr>
          <w:p>
            <w:pPr>
              <w:pStyle w:val="TableContents"/>
              <w:bidi w:val="0"/>
              <w:spacing w:before="0" w:after="283"/>
              <w:jc w:val="left"/>
              <w:rPr/>
            </w:pPr>
            <w:r>
              <w:rPr/>
              <w:t>$</w:t>
            </w:r>
          </w:p>
        </w:tc>
        <w:tc>
          <w:tcPr>
            <w:tcW w:w="1209" w:type="dxa"/>
            <w:tcBorders>
              <w:bottom w:val="double" w:sz="10" w:space="0" w:color="000000"/>
            </w:tcBorders>
            <w:tcMar>
              <w:bottom w:w="28" w:type="dxa"/>
            </w:tcMar>
            <w:vAlign w:val="center"/>
          </w:tcPr>
          <w:p>
            <w:pPr>
              <w:pStyle w:val="TableContents"/>
              <w:bidi w:val="0"/>
              <w:spacing w:before="0" w:after="283"/>
              <w:jc w:val="right"/>
              <w:rPr/>
            </w:pPr>
            <w:r>
              <w:rPr/>
              <w:t>4,849</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Warranty provision, current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1,433</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Warranty provision, noncurrent</w:t>
            </w:r>
          </w:p>
        </w:tc>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3,416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3,416</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its business, financial position, results of operations, or cash flows. The Company has recorded $7.9 million as a loss contingency in accrued expenses and other current liabilities on its unaudited condensed consolidated balance sheets as of both June 30, 2024 and December 31, 2023, respectively, primarily associated with the pending settlement of the following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No liability has been recorded in the Company’s unaudited condensed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and Siemens Industry, Inc. (collectively, “Siemens”) filed a lawsuit against Solaria Corporation and SolarCA, LLC, which are wholly-owned subsidiaries of Complete Solaria, Inc. (collectively, the “Subsidiaries”), in Fairfax Circuit Court (the “Court”) in Fairfax, Virginia.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Court issued an order against the Subsidiaries which awards Siemens approximately $6.9 million, inclusive of amounts of the Subsidiaries’ indemnity obligations to Siemens, plus attorney’s fees, the amount of which would be determined at a later hearing. On March 15, 2024, Siemens filed a motion seeking to recover $2.67 million for attorneys’ fees, expenses, and pre-judgment interest. On June 17, 2024, the Court entered a final order which awards Siemens a total of $2.0 million in attorneys’ fees and costs. The Company intends to appeal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$6.9 million as a legal loss related to this litigation, and the Company recorded an additional accrual for $2.0 million for attorneys’ fees, expenses, and pre-judgment interest, in accrued expenses and other current liabilities on its unaudited condensed consolidated balance sheets as of June 30, 2024. This legal loss was recognized in loss from discontinued operations, net of tax on the unaudited condensed consolidated statements of operations and comprehensive loss. The Company recorded $6.9 million as a legal loss related to this litigation, excluding amounts for attorneys’ fees and costs, in accrued expenses and other current liabilities on its unaudited condensed consolidated balance sheet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China Bridge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China Bridge Capital Limited (“China Bridge”) alleged breach of contract and demanded $6.0 million. The complaint names FACT as the defendant. The complaint alleges China Bridge and FACT entered into a financial advisory agreement in October 2022 whereby FACT engaged China Bridge to advise and assist FACT in identifying a company for FACT to acquire. As part of the agreement, China Bridge claims that FACT agreed to pay China Bridge a $6.0 million advisory fee if FACT completed such an acquisition. China Bridge claims it introduced Complete Solaria to FACT and is therefore owed the $6.0 million advisory fee. The Company believes that the allegations lack merit and intends to vigorously defend all claims asserted. No liability has been recorded in the Company’s unaudited condensed consolidated financial statements as the likelihood of a loss is not probable at this time. On July 25, 2024, the parties executed a settlement agreement. The Company paid no money or other compensation to China Bridge.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$3.8 million of outstanding letters of credit related to normal business transactions as of June 30,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at each of June 30, 2024 and December 31, 2023.</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365"/>
        <w:gridCol w:w="3215"/>
      </w:tblGrid>
      <w:tr>
        <w:trPr/>
        <w:tc>
          <w:tcPr>
            <w:tcW w:w="365" w:type="dxa"/>
            <w:tcBorders/>
            <w:vAlign w:val="center"/>
          </w:tcPr>
          <w:p>
            <w:pPr>
              <w:pStyle w:val="TableContents"/>
              <w:bidi w:val="0"/>
              <w:spacing w:before="0" w:after="283"/>
              <w:jc w:val="both"/>
              <w:rPr>
                <w:b/>
                <w:sz w:val="20"/>
              </w:rPr>
            </w:pPr>
            <w:r>
              <w:rPr>
                <w:b/>
                <w:sz w:val="20"/>
              </w:rPr>
              <w:t>(18)</w:t>
            </w:r>
          </w:p>
        </w:tc>
        <w:tc>
          <w:tcPr>
            <w:tcW w:w="3215" w:type="dxa"/>
            <w:tcBorders/>
            <w:vAlign w:val="center"/>
          </w:tcPr>
          <w:p>
            <w:pPr>
              <w:pStyle w:val="TableContents"/>
              <w:bidi w:val="0"/>
              <w:spacing w:before="0" w:after="283"/>
              <w:jc w:val="both"/>
              <w:rPr>
                <w:b/>
                <w:sz w:val="20"/>
              </w:rPr>
            </w:pPr>
            <w:r>
              <w:rPr>
                <w:b/>
                <w:sz w:val="20"/>
              </w:rPr>
              <w:t xml:space="preserve">Basic and Diluted Net Loss Per Share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for the thirteen and twenty-six week periods ended June 30, 2024 and July 2, 2023.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The Company’s basic net loss per share is computed by dividing the net loss attributable to common stockholders by the weighted-average shares of common stock outstanding during periods with undistributed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basic and diluted shares and net loss per share for the thirteen and twenty-six week periods ended July 2, 2023 have been retroactively restated to give effect to the conversion of shares of legal acquiree’s convertible instruments into shares of legal acquiree common stock as though the conversion had occurred as of the beginning of the period. The retroactive restatement is consistent with the presentation on the accompanying unaudited condensed consolidated statements of stockholders’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loss per share attributable to common stockholders for the thirteen and twenty-six week periods ended June 30, 2024 and July 2, 2023 (in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95"/>
        <w:gridCol w:w="60"/>
        <w:gridCol w:w="140"/>
        <w:gridCol w:w="1100"/>
        <w:gridCol w:w="95"/>
        <w:gridCol w:w="60"/>
        <w:gridCol w:w="140"/>
        <w:gridCol w:w="1100"/>
        <w:gridCol w:w="95"/>
        <w:gridCol w:w="60"/>
        <w:gridCol w:w="140"/>
        <w:gridCol w:w="1106"/>
        <w:gridCol w:w="95"/>
        <w:gridCol w:w="60"/>
        <w:gridCol w:w="140"/>
        <w:gridCol w:w="1106"/>
        <w:gridCol w:w="113"/>
      </w:tblGrid>
      <w:tr>
        <w:trPr/>
        <w:tc>
          <w:tcPr>
            <w:tcW w:w="459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Twenty-Six Weeks Ended</w:t>
            </w:r>
          </w:p>
        </w:tc>
        <w:tc>
          <w:tcPr>
            <w:tcW w:w="113" w:type="dxa"/>
            <w:tcBorders/>
            <w:vAlign w:val="center"/>
          </w:tcPr>
          <w:p>
            <w:pPr>
              <w:pStyle w:val="TableContents"/>
              <w:bidi w:val="0"/>
              <w:spacing w:before="0" w:after="283"/>
              <w:ind w:left="0" w:right="0" w:hanging="180"/>
              <w:jc w:val="left"/>
              <w:rPr/>
            </w:pPr>
            <w:r>
              <w:rPr/>
              <w:t> </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July 2, </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w:t>
              <w:br/>
              <w:t>2023</w:t>
            </w:r>
          </w:p>
        </w:tc>
        <w:tc>
          <w:tcPr>
            <w:tcW w:w="113" w:type="dxa"/>
            <w:tcBorders/>
            <w:vAlign w:val="center"/>
          </w:tcPr>
          <w:p>
            <w:pPr>
              <w:pStyle w:val="TableContents"/>
              <w:bidi w:val="0"/>
              <w:spacing w:before="0" w:after="283"/>
              <w:ind w:left="0" w:right="0" w:hanging="180"/>
              <w:jc w:val="left"/>
              <w:rPr/>
            </w:pPr>
            <w:r>
              <w:rPr/>
              <w:t> </w:t>
            </w:r>
          </w:p>
        </w:tc>
      </w:tr>
      <w:tr>
        <w:trPr/>
        <w:tc>
          <w:tcPr>
            <w:tcW w:w="4595"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459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(13,887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(23,475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(22,475</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4595" w:type="dxa"/>
            <w:tcBorders/>
            <w:vAlign w:val="center"/>
          </w:tcPr>
          <w:p>
            <w:pPr>
              <w:pStyle w:val="TableContents"/>
              <w:bidi w:val="0"/>
              <w:spacing w:before="0" w:after="283"/>
              <w:jc w:val="left"/>
              <w:rPr/>
            </w:pPr>
            <w:r>
              <w:rPr/>
              <w:t>Net loss from discontinued operations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(4,744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tcMar>
              <w:bottom w:w="28" w:type="dxa"/>
            </w:tcMar>
            <w:vAlign w:val="center"/>
          </w:tcPr>
          <w:p>
            <w:pPr>
              <w:pStyle w:val="TableContents"/>
              <w:bidi w:val="0"/>
              <w:spacing w:before="0" w:after="283"/>
              <w:jc w:val="right"/>
              <w:rPr/>
            </w:pPr>
            <w:r>
              <w:rPr/>
              <w:t>(12,549</w:t>
            </w:r>
          </w:p>
        </w:tc>
        <w:tc>
          <w:tcPr>
            <w:tcW w:w="113" w:type="dxa"/>
            <w:tcBorders/>
            <w:vAlign w:val="center"/>
          </w:tcPr>
          <w:p>
            <w:pPr>
              <w:pStyle w:val="TableContents"/>
              <w:bidi w:val="0"/>
              <w:spacing w:before="0" w:after="283"/>
              <w:ind w:left="0" w:right="0" w:hanging="180"/>
              <w:jc w:val="left"/>
              <w:rPr/>
            </w:pPr>
            <w:r>
              <w:rPr/>
              <w:t>)</w:t>
            </w:r>
          </w:p>
        </w:tc>
      </w:tr>
      <w:tr>
        <w:trPr/>
        <w:tc>
          <w:tcPr>
            <w:tcW w:w="45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(25,482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(35,024</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4595" w:type="dxa"/>
            <w:tcBorders/>
            <w:vAlign w:val="center"/>
          </w:tcPr>
          <w:p>
            <w:pPr>
              <w:pStyle w:val="TableContents"/>
              <w:bidi w:val="0"/>
              <w:spacing w:before="0" w:after="283"/>
              <w:jc w:val="left"/>
              <w:rPr>
                <w:b/>
              </w:rPr>
            </w:pPr>
            <w:r>
              <w:rPr>
                <w:b/>
              </w:rPr>
              <w:t>Denominator: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4595" w:type="dxa"/>
            <w:tcBorders/>
            <w:shd w:fill="CCEEFF" w:val="clear"/>
            <w:vAlign w:val="center"/>
          </w:tcPr>
          <w:p>
            <w:pPr>
              <w:pStyle w:val="TableContents"/>
              <w:bidi w:val="0"/>
              <w:spacing w:before="0" w:after="0"/>
              <w:jc w:val="left"/>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61,111,005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27,671,302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54,941,543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27,638,062</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4595" w:type="dxa"/>
            <w:tcBorders/>
            <w:vAlign w:val="center"/>
          </w:tcPr>
          <w:p>
            <w:pPr>
              <w:pStyle w:val="TableContents"/>
              <w:bidi w:val="0"/>
              <w:spacing w:before="0" w:after="283"/>
              <w:jc w:val="left"/>
              <w:rPr>
                <w:b/>
              </w:rPr>
            </w:pPr>
            <w:r>
              <w:rPr>
                <w:b/>
              </w:rPr>
              <w:t>Net loss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4595" w:type="dxa"/>
            <w:tcBorders/>
            <w:shd w:fill="CCEEFF" w:val="clear"/>
            <w:vAlign w:val="center"/>
          </w:tcPr>
          <w:p>
            <w:pPr>
              <w:pStyle w:val="TableContents"/>
              <w:bidi w:val="0"/>
              <w:spacing w:before="0" w:after="0"/>
              <w:jc w:val="left"/>
              <w:rPr/>
            </w:pPr>
            <w:r>
              <w:rPr/>
              <w:t>Continuing operations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(0.81</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4595" w:type="dxa"/>
            <w:tcBorders/>
            <w:vAlign w:val="center"/>
          </w:tcPr>
          <w:p>
            <w:pPr>
              <w:pStyle w:val="TableContents"/>
              <w:bidi w:val="0"/>
              <w:spacing w:before="0" w:after="0"/>
              <w:jc w:val="left"/>
              <w:rPr/>
            </w:pPr>
            <w:r>
              <w:rPr/>
              <w:t>Discontinued operations – basic and diluted</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(0.17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tcMar>
              <w:bottom w:w="28" w:type="dxa"/>
            </w:tcMar>
            <w:vAlign w:val="center"/>
          </w:tcPr>
          <w:p>
            <w:pPr>
              <w:pStyle w:val="TableContents"/>
              <w:bidi w:val="0"/>
              <w:spacing w:before="0" w:after="283"/>
              <w:jc w:val="right"/>
              <w:rPr/>
            </w:pPr>
            <w:r>
              <w:rPr/>
              <w:t>(0.03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tcMar>
              <w:bottom w:w="28" w:type="dxa"/>
            </w:tcMar>
            <w:vAlign w:val="center"/>
          </w:tcPr>
          <w:p>
            <w:pPr>
              <w:pStyle w:val="TableContents"/>
              <w:bidi w:val="0"/>
              <w:spacing w:before="0" w:after="283"/>
              <w:jc w:val="right"/>
              <w:rPr/>
            </w:pPr>
            <w:r>
              <w:rPr/>
              <w:t>(0.46</w:t>
            </w:r>
          </w:p>
        </w:tc>
        <w:tc>
          <w:tcPr>
            <w:tcW w:w="113" w:type="dxa"/>
            <w:tcBorders/>
            <w:vAlign w:val="center"/>
          </w:tcPr>
          <w:p>
            <w:pPr>
              <w:pStyle w:val="TableContents"/>
              <w:bidi w:val="0"/>
              <w:spacing w:before="0" w:after="283"/>
              <w:ind w:left="0" w:right="0" w:hanging="180"/>
              <w:jc w:val="left"/>
              <w:rPr/>
            </w:pPr>
            <w:r>
              <w:rPr/>
              <w:t>)</w:t>
            </w:r>
          </w:p>
        </w:tc>
      </w:tr>
      <w:tr>
        <w:trPr/>
        <w:tc>
          <w:tcPr>
            <w:tcW w:w="4595" w:type="dxa"/>
            <w:tcBorders/>
            <w:shd w:fill="CCEEFF" w:val="clear"/>
            <w:vAlign w:val="center"/>
          </w:tcPr>
          <w:p>
            <w:pPr>
              <w:pStyle w:val="TableContents"/>
              <w:bidi w:val="0"/>
              <w:spacing w:before="0" w:after="0"/>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(1.27</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diluted net loss per share attributable to common stockholders is the same for the thirteen and twenty-six week periods ended June 30, 2024 and July 2, 2023 because the inclusion of potential shares of common stock would have been anti-dilutive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6200"/>
        <w:gridCol w:w="60"/>
        <w:gridCol w:w="60"/>
        <w:gridCol w:w="1100"/>
        <w:gridCol w:w="60"/>
        <w:gridCol w:w="60"/>
        <w:gridCol w:w="60"/>
        <w:gridCol w:w="980"/>
        <w:gridCol w:w="75"/>
      </w:tblGrid>
      <w:tr>
        <w:trPr/>
        <w:tc>
          <w:tcPr>
            <w:tcW w:w="6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July 2, </w:t>
              <w:br/>
              <w:t>2023</w:t>
            </w:r>
          </w:p>
        </w:tc>
        <w:tc>
          <w:tcPr>
            <w:tcW w:w="75"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23,024,556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1,157,784</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Stock options and RSUs issued and outstanding</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14,440,661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6,693,998</w:t>
            </w:r>
          </w:p>
        </w:tc>
        <w:tc>
          <w:tcPr>
            <w:tcW w:w="75"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Potential common shares excluded from diluted net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37,465,217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7,851,782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365"/>
        <w:gridCol w:w="2405"/>
      </w:tblGrid>
      <w:tr>
        <w:trPr/>
        <w:tc>
          <w:tcPr>
            <w:tcW w:w="365" w:type="dxa"/>
            <w:tcBorders/>
            <w:vAlign w:val="center"/>
          </w:tcPr>
          <w:p>
            <w:pPr>
              <w:pStyle w:val="TableContents"/>
              <w:bidi w:val="0"/>
              <w:spacing w:before="0" w:after="283"/>
              <w:jc w:val="left"/>
              <w:rPr>
                <w:b/>
                <w:sz w:val="20"/>
              </w:rPr>
            </w:pPr>
            <w:r>
              <w:rPr>
                <w:b/>
                <w:sz w:val="20"/>
              </w:rPr>
              <w:t>(19)</w:t>
            </w:r>
          </w:p>
        </w:tc>
        <w:tc>
          <w:tcPr>
            <w:tcW w:w="2405" w:type="dxa"/>
            <w:tcBorders/>
            <w:vAlign w:val="center"/>
          </w:tcPr>
          <w:p>
            <w:pPr>
              <w:pStyle w:val="TableContents"/>
              <w:bidi w:val="0"/>
              <w:spacing w:before="0" w:after="283"/>
              <w:jc w:val="left"/>
              <w:rPr>
                <w:b/>
                <w:sz w:val="20"/>
              </w:rPr>
            </w:pPr>
            <w:r>
              <w:rPr>
                <w:b/>
                <w:sz w:val="20"/>
              </w:rPr>
              <w:t xml:space="preserve">Related Party Transactions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2022 through June 2023, the Company issued convertible promissory notes (“2022 Convertible Notes”) of approximately $33.3 million to various investors, out of which $12.1 million was issued to five related parties. Additionally, the Company acquired a related party convertible note, on the same terms as the 2022 Convertible Notes as part of the acquisition of Solaria, with a fair value of $6.7 million at the time of the acquisition. The related party debt is presented as convertible notes, net, due to related parties, noncurrent in the accompanying unaudited condensed consolidated balance sheets. The principal amount of the outstanding balance on the 2022 Convertible Notes accrues at 5.0%, compounded annually. For the thirteen week periods ended June 30, 2024 and July 2, 2023, the Company has recognized zero and $0.2 million, respectively, in interest expense related to the related party 2022 Convertible Notes. For the twenty-six week periods ended June 30, 2024 and July 2, 2023, the Company has recognized zero and $0.4 million, respectively, in interest expense related to the related party 2022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received $3.5 million of prefunded PIPE proceeds from a related party investor in conjunction with the Company’s merger with Freedom Acquisition I Corp. In July 2023, in connection with the Mergers, in addition to the $3.5 million of related party PIPE proceeds noted above, the Company received additional PIPE proceeds from related parties of $12.1 million. In July 2023, in connection with the Mergers, the Company issued 120,000 shares to a related party as a transaction bonus. Refer to Note 1(a) – Description of Business and Note 4 – Reverse Recapitalization for further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entered into a series of FPAs as described in Note 5 – Forward Purchase Agreements. In connection with the FPAs, the Company recognized other expense of $30.7 million for the fiscal year ended December 31, 2023 in connection with the issuance of 5,670,000 shares of Complete Solaria Common Stock to the related party FPA Sellers. The Company also recognized other income of $0.3 million in connection with the issuance of the FPAs with related parties. The Company has recognized a liability associated with the FPAs of $5.6 million and $3.2 million due to related parties in its unaudited condensed consolidated balance sheets as of June 30, 2024 and December 31, 2023, respectively. The Company recognized $2.4 million of other income in the thirteen week period ended June 30, 2024 and $2.4 million of other expense in the twenty-six week period ended June 30, 2024 in its unaudited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in connection with the Mergers, the Company entered into a settlement and release agreement with a related party for the settlement of a working capital loan made to the Sponsor, prior to the closing of the Mergers. As part of the settlement agreement, the Company agreed to pay the related party $0.5 million as a return of capital, which is paid in ten equal monthly installments and does not accrue interest. The Company paid $0.2 million in 2023 and the remaining balance of $0.3 million was paid in the thirteen-week period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entered into an Assignment Agreement whereby Structural Capital Investments III, LP assigned the SCI debt to Kline Hill Partners Fund LP, Kline Hill Partners IV SPV LLC, Kline Hill Partners Opportunity IV SPV LLC, (collectively “Kline Hill”) and Rodgers Massey Revocable Living Trust, a related party, for a total purchase price of $5.0 million. The SCI Revolving Loan continued to remain outstanding as of June 30, 2024 and is currently being renegotiated.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SAFEs, as described in Note 14 –SAFE Agreements, entered into during the twenty-six weeks ended June 30, 2024 were with the Rodgers Massey Freedom and Free Markets Charitable Trust, a related party. The Company received proceeds from the SAFEs totaling $6.0 million in exchange for debt that may be converted into shares of the Company’s common stock. The SAFEs issued in the first quarter of 2024, totaling $5.0 million were converted into 13,888,889 share of the Company’s common stock during the 13 weeks ended June 30, 2024. The Company recognized a loss of $1.3 million in connection with the conversion of the two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Rodgers made a good faith deposit of $2.0 million to the Company to prefund the July 2024 Rodgers Note that subsequently was issued by the Company in July 2024 in connection with the Exchange Agreement entered after the period end. Refer to Note 20 - Subsequent Events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material related party transactions during the thirteen and twenty-six week periods ended June 30, 2024 and July 2, 2023.</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365"/>
        <w:gridCol w:w="1595"/>
      </w:tblGrid>
      <w:tr>
        <w:trPr/>
        <w:tc>
          <w:tcPr>
            <w:tcW w:w="365" w:type="dxa"/>
            <w:tcBorders/>
            <w:vAlign w:val="center"/>
          </w:tcPr>
          <w:p>
            <w:pPr>
              <w:pStyle w:val="TableContents"/>
              <w:bidi w:val="0"/>
              <w:spacing w:before="0" w:after="283"/>
              <w:jc w:val="both"/>
              <w:rPr>
                <w:b/>
                <w:sz w:val="20"/>
              </w:rPr>
            </w:pPr>
            <w:r>
              <w:rPr>
                <w:b/>
                <w:sz w:val="20"/>
              </w:rPr>
              <w:t>(20)</w:t>
            </w:r>
          </w:p>
        </w:tc>
        <w:tc>
          <w:tcPr>
            <w:tcW w:w="1595" w:type="dxa"/>
            <w:tcBorders/>
            <w:vAlign w:val="center"/>
          </w:tcPr>
          <w:p>
            <w:pPr>
              <w:pStyle w:val="TableContents"/>
              <w:bidi w:val="0"/>
              <w:spacing w:before="0" w:after="283"/>
              <w:jc w:val="both"/>
              <w:rPr>
                <w:b/>
                <w:sz w:val="20"/>
              </w:rPr>
            </w:pPr>
            <w:r>
              <w:rPr>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Exchanged for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entered into an Exchange Agreement (the “Exchange Agreement”) with Carlyle and Kline Hill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both"/>
              <w:rPr/>
            </w:pPr>
            <w:r>
              <w:rPr/>
              <w:t>(i)</w:t>
            </w:r>
          </w:p>
        </w:tc>
        <w:tc>
          <w:tcPr>
            <w:tcW w:w="9991" w:type="dxa"/>
            <w:tcBorders/>
            <w:vAlign w:val="center"/>
          </w:tcPr>
          <w:p>
            <w:pPr>
              <w:pStyle w:val="TableContents"/>
              <w:bidi w:val="0"/>
              <w:spacing w:before="0" w:after="283"/>
              <w:jc w:val="both"/>
              <w:rPr/>
            </w:pPr>
            <w:r>
              <w:rPr/>
              <w:t>the cancellation of all indebtedness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29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(ii)</w:t>
            </w:r>
          </w:p>
        </w:tc>
        <w:tc>
          <w:tcPr>
            <w:tcW w:w="8810" w:type="dxa"/>
            <w:tcBorders/>
            <w:vAlign w:val="center"/>
          </w:tcPr>
          <w:p>
            <w:pPr>
              <w:pStyle w:val="TableContents"/>
              <w:bidi w:val="0"/>
              <w:spacing w:before="0" w:after="283"/>
              <w:jc w:val="both"/>
              <w:rPr/>
            </w:pPr>
            <w:r>
              <w:rPr/>
              <w:t>the issuance of a convertible note in the original principal amount of $10.0 million to Carlyle;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both"/>
              <w:rPr/>
            </w:pPr>
            <w:r>
              <w:rPr/>
              <w:t>(iii)</w:t>
            </w:r>
          </w:p>
        </w:tc>
        <w:tc>
          <w:tcPr>
            <w:tcW w:w="9865" w:type="dxa"/>
            <w:tcBorders/>
            <w:vAlign w:val="center"/>
          </w:tcPr>
          <w:p>
            <w:pPr>
              <w:pStyle w:val="TableContents"/>
              <w:bidi w:val="0"/>
              <w:spacing w:before="0" w:after="283"/>
              <w:jc w:val="both"/>
              <w:rPr/>
            </w:pPr>
            <w:r>
              <w:rPr/>
              <w:t>the cancellation of all indebtedness owed to Kline Hill by the Company, termination of all debt instruments by and between the Company and Kline Hill, and the satisfaction of all obligations owed to Kline Hill by the Company under the terminated debt instruments;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both"/>
              <w:rPr/>
            </w:pPr>
            <w:r>
              <w:rPr/>
              <w:t>(iv)</w:t>
            </w:r>
          </w:p>
        </w:tc>
        <w:tc>
          <w:tcPr>
            <w:tcW w:w="9821" w:type="dxa"/>
            <w:tcBorders/>
            <w:vAlign w:val="center"/>
          </w:tcPr>
          <w:p>
            <w:pPr>
              <w:pStyle w:val="TableContents"/>
              <w:bidi w:val="0"/>
              <w:spacing w:before="0" w:after="283"/>
              <w:jc w:val="both"/>
              <w:rPr/>
            </w:pPr>
            <w:r>
              <w:rPr/>
              <w:t>the issuance of convertible notes in the aggregate original principal amount of $7,972,731 to Kline Hill;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both"/>
              <w:rPr/>
            </w:pPr>
            <w:r>
              <w:rPr/>
              <w:t>(v)</w:t>
            </w:r>
          </w:p>
        </w:tc>
        <w:tc>
          <w:tcPr>
            <w:tcW w:w="9901" w:type="dxa"/>
            <w:tcBorders/>
            <w:vAlign w:val="center"/>
          </w:tcPr>
          <w:p>
            <w:pPr>
              <w:pStyle w:val="TableContents"/>
              <w:bidi w:val="0"/>
              <w:spacing w:before="0" w:after="283"/>
              <w:jc w:val="both"/>
              <w:rPr/>
            </w:pPr>
            <w:r>
              <w:rPr/>
              <w:t>the issuance of 1,500,000 shares of common stock, par value $0.0001 per share, of the Company (the “Common Stock”) to Kline Hill (the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July 2024, the Company entered into a note purchase agreement and issued a convertible note to an affiliate of Rodgers in the original principal amount of $18.0 million (the “July 2024 Rodgers Note”). In connection with these transactions, Rodgers made a good faith deposit of $2.0 million to the Company in June 2024 to prefund the July 2024 Rodgers Note that subsequently was issued by the Company in July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bear interest at 12.0% per year. The convertible notes are general unsecured obligations of the Company and will mature on July 1, 2029, unless earlier converted, redeemed or repurchased. Interest on the convertible notes will accrue at a rate of 12.00% per year from July 1, 2024 and will be payable semiannually in arrears on January 1 and July 1 of each year, beginning on July 1, 2025. The convertible notes are convertible at the option of the holders at any time prior to the payment of the payment of the principal amount of such convertible note in full. Upon conversion of any convertible note, the Company will satisfy its conversion obligation by delivering shares of the Company’s common stock and paying cash in respect of any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Select Assets of Core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2024, the Company announced that it had acquired selected assets of Core Energy (“Core Energy”), a Logan Utah solar engineering, procurement and construction firm and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by StarCharge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announced that StarCharge (“StarCharge”), a provider of electric vehicle charging infrastructure and microgrid solutions, completed a $10.0 million investment in convertible senior notes (“$10 Million Senior Notes”) of the Company. The terms of the $10 Million Senior Notes are as follows: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sz w:val="20"/>
              </w:rPr>
            </w:pPr>
            <w:r>
              <w:rPr>
                <w:sz w:val="20"/>
              </w:rPr>
              <w:t>Interest rate 12% payable semi-annually in arrears;</w:t>
            </w:r>
          </w:p>
        </w:tc>
      </w:tr>
    </w:tbl>
    <w:p>
      <w:pPr>
        <w:pStyle w:val="TextBody"/>
        <w:bidi w:val="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Five year term maturing on July 1, 2029 unless earlier converted, redeemed or repurchased;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 initial conversion rate of 500 shares of the Company’s common stock per $1,000 principal equivalent to $2.00 per share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Company may not redeem the $10 Million Senior Notes prior to July 5, 2026. Thereafter, the Company may redeem the $10 Million Senior Notes subject to the share price of the Company’s common stock trading at $3.00 per share for 20 out of 30 consecutive trading days. Then from July 1, 2028 until maturity, subject to the share price of the Company’s common stock trading at $2.60 per share for 20 out of 30 consecutive trading days.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Company has the right to offer up to $10 million of additional notes on the same terms as the $10 Million Senior Notes to additional investors on identical terms and conditions.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to Forward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the Company entered into the third amendment to the Forward Purchase Agreement with Polar, pursuant to which the Company and Polar agreed that Section 2 (Most Favored Nation) of the Forward Purchase Agreement is applicable to all 2,450,000 shares subject to the Forward Purchase Agreement.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White Lion Stock Purchase Agreement</w:t>
      </w:r>
    </w:p>
    <w:p>
      <w:pPr>
        <w:pStyle w:val="TextBody"/>
        <w:bidi w:val="0"/>
        <w:spacing w:before="0" w:after="0"/>
        <w:ind w:left="63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Select Assets of SunPower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entered into a “Stalking Horse” asset purchase agreement with SunPower Corporation (“SunPower”) and the direct and indirect subsidiaries of SunPower (the “Debtors”) providing for the sale and purchase of certain assets related to the Debtors’ Blue Raven Solar business, New Homes business, and non-installing Dealer network (the “Stalking Horse APA”). Under the Stalking Horse APA, the Company agreed, subject to the terms and conditions of the Stalking Horse APA, to acquire certain assets and assume certain liabilities from the Debtors for $45.0 million in cash at the closing of the transaction, including a deposit of $4.5 million that was paid into an escrow account within two business days following the execution of the Stalking Horse APA. The Stalking Horse APA includes customary representations and warranties, covenants, and closing conditions, in each case under the circumstances and subject to certain limitations as set forth therein, including, without limitation, provisions requiring the Debtors to reimburse the Company for up to $0.6 million for expenses incurred in connection with the Stalking Horse APA and to pay a break-up fee of $1.35 million, in each case under certain circumstances as set forth in the Stalking Horse APA, and the right of the Company to designate executory contracts and to assume or reject unexpired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Stalking Horse APA is subject to higher and better offers during the Debtors’ voluntary cases under Chapter 11 of Title 11 of the United States Bankruptcy Code and is subject to approval of the United States Bankruptcy Court for the District of Delaware (the “Bankruptcy Court”). The Stalking Horse APA acts as a baseline for competitive bids for the acquisition of the related acquired assets. If one or more qualified bids (other than the transaction contemplated by the Stalking Horse APA) were to be received by the qualified bid deadline as provided for in bidding procedures approved by the bankruptcy court, then the Debtors will proceed with an auction to determine the successful bid, subject to the terms of the bidding procedures.</w:t>
      </w:r>
    </w:p>
    <w:p>
      <w:pPr>
        <w:pStyle w:val="TextBody"/>
        <w:bidi w:val="0"/>
        <w:spacing w:before="0" w:after="0"/>
        <w:ind w:left="630" w:right="0" w:hanging="450"/>
        <w:jc w:val="both"/>
        <w:rPr>
          <w:caps w:val="false"/>
          <w:smallCaps w:val="false"/>
        </w:rPr>
      </w:pPr>
      <w:r>
        <w:rPr>
          <w:caps w:val="false"/>
          <w:smallCaps w:val="false"/>
        </w:rPr>
        <w:t> </w:t>
      </w:r>
    </w:p>
    <w:p>
      <w:pPr>
        <w:pStyle w:val="TextBody"/>
        <w:bidi w:val="0"/>
        <w:spacing w:before="0" w:after="0"/>
        <w:ind w:left="630" w:right="0" w:hanging="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the unaudited condensed consolidated financial statements and related notes included elsewhere in this Quarterly Report on Form 10-Q and with our audited consolidated financial statements and related notes included in our Annual Report on Form 10-K filed with the Securities and Exchange Commission on April 1, 2024, and related management’s discussion and analysis in Item 7 of the Annual Report on Form 10-K. This discussion contains forward-looking statements that involve risks and uncertainties. Our actual results could differ materially from those discussed below. Factors that could cause or contribute to such differences include those identified below and those discussed in the section titled “Risk Factors” included elsewhere in this Quarterly Report on Form 10-Q. Please also see the section titled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was formed in November 2022 through the merger of Complete Solar Holding Corporation, a Delaware corporation (“Complete Solar”), and The Solaria Corporation, a Delaware corporation (such entity, “Solaria,” and such transaction, the “Business Combination”).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its sales partners, making them competitive with national providers. This turnkey solution makes it easy for anyone to sell solar.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engaging with local construction specialists. We manage the customer experience and complete all pre-construction activities prior to delivering build-ready projects including hardware, engineering plans, and building permits to its builder partners. We manage and coordinate this process through our proprietary HelioTrack</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quarters are thirteen-week periods within a standard calendar year. Each annual reporting period begins on January 1 and ends on December 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accompanying unaudited condensed consolidated financial statements have been prepared assuming we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Solaria’s growth strategy contains the following elements: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 </w:t>
            </w:r>
            <w:r>
              <w:rPr>
                <w:rFonts w:ascii="Times New Roman;Times;Serif" w:hAnsi="Times New Roman;Times;Serif"/>
                <w:sz w:val="20"/>
              </w:rPr>
              <w:t>We continue to expand our network of partners who will install systems resulting from sales generated by our sales partners. By leveraging this network of skilled builders, we aim to increase our installation capacity in our traditional markets and expand our offering into new geographies throughout the United States. This will enable greater sales growth in existing markets and create new revenue in expansion markets.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 xml:space="preserve"> - We aim to offer a turnkey solar solution to prospective sales partners with a national footprint. These sales partners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and Solaria on October 3, 2022 (“Merger”). The Merger was consummated on July 18, 2023. Upon the terms and subject to the conditions of the Merger, (i) First Merger Sub merged with and into Complete Solaria with Complete Solaria surviving as a wholly-owned subsidiary of FACT (the “First Merger”), (ii) immediately thereafter and as part of the same overall transaction, Complete Solaria merged with and into Second Merger Sub, with Second Merger Sub surviving as a wholly-owned subsidiary of FACT (the “Second Merger”),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(“Third Merger Sub”), with Third Merger Sub surviving as a wholly-owned subsidiary of FACT (the “Additional Merger”, and together with the First Merger and the Second Merger,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has been accounted for as a reverse recapitalization. Under this method of accounting, FACT is treated as the acquired company for financial statement reporting purposes. This determination was primarily based on us having a majority of the voting power of the post-combination company, our senior management comprising substantially all of the senior management of the post-combination company, and our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sale of our solar panel business (“Disposal Transaction”) to Maxeon, Inc. (“Maxeon”), pursuant to the terms of an asset purchase agreement (“Disposal Agreement”). Under the terms of the Disposal Agreement, Maxeon agreed to acquire certain assets and employees of Complete Solaria, for an aggregate purchase price of approximately $11.0 million consisting of 1,100,000 shares of Maxeon ordinary shares. As of December 31, 2023, we had sold all the shares of Maxeon and recorded a loss of $4.2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Disposal Transaction, we determined that the criteria were met for the “held for sale” and discontinued operations classifications as of the end of our third fiscal quarter in 2023 as the divestiture represented a strategic shift in our business. We recorded an impairment charge of $147.5 million associated with the recording of the assets as held for sale during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have discussed our historical results of continuing operations which excludes product revenues and related metrics of our solar panel business, as all results of operations associated with the solar panel business have been presented as discontinued operations, unless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by providing customer solar solutions through a standardized platform to our residential solar providers and companies to facilitate the sale and installation of solar energy systems. Our contracts consist of two performance obligations: solar installation services and post-installation services that are performed prior to inspection by the authority having jurisdiction. The majority of our service revenue is recognized at a point in time upon the completion of the installation and the remainder is recognized upon inspection. Service revenue is recognized net of a reserve for the performance guarantee of solar output.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three types of customer contracts for solar energy installations. The majority of our service revenue is recognized through contracts where the homeowner enters into a power purchase agreement with our distribution partner. We perform the solar energy installation services on behalf of our distribution partner, who owns the solar energy system upon installation. Additionally, we enter into a Solar Purchase and Installation Agreement directly with homeowners, whereby the homeowner either pays cash or obtains financing through a third-party loan partner. In cash contracts with homeowners, we recognize service revenue based on the price we charge to the homeowner. We record service revenue in the amount received from the financing partner, net of any financing fees charged to the homeowner, which we consider to be a customer incentive.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service revenue, we also enter into contracts to provide our software enhanced service offerings, including design and proposal services, to customers that include solar installers and solar sales organizations. We perform these leveraging our HelioQuote</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platform and other software tools to create computer aided drawings, structural letters, and electrical reviews for installers and proposals for installers. We charge a fixed fee per service offering, which we recognize in the period the service is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the cost of solar energy systems, installation and other subcontracting costs. Cost of revenues also includes associated warranty costs, shipping and handling and allocated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third-party vendors who source residential customer contracts for the sale of solar energy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our employees, in our finance, research, engineering, and administrative teams including salaries, bonuses, payroll taxes, and stock-based compensation. It also consists of legal, consulting, and professional fees, rent expenses pertaining to our offices, business insurance costs, depreciation and amortization of internally developed software, investor relations and other costs. We expect an increase in audit, tax, accounting, legal and other costs related to compliance with applicable securities and other regulations, as well as additional insurance, investor relations, and other costs associated with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relates to interest expense on the issuance of debt and convertible notes and the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 consists of changes in the fair value of our convertible notes, the impact of debt extinguishment, changes in the fair value of stock warrant liabilities and forward purchase agreements and other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primarily consists of income taxes in certain foreign and state jurisdictions in which we conduct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In an effort to mitigate unpredictable lead times, we experienced a substantial build up in inventory on hand commencing in early 2022 in response to global supply chain constraints. In certain cases, the global supply chain constraints have caused delays in critical equipment and inventory, longer lead times, and has resulted in cost volatility. These shortages and delays can be attributed in part to the residual effects of the COVID-19 pandemic and resulting government action, as well as broader macroeconomic conditions, and have been exacerbated by the conflicts in Ukraine and Israel. While we believe that a majority our suppliers have secured sufficient supply to permit them to continue delivery and installations through the end of March 2025, if these shortages and delays persist, they could adversely affect the timing of when battery energy storage systems can be delivered and installed, and when (or if) we can begin to generate revenue from those systems.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located elsewhere in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unaudited condensed consolidated financial statements included elsewhere in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product warranties, inventory excess and obsolescence and stock-based compensation have the greatest impact on our unaudited condensed consolidated financial statements. Therefore, we consider these to be our 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when control of goods or services is transferred to customers, in an amount that reflects the consideration we expect to be entitled to in exchange for those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 Solar Energy System Installations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revenue is generated from the installation of solar energy systems. We identify two performance obligations, which include installation services and post-installation services, and we recognize revenue when control transfers to the customer, upon the completion of the installation and upon the solar energy system passing inspection by the authority having jurisdiction, respectively. We apply judgment in allocating the transaction price between the installation and post-installation performance obligations, based on the estimated costs to perform our services. Changes in such estimates could have a material impact on the timing of our 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with customers generally contain a performance guarantee of system output, and we will issue payments to customers if output falls below contractually stated thresholds over the performance guarantee period, which is typically 10 years. We apply judgment in estimating the reduction in revenue associated with the performance guarantee, which historically has not been material. However, due to the long-term nature of the guarantee, changes in future estimates could have a material impact on the estimate of our revenue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 - Software Enhanced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from software enhanced services, which include proposals generated from our HelioQuote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and design services performed using internally developed and external software applications. We contract with solar installers to generate proposals and we contract with solar sales entities to perform design services for their potential customers. Under each type of customer contract, we generate a fixed number of proposals or designs for the customer in the month the services are contracted. Contracts with customers are enforceable on a month-to-month basis and we recognize revenue each month based on the volume of services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provide a 10-year warranty on our solar energy system installations, which provides assurance over the workmanship in performing the installation, including roof leaks caused by our performance. For solar panel sales recognized prior to the Disposal Transaction, we provide a 30-year warranty that the products will be free from defects in material and workmanship. We record a liability for estimated future warranty claims based on historical trends and new installations. To the extent that warranty claim behavior differs from historical trends, we may experience a material change in our warranty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Excess and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consists of completed solar energy systems and related components, which we classify as finished costs. We record a reserve for inventory which is considered obsolete or in excess of anticipated demand based on a consideration of marketability and product life cycle stage, component cost trends, demand forecasts, historical revenues, and assumptions about future demand and market conditions. We apply judgment in estimating the excess and obsolete inventory, and changes in demand for our inventory components could have a material impact on our inventory reserve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stock-based compensation expense over the requisite service period on a straight-line basis for all stock-based payments that are expected to vest to employees, non-employees and directors, including grants of employee stock options and other stock-based awards. Equity-classified awards issued to employees and non-employees, such as consultants and non-employee directors, are measured at the grant-date fair value of the award. Forfeitures are recognized as they occur.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prior to the Business Combination, the fair value of the shares of common stock underlying stock options had historically been determined by our board of directors. Because there had been no public market for our common stock, the board of directors exercised reasonable judgment and considered a number of objective and subjective factors to determine the best estimate of the fair value of our common stock, including important developments in our operations, sales of redeemable convertible preferred stock, actual operating results and financial performance, the conditions in the renewable solar energy industry and the economy in general, the stock price performance and volatility of comparable public companies, and the lack of liquidity of our common stock, among other factors. Following the Business Combination, the fair value of common stock is based on the closing stock price on the date of grant as reported on the Nasdaq Global Select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grant-date fair value of stock options using the Black-Scholes option pricing model. The Black-Scholes option pricing model requires the input of highly subjective assumptions, including the fair value of the underlying common stock prior to the Mergers, the expected term of the option, the expected volatility of the price of our common stock and expected dividend yield. We determine these inputs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Term-Expected term represents the period that our stock-based awards are expected to be outstanding and is determined using the simplified method.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Volatility-Expected volatility is estimated by studying the volatility of comparable public companies for similar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Dividend-The Black-Scholes valuation model calls for a single expected dividend yield as an input. We have never paid dividends and have no plans to pay dividends.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Interest Rate - We derive the risk-free interest rate assumption from the U.S. Treasury’s rates for the U.S. Treasury zero-coupon bonds with maturities similar to those of the expected term of the awards being valued.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assumptions used in the Black-Scholes option pricing model change significantly, stock-based compensation for future awards may differ materially compared to the awards granted previously. For the thirteen-week periods ended June 30, 2024 and July 2, 2023, stock-based compensation expense was $1.2 million and $1.0 million, respectively, of which zero and $0.5 million, respectively, related to discontinued operations. For the twenty-six-week periods ended June 30, 2024 and July 2, 2023, stock-based compensation expense was $2.6 million and $2.0 million, respectively, of which zero and $1.3 million, respectively, related to discontinued operations. As of June 30, 2024, we had approximately $13.8 million of total unrecognized stock-based compensation expense related to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recently issued accounting standards applicable to Complete Solaria is described in Note 2 - Summary of Significant Accounting Policies, in the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June 30, 2024 compared to the thirteen weeks ended July 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 weeks ended June 30, 2024 and the thirteen weeks ended July 2, 2023.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28" w:type="dxa"/>
          <w:right w:w="0" w:type="dxa"/>
        </w:tblCellMar>
      </w:tblPr>
      <w:tblGrid>
        <w:gridCol w:w="4295"/>
        <w:gridCol w:w="60"/>
        <w:gridCol w:w="211"/>
        <w:gridCol w:w="1143"/>
        <w:gridCol w:w="290"/>
        <w:gridCol w:w="60"/>
        <w:gridCol w:w="211"/>
        <w:gridCol w:w="1143"/>
        <w:gridCol w:w="215"/>
        <w:gridCol w:w="60"/>
        <w:gridCol w:w="140"/>
        <w:gridCol w:w="755"/>
        <w:gridCol w:w="95"/>
        <w:gridCol w:w="60"/>
        <w:gridCol w:w="94"/>
        <w:gridCol w:w="721"/>
        <w:gridCol w:w="305"/>
      </w:tblGrid>
      <w:tr>
        <w:trPr/>
        <w:tc>
          <w:tcPr>
            <w:tcW w:w="429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2024</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w:t>
              <w:br/>
              <w:t>2023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305" w:type="dxa"/>
            <w:tcBorders/>
            <w:tcMar>
              <w:bottom w:w="0" w:type="dxa"/>
            </w:tcMar>
            <w:vAlign w:val="center"/>
          </w:tcPr>
          <w:p>
            <w:pPr>
              <w:pStyle w:val="TableContents"/>
              <w:bidi w:val="0"/>
              <w:spacing w:before="0" w:after="283"/>
              <w:ind w:left="0" w:right="0" w:hanging="180"/>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143" w:type="dxa"/>
            <w:tcBorders/>
            <w:shd w:fill="CCEEFF" w:val="clear"/>
            <w:tcMar>
              <w:bottom w:w="0" w:type="dxa"/>
            </w:tcMar>
            <w:vAlign w:val="center"/>
          </w:tcPr>
          <w:p>
            <w:pPr>
              <w:pStyle w:val="TableContents"/>
              <w:bidi w:val="0"/>
              <w:spacing w:before="0" w:after="283"/>
              <w:jc w:val="right"/>
              <w:rPr/>
            </w:pPr>
            <w:r>
              <w:rPr/>
              <w:t>4,492</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143" w:type="dxa"/>
            <w:tcBorders/>
            <w:shd w:fill="CCEEFF" w:val="clear"/>
            <w:tcMar>
              <w:bottom w:w="0" w:type="dxa"/>
            </w:tcMar>
            <w:vAlign w:val="center"/>
          </w:tcPr>
          <w:p>
            <w:pPr>
              <w:pStyle w:val="TableContents"/>
              <w:bidi w:val="0"/>
              <w:spacing w:before="0" w:after="283"/>
              <w:jc w:val="right"/>
              <w:rPr/>
            </w:pPr>
            <w:r>
              <w:rPr/>
              <w:t>25,620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(21,128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(82</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2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vAlign w:val="center"/>
          </w:tcPr>
          <w:p>
            <w:pPr>
              <w:pStyle w:val="TableContents"/>
              <w:bidi w:val="0"/>
              <w:spacing w:before="0" w:after="283"/>
              <w:jc w:val="left"/>
              <w:rPr/>
            </w:pPr>
            <w:r>
              <w:rPr/>
              <w:t> </w:t>
            </w:r>
          </w:p>
        </w:tc>
        <w:tc>
          <w:tcPr>
            <w:tcW w:w="1143" w:type="dxa"/>
            <w:tcBorders>
              <w:bottom w:val="single" w:sz="12" w:space="0" w:color="000000"/>
            </w:tcBorders>
            <w:vAlign w:val="center"/>
          </w:tcPr>
          <w:p>
            <w:pPr>
              <w:pStyle w:val="TableContents"/>
              <w:bidi w:val="0"/>
              <w:spacing w:before="0" w:after="283"/>
              <w:jc w:val="right"/>
              <w:rPr/>
            </w:pPr>
            <w:r>
              <w:rPr/>
              <w:t>5,384</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vAlign w:val="center"/>
          </w:tcPr>
          <w:p>
            <w:pPr>
              <w:pStyle w:val="TableContents"/>
              <w:bidi w:val="0"/>
              <w:spacing w:before="0" w:after="283"/>
              <w:jc w:val="left"/>
              <w:rPr/>
            </w:pPr>
            <w:r>
              <w:rPr/>
              <w:t> </w:t>
            </w:r>
          </w:p>
        </w:tc>
        <w:tc>
          <w:tcPr>
            <w:tcW w:w="1143" w:type="dxa"/>
            <w:tcBorders>
              <w:bottom w:val="single" w:sz="12" w:space="0" w:color="000000"/>
            </w:tcBorders>
            <w:vAlign w:val="center"/>
          </w:tcPr>
          <w:p>
            <w:pPr>
              <w:pStyle w:val="TableContents"/>
              <w:bidi w:val="0"/>
              <w:spacing w:before="0" w:after="283"/>
              <w:jc w:val="right"/>
              <w:rPr/>
            </w:pPr>
            <w:r>
              <w:rPr/>
              <w:t>19,607</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right"/>
              <w:rPr/>
            </w:pPr>
            <w:r>
              <w:rPr/>
              <w:t>(14,223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vAlign w:val="center"/>
          </w:tcPr>
          <w:p>
            <w:pPr>
              <w:pStyle w:val="TableContents"/>
              <w:bidi w:val="0"/>
              <w:spacing w:before="0" w:after="283"/>
              <w:jc w:val="left"/>
              <w:rPr/>
            </w:pPr>
            <w:r>
              <w:rPr/>
              <w:t> </w:t>
            </w:r>
          </w:p>
        </w:tc>
        <w:tc>
          <w:tcPr>
            <w:tcW w:w="721" w:type="dxa"/>
            <w:tcBorders>
              <w:bottom w:val="single" w:sz="12" w:space="0" w:color="000000"/>
            </w:tcBorders>
            <w:vAlign w:val="center"/>
          </w:tcPr>
          <w:p>
            <w:pPr>
              <w:pStyle w:val="TableContents"/>
              <w:bidi w:val="0"/>
              <w:spacing w:before="0" w:after="283"/>
              <w:jc w:val="right"/>
              <w:rPr/>
            </w:pPr>
            <w:r>
              <w:rPr/>
              <w:t>(73</w:t>
            </w:r>
          </w:p>
        </w:tc>
        <w:tc>
          <w:tcPr>
            <w:tcW w:w="305" w:type="dxa"/>
            <w:tcBorders/>
            <w:tcMar>
              <w:bottom w:w="0" w:type="dxa"/>
            </w:tcMar>
            <w:vAlign w:val="center"/>
          </w:tcPr>
          <w:p>
            <w:pPr>
              <w:pStyle w:val="TableContents"/>
              <w:bidi w:val="0"/>
              <w:spacing w:before="0" w:after="283"/>
              <w:ind w:left="0" w:right="0" w:hanging="180"/>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Gross (loss)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(892</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6,013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(6,905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(115</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295" w:type="dxa"/>
            <w:tcBorders/>
            <w:tcMar>
              <w:bottom w:w="0" w:type="dxa"/>
            </w:tcMar>
            <w:vAlign w:val="center"/>
          </w:tcPr>
          <w:p>
            <w:pPr>
              <w:pStyle w:val="TableContents"/>
              <w:bidi w:val="0"/>
              <w:spacing w:before="0" w:after="283"/>
              <w:jc w:val="left"/>
              <w:rPr/>
            </w:pPr>
            <w:r>
              <w:rPr/>
              <w:t>Gross margin %</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(20</w:t>
            </w:r>
          </w:p>
        </w:tc>
        <w:tc>
          <w:tcPr>
            <w:tcW w:w="290"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23</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 </w:t>
            </w:r>
          </w:p>
        </w:tc>
        <w:tc>
          <w:tcPr>
            <w:tcW w:w="305" w:type="dxa"/>
            <w:tcBorders/>
            <w:tcMar>
              <w:bottom w:w="0" w:type="dxa"/>
            </w:tcMar>
            <w:vAlign w:val="center"/>
          </w:tcPr>
          <w:p>
            <w:pPr>
              <w:pStyle w:val="TableContents"/>
              <w:bidi w:val="0"/>
              <w:spacing w:before="0" w:after="283"/>
              <w:ind w:left="0" w:right="0" w:hanging="180"/>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95" w:type="dxa"/>
            <w:tcBorders/>
            <w:tcMar>
              <w:bottom w:w="0" w:type="dxa"/>
            </w:tcMar>
            <w:vAlign w:val="center"/>
          </w:tcPr>
          <w:p>
            <w:pPr>
              <w:pStyle w:val="TableContents"/>
              <w:bidi w:val="0"/>
              <w:spacing w:before="0" w:after="283"/>
              <w:jc w:val="left"/>
              <w:rPr/>
            </w:pPr>
            <w:r>
              <w:rPr/>
              <w:t>Sales commissions</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1,305</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8,789</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(7,484</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(85</w:t>
            </w:r>
          </w:p>
        </w:tc>
        <w:tc>
          <w:tcPr>
            <w:tcW w:w="305" w:type="dxa"/>
            <w:tcBorders/>
            <w:tcMar>
              <w:bottom w:w="0" w:type="dxa"/>
            </w:tcMar>
            <w:vAlign w:val="center"/>
          </w:tcPr>
          <w:p>
            <w:pPr>
              <w:pStyle w:val="TableContents"/>
              <w:bidi w:val="0"/>
              <w:spacing w:before="0" w:after="283"/>
              <w:ind w:left="0" w:right="0" w:hanging="180"/>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1,051</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2,319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(1,268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(55</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2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vAlign w:val="center"/>
          </w:tcPr>
          <w:p>
            <w:pPr>
              <w:pStyle w:val="TableContents"/>
              <w:bidi w:val="0"/>
              <w:spacing w:before="0" w:after="283"/>
              <w:jc w:val="left"/>
              <w:rPr/>
            </w:pPr>
            <w:r>
              <w:rPr/>
              <w:t> </w:t>
            </w:r>
          </w:p>
        </w:tc>
        <w:tc>
          <w:tcPr>
            <w:tcW w:w="1143" w:type="dxa"/>
            <w:tcBorders>
              <w:bottom w:val="single" w:sz="12" w:space="0" w:color="000000"/>
            </w:tcBorders>
            <w:vAlign w:val="center"/>
          </w:tcPr>
          <w:p>
            <w:pPr>
              <w:pStyle w:val="TableContents"/>
              <w:bidi w:val="0"/>
              <w:spacing w:before="0" w:after="283"/>
              <w:jc w:val="right"/>
              <w:rPr/>
            </w:pPr>
            <w:r>
              <w:rPr/>
              <w:t>6,246</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vAlign w:val="center"/>
          </w:tcPr>
          <w:p>
            <w:pPr>
              <w:pStyle w:val="TableContents"/>
              <w:bidi w:val="0"/>
              <w:spacing w:before="0" w:after="283"/>
              <w:jc w:val="left"/>
              <w:rPr/>
            </w:pPr>
            <w:r>
              <w:rPr/>
              <w:t> </w:t>
            </w:r>
          </w:p>
        </w:tc>
        <w:tc>
          <w:tcPr>
            <w:tcW w:w="1143" w:type="dxa"/>
            <w:tcBorders>
              <w:bottom w:val="single" w:sz="12" w:space="0" w:color="000000"/>
            </w:tcBorders>
            <w:vAlign w:val="center"/>
          </w:tcPr>
          <w:p>
            <w:pPr>
              <w:pStyle w:val="TableContents"/>
              <w:bidi w:val="0"/>
              <w:spacing w:before="0" w:after="283"/>
              <w:jc w:val="right"/>
              <w:rPr/>
            </w:pPr>
            <w:r>
              <w:rPr/>
              <w:t>7,707</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right"/>
              <w:rPr/>
            </w:pPr>
            <w:r>
              <w:rPr/>
              <w:t>(1,461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vAlign w:val="center"/>
          </w:tcPr>
          <w:p>
            <w:pPr>
              <w:pStyle w:val="TableContents"/>
              <w:bidi w:val="0"/>
              <w:spacing w:before="0" w:after="283"/>
              <w:jc w:val="left"/>
              <w:rPr/>
            </w:pPr>
            <w:r>
              <w:rPr/>
              <w:t> </w:t>
            </w:r>
          </w:p>
        </w:tc>
        <w:tc>
          <w:tcPr>
            <w:tcW w:w="721" w:type="dxa"/>
            <w:tcBorders>
              <w:bottom w:val="single" w:sz="12" w:space="0" w:color="000000"/>
            </w:tcBorders>
            <w:vAlign w:val="center"/>
          </w:tcPr>
          <w:p>
            <w:pPr>
              <w:pStyle w:val="TableContents"/>
              <w:bidi w:val="0"/>
              <w:spacing w:before="0" w:after="283"/>
              <w:jc w:val="right"/>
              <w:rPr/>
            </w:pPr>
            <w:r>
              <w:rPr/>
              <w:t>(19</w:t>
            </w:r>
          </w:p>
        </w:tc>
        <w:tc>
          <w:tcPr>
            <w:tcW w:w="305" w:type="dxa"/>
            <w:tcBorders/>
            <w:tcMar>
              <w:bottom w:w="0" w:type="dxa"/>
            </w:tcMar>
            <w:vAlign w:val="center"/>
          </w:tcPr>
          <w:p>
            <w:pPr>
              <w:pStyle w:val="TableContents"/>
              <w:bidi w:val="0"/>
              <w:spacing w:before="0" w:after="283"/>
              <w:ind w:left="0" w:right="0" w:hanging="180"/>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3" w:type="dxa"/>
            <w:tcBorders>
              <w:bottom w:val="single" w:sz="12" w:space="0" w:color="000000"/>
            </w:tcBorders>
            <w:shd w:fill="CCEEFF" w:val="clear"/>
            <w:vAlign w:val="center"/>
          </w:tcPr>
          <w:p>
            <w:pPr>
              <w:pStyle w:val="TableContents"/>
              <w:bidi w:val="0"/>
              <w:spacing w:before="0" w:after="283"/>
              <w:jc w:val="right"/>
              <w:rPr/>
            </w:pPr>
            <w:r>
              <w:rPr/>
              <w:t>8,602</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3" w:type="dxa"/>
            <w:tcBorders>
              <w:bottom w:val="single" w:sz="12" w:space="0" w:color="000000"/>
            </w:tcBorders>
            <w:shd w:fill="CCEEFF" w:val="clear"/>
            <w:vAlign w:val="center"/>
          </w:tcPr>
          <w:p>
            <w:pPr>
              <w:pStyle w:val="TableContents"/>
              <w:bidi w:val="0"/>
              <w:spacing w:before="0" w:after="283"/>
              <w:jc w:val="right"/>
              <w:rPr/>
            </w:pPr>
            <w:r>
              <w:rPr/>
              <w:t>18,815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(10,213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(54</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295" w:type="dxa"/>
            <w:tcBorders/>
            <w:tcMar>
              <w:bottom w:w="0" w:type="dxa"/>
            </w:tcMar>
            <w:vAlign w:val="center"/>
          </w:tcPr>
          <w:p>
            <w:pPr>
              <w:pStyle w:val="TableContents"/>
              <w:bidi w:val="0"/>
              <w:spacing w:before="0" w:after="283"/>
              <w:jc w:val="left"/>
              <w:rPr/>
            </w:pPr>
            <w:r>
              <w:rPr/>
              <w:t>Loss from continuing operations</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(9,494</w:t>
            </w:r>
          </w:p>
        </w:tc>
        <w:tc>
          <w:tcPr>
            <w:tcW w:w="290"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(12,802</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3,308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(26</w:t>
            </w:r>
          </w:p>
        </w:tc>
        <w:tc>
          <w:tcPr>
            <w:tcW w:w="305" w:type="dxa"/>
            <w:tcBorders/>
            <w:tcMar>
              <w:bottom w:w="0" w:type="dxa"/>
            </w:tcMar>
            <w:vAlign w:val="center"/>
          </w:tcPr>
          <w:p>
            <w:pPr>
              <w:pStyle w:val="TableContents"/>
              <w:bidi w:val="0"/>
              <w:spacing w:before="0" w:after="283"/>
              <w:ind w:left="0" w:right="0" w:hanging="180"/>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(2,324</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(3,357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1,033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(31</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295" w:type="dxa"/>
            <w:tcBorders/>
            <w:tcMar>
              <w:bottom w:w="0" w:type="dxa"/>
            </w:tcMar>
            <w:vAlign w:val="center"/>
          </w:tcPr>
          <w:p>
            <w:pPr>
              <w:pStyle w:val="TableContents"/>
              <w:bidi w:val="0"/>
              <w:spacing w:before="0" w:after="283"/>
              <w:jc w:val="left"/>
              <w:rPr/>
            </w:pPr>
            <w:r>
              <w:rPr/>
              <w:t>Interest income</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10</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9</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11</w:t>
            </w:r>
          </w:p>
        </w:tc>
        <w:tc>
          <w:tcPr>
            <w:tcW w:w="305" w:type="dxa"/>
            <w:tcBorders/>
            <w:tcMar>
              <w:bottom w:w="0" w:type="dxa"/>
            </w:tcMar>
            <w:vAlign w:val="center"/>
          </w:tcPr>
          <w:p>
            <w:pPr>
              <w:pStyle w:val="TableContents"/>
              <w:bidi w:val="0"/>
              <w:spacing w:before="0" w:after="283"/>
              <w:ind w:left="0" w:right="0" w:hanging="180"/>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 income, net</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3" w:type="dxa"/>
            <w:tcBorders>
              <w:bottom w:val="single" w:sz="12" w:space="0" w:color="000000"/>
            </w:tcBorders>
            <w:shd w:fill="CCEEFF" w:val="clear"/>
            <w:vAlign w:val="center"/>
          </w:tcPr>
          <w:p>
            <w:pPr>
              <w:pStyle w:val="TableContents"/>
              <w:bidi w:val="0"/>
              <w:spacing w:before="0" w:after="283"/>
              <w:jc w:val="right"/>
              <w:rPr/>
            </w:pPr>
            <w:r>
              <w:rPr/>
              <w:t>(2,069</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3" w:type="dxa"/>
            <w:tcBorders>
              <w:bottom w:val="single" w:sz="12" w:space="0" w:color="000000"/>
            </w:tcBorders>
            <w:shd w:fill="CCEEFF" w:val="clear"/>
            <w:vAlign w:val="center"/>
          </w:tcPr>
          <w:p>
            <w:pPr>
              <w:pStyle w:val="TableContents"/>
              <w:bidi w:val="0"/>
              <w:spacing w:before="0" w:after="283"/>
              <w:jc w:val="right"/>
              <w:rPr/>
            </w:pPr>
            <w:r>
              <w:rPr/>
              <w:t>9,384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(11,453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(122</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4295" w:type="dxa"/>
            <w:tcBorders/>
            <w:tcMar>
              <w:bottom w:w="0" w:type="dxa"/>
            </w:tcMar>
            <w:vAlign w:val="center"/>
          </w:tcPr>
          <w:p>
            <w:pPr>
              <w:pStyle w:val="TableContents"/>
              <w:bidi w:val="0"/>
              <w:spacing w:before="0" w:after="283"/>
              <w:jc w:val="left"/>
              <w:rPr/>
            </w:pPr>
            <w:r>
              <w:rPr/>
              <w:t>Loss from continuing operations before taxes</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(13,877</w:t>
            </w:r>
          </w:p>
        </w:tc>
        <w:tc>
          <w:tcPr>
            <w:tcW w:w="290"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right"/>
              <w:rPr/>
            </w:pPr>
            <w:r>
              <w:rPr/>
              <w:t>(6,766</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(7,111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105</w:t>
            </w:r>
          </w:p>
        </w:tc>
        <w:tc>
          <w:tcPr>
            <w:tcW w:w="305" w:type="dxa"/>
            <w:tcBorders/>
            <w:tcMar>
              <w:bottom w:w="0" w:type="dxa"/>
            </w:tcMar>
            <w:vAlign w:val="center"/>
          </w:tcPr>
          <w:p>
            <w:pPr>
              <w:pStyle w:val="TableContents"/>
              <w:bidi w:val="0"/>
              <w:spacing w:before="0" w:after="283"/>
              <w:ind w:left="0" w:right="0" w:hanging="180"/>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Income tax benefit (provision)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3" w:type="dxa"/>
            <w:tcBorders>
              <w:bottom w:val="single" w:sz="12" w:space="0" w:color="000000"/>
            </w:tcBorders>
            <w:shd w:fill="CCEEFF" w:val="clear"/>
            <w:vAlign w:val="center"/>
          </w:tcPr>
          <w:p>
            <w:pPr>
              <w:pStyle w:val="TableContents"/>
              <w:bidi w:val="0"/>
              <w:spacing w:before="0" w:after="283"/>
              <w:jc w:val="right"/>
              <w:rPr/>
            </w:pPr>
            <w:r>
              <w:rPr/>
              <w:t>(10</w:t>
            </w:r>
          </w:p>
        </w:tc>
        <w:tc>
          <w:tcPr>
            <w:tcW w:w="29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vAlign w:val="center"/>
          </w:tcPr>
          <w:p>
            <w:pPr>
              <w:pStyle w:val="TableContents"/>
              <w:bidi w:val="0"/>
              <w:spacing w:before="0" w:after="283"/>
              <w:jc w:val="left"/>
              <w:rPr/>
            </w:pPr>
            <w:r>
              <w:rPr/>
              <w:t> </w:t>
            </w:r>
          </w:p>
        </w:tc>
        <w:tc>
          <w:tcPr>
            <w:tcW w:w="1143" w:type="dxa"/>
            <w:tcBorders>
              <w:bottom w:val="single" w:sz="12" w:space="0" w:color="000000"/>
            </w:tcBorders>
            <w:shd w:fill="CCEEFF" w:val="cle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w:t>
            </w:r>
          </w:p>
        </w:tc>
        <w:tc>
          <w:tcPr>
            <w:tcW w:w="30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95" w:type="dxa"/>
            <w:tcBorders/>
            <w:tcMar>
              <w:bottom w:w="0" w:type="dxa"/>
            </w:tcMar>
            <w:vAlign w:val="center"/>
          </w:tcPr>
          <w:p>
            <w:pPr>
              <w:pStyle w:val="TableContents"/>
              <w:bidi w:val="0"/>
              <w:spacing w:before="0" w:after="283"/>
              <w:jc w:val="left"/>
              <w:rPr/>
            </w:pPr>
            <w:r>
              <w:rPr/>
              <w:t>Net loss from continuing operations</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vAlign w:val="center"/>
          </w:tcPr>
          <w:p>
            <w:pPr>
              <w:pStyle w:val="TableContents"/>
              <w:bidi w:val="0"/>
              <w:spacing w:before="0" w:after="283"/>
              <w:jc w:val="left"/>
              <w:rPr/>
            </w:pPr>
            <w:r>
              <w:rPr/>
              <w:t>$</w:t>
            </w:r>
          </w:p>
        </w:tc>
        <w:tc>
          <w:tcPr>
            <w:tcW w:w="1143" w:type="dxa"/>
            <w:tcBorders>
              <w:bottom w:val="double" w:sz="10" w:space="0" w:color="000000"/>
            </w:tcBorders>
            <w:vAlign w:val="center"/>
          </w:tcPr>
          <w:p>
            <w:pPr>
              <w:pStyle w:val="TableContents"/>
              <w:bidi w:val="0"/>
              <w:spacing w:before="0" w:after="283"/>
              <w:jc w:val="right"/>
              <w:rPr/>
            </w:pPr>
            <w:r>
              <w:rPr/>
              <w:t>(13,887</w:t>
            </w:r>
          </w:p>
        </w:tc>
        <w:tc>
          <w:tcPr>
            <w:tcW w:w="290"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vAlign w:val="center"/>
          </w:tcPr>
          <w:p>
            <w:pPr>
              <w:pStyle w:val="TableContents"/>
              <w:bidi w:val="0"/>
              <w:spacing w:before="0" w:after="283"/>
              <w:jc w:val="left"/>
              <w:rPr/>
            </w:pPr>
            <w:r>
              <w:rPr/>
              <w:t>$</w:t>
            </w:r>
          </w:p>
        </w:tc>
        <w:tc>
          <w:tcPr>
            <w:tcW w:w="1143" w:type="dxa"/>
            <w:tcBorders>
              <w:bottom w:val="double" w:sz="10" w:space="0" w:color="000000"/>
            </w:tcBorders>
            <w:vAlign w:val="center"/>
          </w:tcPr>
          <w:p>
            <w:pPr>
              <w:pStyle w:val="TableContents"/>
              <w:bidi w:val="0"/>
              <w:spacing w:before="0" w:after="283"/>
              <w:jc w:val="right"/>
              <w:rPr/>
            </w:pPr>
            <w:r>
              <w:rPr/>
              <w:t>(6,766</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w:t>
            </w:r>
          </w:p>
        </w:tc>
        <w:tc>
          <w:tcPr>
            <w:tcW w:w="755" w:type="dxa"/>
            <w:tcBorders>
              <w:bottom w:val="double" w:sz="10" w:space="0" w:color="000000"/>
            </w:tcBorders>
            <w:vAlign w:val="center"/>
          </w:tcPr>
          <w:p>
            <w:pPr>
              <w:pStyle w:val="TableContents"/>
              <w:bidi w:val="0"/>
              <w:spacing w:before="0" w:after="283"/>
              <w:jc w:val="right"/>
              <w:rPr/>
            </w:pPr>
            <w:r>
              <w:rPr/>
              <w:t>(7,121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double" w:sz="10" w:space="0" w:color="000000"/>
            </w:tcBorders>
            <w:vAlign w:val="center"/>
          </w:tcPr>
          <w:p>
            <w:pPr>
              <w:pStyle w:val="TableContents"/>
              <w:bidi w:val="0"/>
              <w:spacing w:before="0" w:after="283"/>
              <w:jc w:val="left"/>
              <w:rPr/>
            </w:pPr>
            <w:r>
              <w:rPr/>
              <w:t> </w:t>
            </w:r>
          </w:p>
        </w:tc>
        <w:tc>
          <w:tcPr>
            <w:tcW w:w="721" w:type="dxa"/>
            <w:tcBorders>
              <w:bottom w:val="double" w:sz="10" w:space="0" w:color="000000"/>
            </w:tcBorders>
            <w:vAlign w:val="center"/>
          </w:tcPr>
          <w:p>
            <w:pPr>
              <w:pStyle w:val="TableContents"/>
              <w:bidi w:val="0"/>
              <w:spacing w:before="0" w:after="283"/>
              <w:jc w:val="right"/>
              <w:rPr/>
            </w:pPr>
            <w:r>
              <w:rPr/>
              <w:t>105</w:t>
            </w:r>
          </w:p>
        </w:tc>
        <w:tc>
          <w:tcPr>
            <w:tcW w:w="30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stock-based compensation expense as follows (in thousands):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94"/>
        <w:gridCol w:w="60"/>
        <w:gridCol w:w="325"/>
        <w:gridCol w:w="1302"/>
        <w:gridCol w:w="60"/>
        <w:gridCol w:w="60"/>
        <w:gridCol w:w="325"/>
        <w:gridCol w:w="1302"/>
        <w:gridCol w:w="77"/>
      </w:tblGrid>
      <w:tr>
        <w:trPr/>
        <w:tc>
          <w:tcPr>
            <w:tcW w:w="66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Thirteen Weeks</w:t>
              <w:br/>
              <w:t>Ended</w:t>
              <w:b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Thirteen Weeks</w:t>
              <w:br/>
              <w:t>Ended</w:t>
              <w:br/>
              <w:t>July 2,</w:t>
              <w:br/>
              <w:t>2023</w:t>
            </w:r>
          </w:p>
        </w:tc>
        <w:tc>
          <w:tcPr>
            <w:tcW w:w="77" w:type="dxa"/>
            <w:tcBorders/>
            <w:vAlign w:val="center"/>
          </w:tcPr>
          <w:p>
            <w:pPr>
              <w:pStyle w:val="TableContents"/>
              <w:bidi w:val="0"/>
              <w:spacing w:before="0" w:after="283"/>
              <w:ind w:left="0" w:right="0" w:hanging="251"/>
              <w:jc w:val="left"/>
              <w:rPr/>
            </w:pPr>
            <w:r>
              <w:rPr/>
              <w:t> </w:t>
            </w:r>
          </w:p>
        </w:tc>
      </w:tr>
      <w:tr>
        <w:trPr/>
        <w:tc>
          <w:tcPr>
            <w:tcW w:w="6694"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20</w:t>
            </w:r>
          </w:p>
        </w:tc>
        <w:tc>
          <w:tcPr>
            <w:tcW w:w="77" w:type="dxa"/>
            <w:tcBorders/>
            <w:shd w:fill="CCEEFF" w:val="clear"/>
            <w:vAlign w:val="center"/>
          </w:tcPr>
          <w:p>
            <w:pPr>
              <w:pStyle w:val="TableContents"/>
              <w:bidi w:val="0"/>
              <w:spacing w:before="0" w:after="283"/>
              <w:ind w:left="0" w:right="0" w:hanging="251"/>
              <w:jc w:val="left"/>
              <w:rPr/>
            </w:pPr>
            <w:r>
              <w:rPr/>
              <w:t> </w:t>
            </w:r>
          </w:p>
        </w:tc>
      </w:tr>
      <w:tr>
        <w:trPr/>
        <w:tc>
          <w:tcPr>
            <w:tcW w:w="6694"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214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100</w:t>
            </w:r>
          </w:p>
        </w:tc>
        <w:tc>
          <w:tcPr>
            <w:tcW w:w="77" w:type="dxa"/>
            <w:tcBorders/>
            <w:vAlign w:val="center"/>
          </w:tcPr>
          <w:p>
            <w:pPr>
              <w:pStyle w:val="TableContents"/>
              <w:bidi w:val="0"/>
              <w:spacing w:before="0" w:after="283"/>
              <w:ind w:left="0" w:right="0" w:hanging="251"/>
              <w:jc w:val="left"/>
              <w:rPr/>
            </w:pPr>
            <w:r>
              <w:rPr/>
              <w:t> </w:t>
            </w:r>
          </w:p>
        </w:tc>
      </w:tr>
      <w:tr>
        <w:trPr/>
        <w:tc>
          <w:tcPr>
            <w:tcW w:w="669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352</w:t>
            </w:r>
          </w:p>
        </w:tc>
        <w:tc>
          <w:tcPr>
            <w:tcW w:w="77" w:type="dxa"/>
            <w:tcBorders/>
            <w:shd w:fill="CCEEFF" w:val="clear"/>
            <w:vAlign w:val="center"/>
          </w:tcPr>
          <w:p>
            <w:pPr>
              <w:pStyle w:val="TableContents"/>
              <w:bidi w:val="0"/>
              <w:spacing w:before="0" w:after="283"/>
              <w:ind w:left="0" w:right="0" w:hanging="251"/>
              <w:jc w:val="left"/>
              <w:rPr/>
            </w:pPr>
            <w:r>
              <w:rPr/>
              <w:t> </w:t>
            </w:r>
          </w:p>
        </w:tc>
      </w:tr>
      <w:tr>
        <w:trPr/>
        <w:tc>
          <w:tcPr>
            <w:tcW w:w="6694" w:type="dxa"/>
            <w:tcBorders/>
            <w:vAlign w:val="center"/>
          </w:tcPr>
          <w:p>
            <w:pPr>
              <w:pStyle w:val="TableContents"/>
              <w:bidi w:val="0"/>
              <w:spacing w:before="0" w:after="283"/>
              <w:jc w:val="left"/>
              <w:rPr/>
            </w:pPr>
            <w:r>
              <w:rPr/>
              <w:t>Stock-based compensation from continuing operations</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1,229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472</w:t>
            </w:r>
          </w:p>
        </w:tc>
        <w:tc>
          <w:tcPr>
            <w:tcW w:w="77" w:type="dxa"/>
            <w:tcBorders/>
            <w:vAlign w:val="center"/>
          </w:tcPr>
          <w:p>
            <w:pPr>
              <w:pStyle w:val="TableContents"/>
              <w:bidi w:val="0"/>
              <w:spacing w:before="0" w:after="283"/>
              <w:ind w:left="0" w:right="0" w:hanging="251"/>
              <w:jc w:val="left"/>
              <w:rPr/>
            </w:pPr>
            <w:r>
              <w:rPr/>
              <w:t> </w:t>
            </w:r>
          </w:p>
        </w:tc>
      </w:tr>
      <w:tr>
        <w:trPr/>
        <w:tc>
          <w:tcPr>
            <w:tcW w:w="6694" w:type="dxa"/>
            <w:tcBorders/>
            <w:shd w:fill="CCEEFF" w:val="clear"/>
            <w:vAlign w:val="center"/>
          </w:tcPr>
          <w:p>
            <w:pPr>
              <w:pStyle w:val="TableContents"/>
              <w:bidi w:val="0"/>
              <w:spacing w:before="0" w:after="283"/>
              <w:jc w:val="left"/>
              <w:rPr/>
            </w:pPr>
            <w:r>
              <w:rPr/>
              <w:t>Stock-based compensation expense included in discontinued operations</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548</w:t>
            </w:r>
          </w:p>
        </w:tc>
        <w:tc>
          <w:tcPr>
            <w:tcW w:w="77" w:type="dxa"/>
            <w:tcBorders/>
            <w:shd w:fill="CCEEFF" w:val="clear"/>
            <w:vAlign w:val="center"/>
          </w:tcPr>
          <w:p>
            <w:pPr>
              <w:pStyle w:val="TableContents"/>
              <w:bidi w:val="0"/>
              <w:spacing w:before="0" w:after="283"/>
              <w:ind w:left="0" w:right="0" w:hanging="251"/>
              <w:jc w:val="left"/>
              <w:rPr/>
            </w:pPr>
            <w:r>
              <w:rPr/>
              <w:t> </w:t>
            </w:r>
          </w:p>
        </w:tc>
      </w:tr>
      <w:tr>
        <w:trPr/>
        <w:tc>
          <w:tcPr>
            <w:tcW w:w="6694" w:type="dxa"/>
            <w:tcBorders/>
            <w:vAlign w:val="center"/>
          </w:tcPr>
          <w:p>
            <w:pPr>
              <w:pStyle w:val="TableContents"/>
              <w:bidi w:val="0"/>
              <w:spacing w:before="0" w:after="283"/>
              <w:jc w:val="left"/>
              <w:rPr/>
            </w:pPr>
            <w:r>
              <w:rPr/>
              <w:t>Total stock-based compensation expense</w:t>
            </w:r>
          </w:p>
        </w:tc>
        <w:tc>
          <w:tcPr>
            <w:tcW w:w="60" w:type="dxa"/>
            <w:tcBorders/>
            <w:vAlign w:val="center"/>
          </w:tcPr>
          <w:p>
            <w:pPr>
              <w:pStyle w:val="TableContents"/>
              <w:bidi w:val="0"/>
              <w:spacing w:before="0" w:after="283"/>
              <w:jc w:val="left"/>
              <w:rPr/>
            </w:pPr>
            <w:r>
              <w:rPr/>
              <w:t> </w:t>
            </w:r>
          </w:p>
        </w:tc>
        <w:tc>
          <w:tcPr>
            <w:tcW w:w="325" w:type="dxa"/>
            <w:tcBorders>
              <w:bottom w:val="double" w:sz="10" w:space="0" w:color="000000"/>
            </w:tcBorders>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tcMar>
              <w:bottom w:w="28" w:type="dxa"/>
            </w:tcMar>
            <w:vAlign w:val="center"/>
          </w:tcPr>
          <w:p>
            <w:pPr>
              <w:pStyle w:val="TableContents"/>
              <w:bidi w:val="0"/>
              <w:spacing w:before="0" w:after="283"/>
              <w:jc w:val="right"/>
              <w:rPr/>
            </w:pPr>
            <w:r>
              <w:rPr/>
              <w:t>1,229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bottom w:val="double" w:sz="10" w:space="0" w:color="000000"/>
            </w:tcBorders>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tcMar>
              <w:bottom w:w="28" w:type="dxa"/>
            </w:tcMar>
            <w:vAlign w:val="center"/>
          </w:tcPr>
          <w:p>
            <w:pPr>
              <w:pStyle w:val="TableContents"/>
              <w:bidi w:val="0"/>
              <w:spacing w:before="0" w:after="283"/>
              <w:jc w:val="right"/>
              <w:rPr/>
            </w:pPr>
            <w:r>
              <w:rPr/>
              <w:t>1,020</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osition w:val="7"/>
                <w:sz w:val="16"/>
                <w:sz w:val="20"/>
              </w:rPr>
            </w:pPr>
            <w:r>
              <w:rPr>
                <w:position w:val="7"/>
                <w:sz w:val="16"/>
                <w:sz w:val="20"/>
              </w:rPr>
              <w:t>(2)</w:t>
            </w:r>
          </w:p>
        </w:tc>
        <w:tc>
          <w:tcPr>
            <w:tcW w:w="9973" w:type="dxa"/>
            <w:tcBorders/>
            <w:vAlign w:val="center"/>
          </w:tcPr>
          <w:p>
            <w:pPr>
              <w:pStyle w:val="TableContents"/>
              <w:bidi w:val="0"/>
              <w:spacing w:before="0" w:after="283"/>
              <w:jc w:val="both"/>
              <w:rPr>
                <w:sz w:val="20"/>
              </w:rPr>
            </w:pPr>
            <w:r>
              <w:rPr>
                <w:sz w:val="20"/>
              </w:rPr>
              <w:t>Includes interest expense to related party of $0.2 million and $0.2 million during the thirteen weeks ended June 30, 2024 and July 2, 2023,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osition w:val="7"/>
                <w:sz w:val="16"/>
                <w:sz w:val="20"/>
              </w:rPr>
            </w:pPr>
            <w:r>
              <w:rPr>
                <w:position w:val="7"/>
                <w:sz w:val="16"/>
                <w:sz w:val="20"/>
              </w:rPr>
              <w:t>(3)</w:t>
            </w:r>
          </w:p>
        </w:tc>
        <w:tc>
          <w:tcPr>
            <w:tcW w:w="9967" w:type="dxa"/>
            <w:tcBorders/>
            <w:vAlign w:val="center"/>
          </w:tcPr>
          <w:p>
            <w:pPr>
              <w:pStyle w:val="TableContents"/>
              <w:bidi w:val="0"/>
              <w:spacing w:before="0" w:after="283"/>
              <w:jc w:val="both"/>
              <w:rPr>
                <w:sz w:val="20"/>
              </w:rPr>
            </w:pPr>
            <w:r>
              <w:rPr>
                <w:sz w:val="20"/>
              </w:rPr>
              <w:t>Includes income from related parties of $2.3 million and zero for the thirteen weeks ended June 30, 2024 and July 2, 2023,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disaggregate our revenues based on the following types of services (in thousands):</w:t>
      </w:r>
    </w:p>
    <w:p>
      <w:pPr>
        <w:pStyle w:val="TextBody"/>
        <w:bidi w:val="0"/>
        <w:spacing w:before="0" w:after="0"/>
        <w:ind w:left="0" w:right="0" w:firstLine="720"/>
        <w:jc w:val="both"/>
        <w:rPr>
          <w:caps w:val="false"/>
          <w:smallCaps w:val="false"/>
        </w:rPr>
      </w:pPr>
      <w:r>
        <w:rPr>
          <w:caps w:val="false"/>
          <w:smallCaps w:val="false"/>
        </w:rPr>
        <w:t> </w:t>
      </w:r>
    </w:p>
    <w:tbl>
      <w:tblPr>
        <w:tblW w:w="8859" w:type="dxa"/>
        <w:jc w:val="left"/>
        <w:tblInd w:w="0" w:type="dxa"/>
        <w:tblLayout w:type="fixed"/>
        <w:tblCellMar>
          <w:top w:w="0" w:type="dxa"/>
          <w:left w:w="0" w:type="dxa"/>
          <w:bottom w:w="0" w:type="dxa"/>
          <w:right w:w="0" w:type="dxa"/>
        </w:tblCellMar>
      </w:tblPr>
      <w:tblGrid>
        <w:gridCol w:w="3110"/>
        <w:gridCol w:w="60"/>
        <w:gridCol w:w="328"/>
        <w:gridCol w:w="1312"/>
        <w:gridCol w:w="60"/>
        <w:gridCol w:w="60"/>
        <w:gridCol w:w="279"/>
        <w:gridCol w:w="1360"/>
        <w:gridCol w:w="60"/>
        <w:gridCol w:w="60"/>
        <w:gridCol w:w="140"/>
        <w:gridCol w:w="755"/>
        <w:gridCol w:w="95"/>
        <w:gridCol w:w="60"/>
        <w:gridCol w:w="123"/>
        <w:gridCol w:w="692"/>
        <w:gridCol w:w="305"/>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Thirteen 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center"/>
              <w:rPr>
                <w:b/>
              </w:rPr>
            </w:pPr>
            <w:r>
              <w:rPr>
                <w:b/>
              </w:rPr>
              <w:t>Thirteen 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Solar energy system installations</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4,474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360" w:type="dxa"/>
            <w:tcBorders/>
            <w:shd w:fill="CCEEFF" w:val="clear"/>
            <w:vAlign w:val="center"/>
          </w:tcPr>
          <w:p>
            <w:pPr>
              <w:pStyle w:val="TableContents"/>
              <w:bidi w:val="0"/>
              <w:spacing w:before="0" w:after="283"/>
              <w:jc w:val="right"/>
              <w:rPr/>
            </w:pPr>
            <w:r>
              <w:rPr/>
              <w:t>24,753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(82</w:t>
            </w:r>
          </w:p>
        </w:tc>
        <w:tc>
          <w:tcPr>
            <w:tcW w:w="305"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left"/>
              <w:rPr/>
            </w:pPr>
            <w:r>
              <w:rPr/>
              <w:t>Software enhanced services</w:t>
            </w:r>
          </w:p>
        </w:tc>
        <w:tc>
          <w:tcPr>
            <w:tcW w:w="6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2" w:type="dxa"/>
            <w:tcBorders>
              <w:bottom w:val="single" w:sz="12" w:space="0" w:color="000000"/>
            </w:tcBorders>
            <w:tcMar>
              <w:bottom w:w="28" w:type="dxa"/>
            </w:tcMar>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tcMar>
              <w:bottom w:w="28" w:type="dxa"/>
            </w:tcMar>
            <w:vAlign w:val="center"/>
          </w:tcPr>
          <w:p>
            <w:pPr>
              <w:pStyle w:val="TableContents"/>
              <w:bidi w:val="0"/>
              <w:spacing w:before="0" w:after="283"/>
              <w:jc w:val="right"/>
              <w:rPr/>
            </w:pPr>
            <w:r>
              <w:rPr/>
              <w:t>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(849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right"/>
              <w:rPr/>
            </w:pPr>
            <w:r>
              <w:rPr/>
              <w:t>(98</w:t>
            </w:r>
          </w:p>
        </w:tc>
        <w:tc>
          <w:tcPr>
            <w:tcW w:w="305"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10" w:space="0" w:color="000000"/>
            </w:tcBorders>
            <w:shd w:fill="CCEEFF" w:val="clear"/>
            <w:tcMar>
              <w:bottom w:w="28" w:type="dxa"/>
            </w:tcMar>
            <w:vAlign w:val="center"/>
          </w:tcPr>
          <w:p>
            <w:pPr>
              <w:pStyle w:val="TableContents"/>
              <w:bidi w:val="0"/>
              <w:spacing w:before="0" w:after="283"/>
              <w:jc w:val="right"/>
              <w:rPr/>
            </w:pPr>
            <w:r>
              <w:rPr/>
              <w:t>4,492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0" w:type="dxa"/>
            <w:tcBorders>
              <w:bottom w:val="double" w:sz="10" w:space="0" w:color="000000"/>
            </w:tcBorders>
            <w:shd w:fill="CCEEFF" w:val="clear"/>
            <w:tcMar>
              <w:bottom w:w="28" w:type="dxa"/>
            </w:tcMar>
            <w:vAlign w:val="center"/>
          </w:tcPr>
          <w:p>
            <w:pPr>
              <w:pStyle w:val="TableContents"/>
              <w:bidi w:val="0"/>
              <w:spacing w:before="0" w:after="283"/>
              <w:jc w:val="right"/>
              <w:rPr/>
            </w:pPr>
            <w:r>
              <w:rPr/>
              <w:t>25,620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(21,128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double" w:sz="10" w:space="0" w:color="000000"/>
            </w:tcBorders>
            <w:shd w:fill="CCEEFF" w:val="clear"/>
            <w:tcMar>
              <w:bottom w:w="28" w:type="dxa"/>
            </w:tcMar>
            <w:vAlign w:val="center"/>
          </w:tcPr>
          <w:p>
            <w:pPr>
              <w:pStyle w:val="TableContents"/>
              <w:bidi w:val="0"/>
              <w:spacing w:before="0" w:after="283"/>
              <w:jc w:val="right"/>
              <w:rPr/>
            </w:pPr>
            <w:r>
              <w:rPr/>
              <w:t>(82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solar energy system installations for the thirteen weeks ended June 30, 2024 was $4.5 million compared to $24.8 million for the thirteen weeks ended July 2, 2023. The decrease in solar energy system installation revenues of $20.3 million was primarily due to a decrease in the volume of solar energy system installations.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software enhanced services for the thirteen weeks ended June 30, 2024 was $0.02 million compared to $0.9 million for the thirteen weeks ended July 2, 2023. The decrease was the result of a shift in focus towards solar energy installations.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thirteen weeks ended June 30, 2024 was $5.4 million compared to $19.6 million for the thirteen weeks ended July 2, 2023. The decrease in cost of revenues of $14.2 million, or 73%, was primarily due to the decrease in revenue of 82% and emphasis on managing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thirteen weeks ended June 30, 2024 was negative 20% compared to 23% for the thirteen weeks ended July 2, 2023. The decline in the gross margin was principally attributable to the decrease in revenues, certain fixed costs included within cost of revenues, and write-offs of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for the thirteen weeks ended June 30, 2024 was $1.3 million compared to $8.8 million for the thirteen weeks ended July 2, 2023. The decrease of $7.5 million, or 85%, was primarily due to the decrease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for the thirteen weeks ended June 30, 2024 was $1.1 million compared to $2.3 million for the thirteen weeks ended July 2, 2023. The decrease is attributable to a reduction in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for the thirteen weeks ended June 30, 2024 was $6.2 million compared to $7.7 million for the thirteen weeks ended July 2, 2023. The decrease was primarily attributed to a decrease in workforce and reductions in legal expenses previously incurred through negotiations of final payments with various law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$2.3 million for the thirteen weeks ended June 30, 2024 compared to $3.4 million for the thirteen weeks ended July 2, 2023. The decrease is principally due to a decrease in interest expense arising from our Secured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June 30, 2024, decreased by $11.5 million compared to the thirteen weeks ended July 2, 2023. Other income, net in the thirteen weeks ended June 30, 2024 was expense of $2.1 million and was comprised of $3.3 million of expense arising from changes in the fair value of warrants issued for our common stock, $1.3 million loss incurred on the conversion of two SAFE Agreements to shares of our common stock and $0.3 million of other costs, partially offset by $2.8 million of expense relating to changes in the fair value of our 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July 2, 2023 was income of $9.4 million and was principally comprised of $9.2 million change in the fair value of liability-classified warrants and $0.2 million of net 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from continuing operations for the thirteen-weeks ended June 30, 2024 was $13.9 million, an increase in loss by $7.1 million, as compared to a net loss from continuing operations of $6.8 million for the thirteen-weeks ended July 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 loss of $2.0 million and $4.7 million in the thirteen weeks ended June 30, 2024 and July 2, 2023, respectively, relating to the divestiture of our solar panel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Twenty-six weeks ended June 30, 2024 compared to the twenty-six weeks ended July 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twenty-six weeks ended June 30, 2024 and the twenty-six weeks ended July 2, 2023.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19"/>
        <w:gridCol w:w="60"/>
        <w:gridCol w:w="282"/>
        <w:gridCol w:w="1526"/>
        <w:gridCol w:w="215"/>
        <w:gridCol w:w="60"/>
        <w:gridCol w:w="282"/>
        <w:gridCol w:w="1526"/>
        <w:gridCol w:w="215"/>
        <w:gridCol w:w="60"/>
        <w:gridCol w:w="140"/>
        <w:gridCol w:w="755"/>
        <w:gridCol w:w="95"/>
        <w:gridCol w:w="60"/>
        <w:gridCol w:w="94"/>
        <w:gridCol w:w="721"/>
        <w:gridCol w:w="295"/>
      </w:tblGrid>
      <w:tr>
        <w:trPr/>
        <w:tc>
          <w:tcPr>
            <w:tcW w:w="3819"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808" w:type="dxa"/>
            <w:gridSpan w:val="2"/>
            <w:tcBorders>
              <w:bottom w:val="single" w:sz="12" w:space="0" w:color="000000"/>
            </w:tcBorders>
            <w:vAlign w:val="center"/>
          </w:tcPr>
          <w:p>
            <w:pPr>
              <w:pStyle w:val="TableContents"/>
              <w:bidi w:val="0"/>
              <w:spacing w:before="0" w:after="283"/>
              <w:jc w:val="center"/>
              <w:rPr>
                <w:b/>
              </w:rPr>
            </w:pPr>
            <w:r>
              <w:rPr>
                <w:b/>
              </w:rPr>
              <w:t>Twenty-Six Weeks</w:t>
              <w:br/>
              <w:t xml:space="preserve">Ended </w:t>
              <w:br/>
              <w:t>June 30,</w:t>
              <w:br/>
              <w:t>2024</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8" w:type="dxa"/>
            <w:gridSpan w:val="2"/>
            <w:tcBorders>
              <w:bottom w:val="single" w:sz="12" w:space="0" w:color="000000"/>
            </w:tcBorders>
            <w:vAlign w:val="center"/>
          </w:tcPr>
          <w:p>
            <w:pPr>
              <w:pStyle w:val="TableContents"/>
              <w:bidi w:val="0"/>
              <w:spacing w:before="0" w:after="283"/>
              <w:jc w:val="center"/>
              <w:rPr>
                <w:b/>
              </w:rPr>
            </w:pPr>
            <w:r>
              <w:rPr>
                <w:b/>
              </w:rPr>
              <w:t>Twenty-Six Weeks</w:t>
              <w:br/>
              <w:t xml:space="preserve">Ended </w:t>
              <w:br/>
              <w:t>July 2,</w:t>
              <w:br/>
              <w:t>2023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w:t>
              <w:br/>
              <w:t>Change</w:t>
            </w:r>
          </w:p>
        </w:tc>
        <w:tc>
          <w:tcPr>
            <w:tcW w:w="295" w:type="dxa"/>
            <w:tcBorders/>
            <w:tcMar>
              <w:bottom w:w="0" w:type="dxa"/>
            </w:tcMar>
            <w:vAlign w:val="center"/>
          </w:tcPr>
          <w:p>
            <w:pPr>
              <w:pStyle w:val="TableContents"/>
              <w:bidi w:val="0"/>
              <w:spacing w:before="0" w:after="283"/>
              <w:ind w:left="0" w:right="0" w:hanging="180"/>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w:t>
            </w:r>
          </w:p>
        </w:tc>
        <w:tc>
          <w:tcPr>
            <w:tcW w:w="1526" w:type="dxa"/>
            <w:tcBorders/>
            <w:shd w:fill="CCEEFF" w:val="clear"/>
            <w:tcMar>
              <w:bottom w:w="0" w:type="dxa"/>
            </w:tcMar>
            <w:vAlign w:val="center"/>
          </w:tcPr>
          <w:p>
            <w:pPr>
              <w:pStyle w:val="TableContents"/>
              <w:bidi w:val="0"/>
              <w:spacing w:before="0" w:after="283"/>
              <w:jc w:val="right"/>
              <w:rPr/>
            </w:pPr>
            <w:r>
              <w:rPr/>
              <w:t>14,532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w:t>
            </w:r>
          </w:p>
        </w:tc>
        <w:tc>
          <w:tcPr>
            <w:tcW w:w="1526" w:type="dxa"/>
            <w:tcBorders/>
            <w:shd w:fill="CCEEFF" w:val="clear"/>
            <w:tcMar>
              <w:bottom w:w="0" w:type="dxa"/>
            </w:tcMar>
            <w:vAlign w:val="center"/>
          </w:tcPr>
          <w:p>
            <w:pPr>
              <w:pStyle w:val="TableContents"/>
              <w:bidi w:val="0"/>
              <w:spacing w:before="0" w:after="283"/>
              <w:jc w:val="right"/>
              <w:rPr/>
            </w:pPr>
            <w:r>
              <w:rPr/>
              <w:t>42,297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(27,765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(66</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8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vAlign w:val="center"/>
          </w:tcPr>
          <w:p>
            <w:pPr>
              <w:pStyle w:val="TableContents"/>
              <w:bidi w:val="0"/>
              <w:spacing w:before="0" w:after="283"/>
              <w:jc w:val="left"/>
              <w:rPr/>
            </w:pPr>
            <w:r>
              <w:rPr/>
              <w:t> </w:t>
            </w:r>
          </w:p>
        </w:tc>
        <w:tc>
          <w:tcPr>
            <w:tcW w:w="1526" w:type="dxa"/>
            <w:tcBorders>
              <w:bottom w:val="single" w:sz="12" w:space="0" w:color="000000"/>
            </w:tcBorders>
            <w:vAlign w:val="center"/>
          </w:tcPr>
          <w:p>
            <w:pPr>
              <w:pStyle w:val="TableContents"/>
              <w:bidi w:val="0"/>
              <w:spacing w:before="0" w:after="283"/>
              <w:jc w:val="right"/>
              <w:rPr/>
            </w:pPr>
            <w:r>
              <w:rPr/>
              <w:t>13,141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vAlign w:val="center"/>
          </w:tcPr>
          <w:p>
            <w:pPr>
              <w:pStyle w:val="TableContents"/>
              <w:bidi w:val="0"/>
              <w:spacing w:before="0" w:after="283"/>
              <w:jc w:val="left"/>
              <w:rPr/>
            </w:pPr>
            <w:r>
              <w:rPr/>
              <w:t> </w:t>
            </w:r>
          </w:p>
        </w:tc>
        <w:tc>
          <w:tcPr>
            <w:tcW w:w="1526" w:type="dxa"/>
            <w:tcBorders>
              <w:bottom w:val="single" w:sz="12" w:space="0" w:color="000000"/>
            </w:tcBorders>
            <w:vAlign w:val="center"/>
          </w:tcPr>
          <w:p>
            <w:pPr>
              <w:pStyle w:val="TableContents"/>
              <w:bidi w:val="0"/>
              <w:spacing w:before="0" w:after="283"/>
              <w:jc w:val="right"/>
              <w:rPr/>
            </w:pPr>
            <w:r>
              <w:rPr/>
              <w:t>33,434</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right"/>
              <w:rPr/>
            </w:pPr>
            <w:r>
              <w:rPr/>
              <w:t>(20,293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vAlign w:val="center"/>
          </w:tcPr>
          <w:p>
            <w:pPr>
              <w:pStyle w:val="TableContents"/>
              <w:bidi w:val="0"/>
              <w:spacing w:before="0" w:after="283"/>
              <w:jc w:val="left"/>
              <w:rPr/>
            </w:pPr>
            <w:r>
              <w:rPr/>
              <w:t> </w:t>
            </w:r>
          </w:p>
        </w:tc>
        <w:tc>
          <w:tcPr>
            <w:tcW w:w="721" w:type="dxa"/>
            <w:tcBorders>
              <w:bottom w:val="single" w:sz="12" w:space="0" w:color="000000"/>
            </w:tcBorders>
            <w:vAlign w:val="center"/>
          </w:tcPr>
          <w:p>
            <w:pPr>
              <w:pStyle w:val="TableContents"/>
              <w:bidi w:val="0"/>
              <w:spacing w:before="0" w:after="283"/>
              <w:jc w:val="right"/>
              <w:rPr/>
            </w:pPr>
            <w:r>
              <w:rPr/>
              <w:t>(61</w:t>
            </w:r>
          </w:p>
        </w:tc>
        <w:tc>
          <w:tcPr>
            <w:tcW w:w="295" w:type="dxa"/>
            <w:tcBorders/>
            <w:tcMar>
              <w:bottom w:w="0" w:type="dxa"/>
            </w:tcMar>
            <w:vAlign w:val="center"/>
          </w:tcPr>
          <w:p>
            <w:pPr>
              <w:pStyle w:val="TableContents"/>
              <w:bidi w:val="0"/>
              <w:spacing w:before="0" w:after="283"/>
              <w:ind w:left="0" w:right="0" w:hanging="180"/>
              <w:jc w:val="left"/>
              <w:rPr/>
            </w:pPr>
            <w:r>
              <w:rPr/>
              <w:t>)%</w:t>
            </w:r>
          </w:p>
        </w:tc>
      </w:tr>
      <w:tr>
        <w:trPr/>
        <w:tc>
          <w:tcPr>
            <w:tcW w:w="3819"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1,391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8,863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(7,472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(84</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819" w:type="dxa"/>
            <w:tcBorders/>
            <w:tcMar>
              <w:bottom w:w="0" w:type="dxa"/>
            </w:tcMar>
            <w:vAlign w:val="center"/>
          </w:tcPr>
          <w:p>
            <w:pPr>
              <w:pStyle w:val="TableContents"/>
              <w:bidi w:val="0"/>
              <w:spacing w:before="0" w:after="283"/>
              <w:jc w:val="left"/>
              <w:rPr/>
            </w:pPr>
            <w:r>
              <w:rPr/>
              <w:t>Gross margin %</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10</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21</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 </w:t>
            </w:r>
          </w:p>
        </w:tc>
        <w:tc>
          <w:tcPr>
            <w:tcW w:w="295" w:type="dxa"/>
            <w:tcBorders/>
            <w:tcMar>
              <w:bottom w:w="0" w:type="dxa"/>
            </w:tcMar>
            <w:vAlign w:val="center"/>
          </w:tcPr>
          <w:p>
            <w:pPr>
              <w:pStyle w:val="TableContents"/>
              <w:bidi w:val="0"/>
              <w:spacing w:before="0" w:after="283"/>
              <w:ind w:left="0" w:right="0" w:hanging="180"/>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 </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819" w:type="dxa"/>
            <w:tcBorders/>
            <w:tcMar>
              <w:bottom w:w="0" w:type="dxa"/>
            </w:tcMar>
            <w:vAlign w:val="center"/>
          </w:tcPr>
          <w:p>
            <w:pPr>
              <w:pStyle w:val="TableContents"/>
              <w:bidi w:val="0"/>
              <w:spacing w:before="0" w:after="283"/>
              <w:jc w:val="left"/>
              <w:rPr/>
            </w:pPr>
            <w:r>
              <w:rPr/>
              <w:t>Sales commissions</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4,421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14,466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(10,045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(69</w:t>
            </w:r>
          </w:p>
        </w:tc>
        <w:tc>
          <w:tcPr>
            <w:tcW w:w="295" w:type="dxa"/>
            <w:tcBorders/>
            <w:tcMar>
              <w:bottom w:w="0" w:type="dxa"/>
            </w:tcMar>
            <w:vAlign w:val="center"/>
          </w:tcPr>
          <w:p>
            <w:pPr>
              <w:pStyle w:val="TableContents"/>
              <w:bidi w:val="0"/>
              <w:spacing w:before="0" w:after="283"/>
              <w:ind w:left="0" w:right="0" w:hanging="180"/>
              <w:jc w:val="left"/>
              <w:rPr/>
            </w:pPr>
            <w:r>
              <w:rPr/>
              <w:t>)%</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2,669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3,002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(11</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8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vAlign w:val="center"/>
          </w:tcPr>
          <w:p>
            <w:pPr>
              <w:pStyle w:val="TableContents"/>
              <w:bidi w:val="0"/>
              <w:spacing w:before="0" w:after="283"/>
              <w:jc w:val="left"/>
              <w:rPr/>
            </w:pPr>
            <w:r>
              <w:rPr/>
              <w:t> </w:t>
            </w:r>
          </w:p>
        </w:tc>
        <w:tc>
          <w:tcPr>
            <w:tcW w:w="1526" w:type="dxa"/>
            <w:tcBorders>
              <w:bottom w:val="single" w:sz="12" w:space="0" w:color="000000"/>
            </w:tcBorders>
            <w:vAlign w:val="center"/>
          </w:tcPr>
          <w:p>
            <w:pPr>
              <w:pStyle w:val="TableContents"/>
              <w:bidi w:val="0"/>
              <w:spacing w:before="0" w:after="283"/>
              <w:jc w:val="right"/>
              <w:rPr/>
            </w:pPr>
            <w:r>
              <w:rPr/>
              <w:t>11,339</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vAlign w:val="center"/>
          </w:tcPr>
          <w:p>
            <w:pPr>
              <w:pStyle w:val="TableContents"/>
              <w:bidi w:val="0"/>
              <w:spacing w:before="0" w:after="283"/>
              <w:jc w:val="left"/>
              <w:rPr/>
            </w:pPr>
            <w:r>
              <w:rPr/>
              <w:t> </w:t>
            </w:r>
          </w:p>
        </w:tc>
        <w:tc>
          <w:tcPr>
            <w:tcW w:w="1526" w:type="dxa"/>
            <w:tcBorders>
              <w:bottom w:val="single" w:sz="12" w:space="0" w:color="000000"/>
            </w:tcBorders>
            <w:vAlign w:val="center"/>
          </w:tcPr>
          <w:p>
            <w:pPr>
              <w:pStyle w:val="TableContents"/>
              <w:bidi w:val="0"/>
              <w:spacing w:before="0" w:after="283"/>
              <w:jc w:val="right"/>
              <w:rPr/>
            </w:pPr>
            <w:r>
              <w:rPr/>
              <w:t>16,620</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right"/>
              <w:rPr/>
            </w:pPr>
            <w:r>
              <w:rPr/>
              <w:t>(5,281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vAlign w:val="center"/>
          </w:tcPr>
          <w:p>
            <w:pPr>
              <w:pStyle w:val="TableContents"/>
              <w:bidi w:val="0"/>
              <w:spacing w:before="0" w:after="283"/>
              <w:jc w:val="left"/>
              <w:rPr/>
            </w:pPr>
            <w:r>
              <w:rPr/>
              <w:t> </w:t>
            </w:r>
          </w:p>
        </w:tc>
        <w:tc>
          <w:tcPr>
            <w:tcW w:w="721" w:type="dxa"/>
            <w:tcBorders>
              <w:bottom w:val="single" w:sz="12" w:space="0" w:color="000000"/>
            </w:tcBorders>
            <w:vAlign w:val="center"/>
          </w:tcPr>
          <w:p>
            <w:pPr>
              <w:pStyle w:val="TableContents"/>
              <w:bidi w:val="0"/>
              <w:spacing w:before="0" w:after="283"/>
              <w:jc w:val="right"/>
              <w:rPr/>
            </w:pPr>
            <w:r>
              <w:rPr/>
              <w:t>(32</w:t>
            </w:r>
          </w:p>
        </w:tc>
        <w:tc>
          <w:tcPr>
            <w:tcW w:w="295" w:type="dxa"/>
            <w:tcBorders/>
            <w:tcMar>
              <w:bottom w:w="0" w:type="dxa"/>
            </w:tcMar>
            <w:vAlign w:val="center"/>
          </w:tcPr>
          <w:p>
            <w:pPr>
              <w:pStyle w:val="TableContents"/>
              <w:bidi w:val="0"/>
              <w:spacing w:before="0" w:after="283"/>
              <w:ind w:left="0" w:right="0" w:hanging="180"/>
              <w:jc w:val="left"/>
              <w:rPr/>
            </w:pPr>
            <w:r>
              <w:rPr/>
              <w:t>)%</w:t>
            </w:r>
          </w:p>
        </w:tc>
      </w:tr>
      <w:tr>
        <w:trPr/>
        <w:tc>
          <w:tcPr>
            <w:tcW w:w="3819" w:type="dxa"/>
            <w:tcBorders/>
            <w:shd w:fill="CCEEFF" w:val="clear"/>
            <w:tcMar>
              <w:bottom w:w="0" w:type="dxa"/>
            </w:tcMar>
            <w:vAlign w:val="center"/>
          </w:tcPr>
          <w:p>
            <w:pPr>
              <w:pStyle w:val="TableContents"/>
              <w:bidi w:val="0"/>
              <w:spacing w:before="0" w:after="283"/>
              <w:jc w:val="left"/>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526" w:type="dxa"/>
            <w:tcBorders>
              <w:bottom w:val="single" w:sz="12" w:space="0" w:color="000000"/>
            </w:tcBorders>
            <w:shd w:fill="CCEEFF" w:val="clear"/>
            <w:vAlign w:val="center"/>
          </w:tcPr>
          <w:p>
            <w:pPr>
              <w:pStyle w:val="TableContents"/>
              <w:bidi w:val="0"/>
              <w:spacing w:before="0" w:after="283"/>
              <w:jc w:val="right"/>
              <w:rPr/>
            </w:pPr>
            <w:r>
              <w:rPr/>
              <w:t>18,429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526" w:type="dxa"/>
            <w:tcBorders>
              <w:bottom w:val="single" w:sz="12" w:space="0" w:color="000000"/>
            </w:tcBorders>
            <w:shd w:fill="CCEEFF" w:val="clear"/>
            <w:vAlign w:val="center"/>
          </w:tcPr>
          <w:p>
            <w:pPr>
              <w:pStyle w:val="TableContents"/>
              <w:bidi w:val="0"/>
              <w:spacing w:before="0" w:after="283"/>
              <w:jc w:val="right"/>
              <w:rPr/>
            </w:pPr>
            <w:r>
              <w:rPr/>
              <w:t>34,088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(15,659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(46</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819" w:type="dxa"/>
            <w:tcBorders/>
            <w:tcMar>
              <w:bottom w:w="0" w:type="dxa"/>
            </w:tcMar>
            <w:vAlign w:val="center"/>
          </w:tcPr>
          <w:p>
            <w:pPr>
              <w:pStyle w:val="TableContents"/>
              <w:bidi w:val="0"/>
              <w:spacing w:before="0" w:after="283"/>
              <w:jc w:val="left"/>
              <w:rPr/>
            </w:pPr>
            <w:r>
              <w:rPr/>
              <w:t>Loss from continuing operations</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(17,038</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(25,225</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8,187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(32</w:t>
            </w:r>
          </w:p>
        </w:tc>
        <w:tc>
          <w:tcPr>
            <w:tcW w:w="295" w:type="dxa"/>
            <w:tcBorders/>
            <w:tcMar>
              <w:bottom w:w="0" w:type="dxa"/>
            </w:tcMar>
            <w:vAlign w:val="center"/>
          </w:tcPr>
          <w:p>
            <w:pPr>
              <w:pStyle w:val="TableContents"/>
              <w:bidi w:val="0"/>
              <w:spacing w:before="0" w:after="283"/>
              <w:ind w:left="0" w:right="0" w:hanging="180"/>
              <w:jc w:val="left"/>
              <w:rPr/>
            </w:pPr>
            <w:r>
              <w:rPr/>
              <w:t>)%</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(5,892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shd w:fill="CCEEFF" w:val="clear"/>
            <w:tcMar>
              <w:bottom w:w="0" w:type="dxa"/>
            </w:tcMar>
            <w:vAlign w:val="center"/>
          </w:tcPr>
          <w:p>
            <w:pPr>
              <w:pStyle w:val="TableContents"/>
              <w:bidi w:val="0"/>
              <w:spacing w:before="0" w:after="283"/>
              <w:jc w:val="left"/>
              <w:rPr/>
            </w:pPr>
            <w:r>
              <w:rPr/>
              <w:t> </w:t>
            </w:r>
          </w:p>
        </w:tc>
        <w:tc>
          <w:tcPr>
            <w:tcW w:w="1526" w:type="dxa"/>
            <w:tcBorders/>
            <w:shd w:fill="CCEEFF" w:val="clear"/>
            <w:tcMar>
              <w:bottom w:w="0" w:type="dxa"/>
            </w:tcMar>
            <w:vAlign w:val="center"/>
          </w:tcPr>
          <w:p>
            <w:pPr>
              <w:pStyle w:val="TableContents"/>
              <w:bidi w:val="0"/>
              <w:spacing w:before="0" w:after="283"/>
              <w:jc w:val="right"/>
              <w:rPr/>
            </w:pPr>
            <w:r>
              <w:rPr/>
              <w:t>(6,968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1,076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(15</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819" w:type="dxa"/>
            <w:tcBorders/>
            <w:tcMar>
              <w:bottom w:w="0" w:type="dxa"/>
            </w:tcMar>
            <w:vAlign w:val="center"/>
          </w:tcPr>
          <w:p>
            <w:pPr>
              <w:pStyle w:val="TableContents"/>
              <w:bidi w:val="0"/>
              <w:spacing w:before="0" w:after="283"/>
              <w:jc w:val="left"/>
              <w:rPr/>
            </w:pPr>
            <w:r>
              <w:rPr/>
              <w:t>Interest income</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16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17</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(6</w:t>
            </w:r>
          </w:p>
        </w:tc>
        <w:tc>
          <w:tcPr>
            <w:tcW w:w="295" w:type="dxa"/>
            <w:tcBorders/>
            <w:tcMar>
              <w:bottom w:w="0" w:type="dxa"/>
            </w:tcMar>
            <w:vAlign w:val="center"/>
          </w:tcPr>
          <w:p>
            <w:pPr>
              <w:pStyle w:val="TableContents"/>
              <w:bidi w:val="0"/>
              <w:spacing w:before="0" w:after="283"/>
              <w:ind w:left="0" w:right="0" w:hanging="180"/>
              <w:jc w:val="left"/>
              <w:rPr/>
            </w:pPr>
            <w:r>
              <w:rPr/>
              <w:t>)%</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 income, net</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526" w:type="dxa"/>
            <w:tcBorders>
              <w:bottom w:val="single" w:sz="12" w:space="0" w:color="000000"/>
            </w:tcBorders>
            <w:shd w:fill="CCEEFF" w:val="clear"/>
            <w:vAlign w:val="center"/>
          </w:tcPr>
          <w:p>
            <w:pPr>
              <w:pStyle w:val="TableContents"/>
              <w:bidi w:val="0"/>
              <w:spacing w:before="0" w:after="283"/>
              <w:jc w:val="right"/>
              <w:rPr/>
            </w:pPr>
            <w:r>
              <w:rPr/>
              <w:t>(550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526" w:type="dxa"/>
            <w:tcBorders>
              <w:bottom w:val="single" w:sz="12" w:space="0" w:color="000000"/>
            </w:tcBorders>
            <w:shd w:fill="CCEEFF" w:val="clear"/>
            <w:vAlign w:val="center"/>
          </w:tcPr>
          <w:p>
            <w:pPr>
              <w:pStyle w:val="TableContents"/>
              <w:bidi w:val="0"/>
              <w:spacing w:before="0" w:after="283"/>
              <w:jc w:val="right"/>
              <w:rPr/>
            </w:pPr>
            <w:r>
              <w:rPr/>
              <w:t>9,701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(10,251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(106</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819" w:type="dxa"/>
            <w:tcBorders/>
            <w:tcMar>
              <w:bottom w:w="0" w:type="dxa"/>
            </w:tcMar>
            <w:vAlign w:val="center"/>
          </w:tcPr>
          <w:p>
            <w:pPr>
              <w:pStyle w:val="TableContents"/>
              <w:bidi w:val="0"/>
              <w:spacing w:before="0" w:after="283"/>
              <w:jc w:val="left"/>
              <w:rPr/>
            </w:pPr>
            <w:r>
              <w:rPr/>
              <w:t>Loss from continuing operations before taxes</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(23,464</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82" w:type="dxa"/>
            <w:tcBorders/>
            <w:tcMar>
              <w:bottom w:w="0" w:type="dxa"/>
            </w:tcMar>
            <w:vAlign w:val="center"/>
          </w:tcPr>
          <w:p>
            <w:pPr>
              <w:pStyle w:val="TableContents"/>
              <w:bidi w:val="0"/>
              <w:spacing w:before="0" w:after="283"/>
              <w:jc w:val="left"/>
              <w:rPr/>
            </w:pPr>
            <w:r>
              <w:rPr/>
              <w:t> </w:t>
            </w:r>
          </w:p>
        </w:tc>
        <w:tc>
          <w:tcPr>
            <w:tcW w:w="1526" w:type="dxa"/>
            <w:tcBorders/>
            <w:tcMar>
              <w:bottom w:w="0" w:type="dxa"/>
            </w:tcMar>
            <w:vAlign w:val="center"/>
          </w:tcPr>
          <w:p>
            <w:pPr>
              <w:pStyle w:val="TableContents"/>
              <w:bidi w:val="0"/>
              <w:spacing w:before="0" w:after="283"/>
              <w:jc w:val="right"/>
              <w:rPr/>
            </w:pPr>
            <w:r>
              <w:rPr/>
              <w:t>(22,475</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(989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4</w:t>
            </w:r>
          </w:p>
        </w:tc>
        <w:tc>
          <w:tcPr>
            <w:tcW w:w="295" w:type="dxa"/>
            <w:tcBorders/>
            <w:tcMar>
              <w:bottom w:w="0" w:type="dxa"/>
            </w:tcMar>
            <w:vAlign w:val="center"/>
          </w:tcPr>
          <w:p>
            <w:pPr>
              <w:pStyle w:val="TableContents"/>
              <w:bidi w:val="0"/>
              <w:spacing w:before="0" w:after="283"/>
              <w:ind w:left="0" w:right="0" w:hanging="180"/>
              <w:jc w:val="left"/>
              <w:rPr/>
            </w:pPr>
            <w:r>
              <w:rPr/>
              <w:t>%</w:t>
            </w:r>
          </w:p>
        </w:tc>
      </w:tr>
      <w:tr>
        <w:trPr/>
        <w:tc>
          <w:tcPr>
            <w:tcW w:w="3819" w:type="dxa"/>
            <w:tcBorders/>
            <w:shd w:fill="CCEEFF" w:val="clear"/>
            <w:tcMar>
              <w:bottom w:w="0" w:type="dxa"/>
            </w:tcMar>
            <w:vAlign w:val="center"/>
          </w:tcPr>
          <w:p>
            <w:pPr>
              <w:pStyle w:val="TableContents"/>
              <w:bidi w:val="0"/>
              <w:spacing w:before="0" w:after="283"/>
              <w:jc w:val="left"/>
              <w:rPr/>
            </w:pPr>
            <w:r>
              <w:rPr/>
              <w:t>Income tax benefit (provision)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526" w:type="dxa"/>
            <w:tcBorders>
              <w:bottom w:val="single" w:sz="12" w:space="0" w:color="000000"/>
            </w:tcBorders>
            <w:shd w:fill="CCEEFF" w:val="clear"/>
            <w:vAlign w:val="center"/>
          </w:tcPr>
          <w:p>
            <w:pPr>
              <w:pStyle w:val="TableContents"/>
              <w:bidi w:val="0"/>
              <w:spacing w:before="0" w:after="283"/>
              <w:jc w:val="right"/>
              <w:rPr/>
            </w:pPr>
            <w:r>
              <w:rPr/>
              <w:t>(11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 w:type="dxa"/>
            <w:tcBorders>
              <w:bottom w:val="single" w:sz="12" w:space="0" w:color="000000"/>
            </w:tcBorders>
            <w:shd w:fill="CCEEFF" w:val="clear"/>
            <w:vAlign w:val="center"/>
          </w:tcPr>
          <w:p>
            <w:pPr>
              <w:pStyle w:val="TableContents"/>
              <w:bidi w:val="0"/>
              <w:spacing w:before="0" w:after="283"/>
              <w:jc w:val="left"/>
              <w:rPr/>
            </w:pPr>
            <w:r>
              <w:rPr/>
              <w:t> </w:t>
            </w:r>
          </w:p>
        </w:tc>
        <w:tc>
          <w:tcPr>
            <w:tcW w:w="1526" w:type="dxa"/>
            <w:tcBorders>
              <w:bottom w:val="single" w:sz="12" w:space="0" w:color="000000"/>
            </w:tcBorders>
            <w:shd w:fill="CCEEFF" w:val="cle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819" w:type="dxa"/>
            <w:tcBorders/>
            <w:tcMar>
              <w:bottom w:w="0" w:type="dxa"/>
            </w:tcMar>
            <w:vAlign w:val="center"/>
          </w:tcPr>
          <w:p>
            <w:pPr>
              <w:pStyle w:val="TableContents"/>
              <w:bidi w:val="0"/>
              <w:spacing w:before="0" w:after="283"/>
              <w:jc w:val="left"/>
              <w:rPr/>
            </w:pPr>
            <w:r>
              <w:rPr/>
              <w:t>Net loss from continuing operations</w:t>
            </w:r>
          </w:p>
        </w:tc>
        <w:tc>
          <w:tcPr>
            <w:tcW w:w="60" w:type="dxa"/>
            <w:tcBorders/>
            <w:tcMar>
              <w:bottom w:w="0" w:type="dxa"/>
            </w:tcMar>
            <w:vAlign w:val="center"/>
          </w:tcPr>
          <w:p>
            <w:pPr>
              <w:pStyle w:val="TableContents"/>
              <w:bidi w:val="0"/>
              <w:spacing w:before="0" w:after="283"/>
              <w:jc w:val="left"/>
              <w:rPr/>
            </w:pPr>
            <w:r>
              <w:rPr/>
              <w:t> </w:t>
            </w:r>
          </w:p>
        </w:tc>
        <w:tc>
          <w:tcPr>
            <w:tcW w:w="282" w:type="dxa"/>
            <w:tcBorders>
              <w:bottom w:val="double" w:sz="10" w:space="0" w:color="000000"/>
            </w:tcBorders>
            <w:vAlign w:val="center"/>
          </w:tcPr>
          <w:p>
            <w:pPr>
              <w:pStyle w:val="TableContents"/>
              <w:bidi w:val="0"/>
              <w:spacing w:before="0" w:after="283"/>
              <w:jc w:val="left"/>
              <w:rPr/>
            </w:pPr>
            <w:r>
              <w:rPr/>
              <w:t>$</w:t>
            </w:r>
          </w:p>
        </w:tc>
        <w:tc>
          <w:tcPr>
            <w:tcW w:w="1526" w:type="dxa"/>
            <w:tcBorders>
              <w:bottom w:val="double" w:sz="10" w:space="0" w:color="000000"/>
            </w:tcBorders>
            <w:vAlign w:val="center"/>
          </w:tcPr>
          <w:p>
            <w:pPr>
              <w:pStyle w:val="TableContents"/>
              <w:bidi w:val="0"/>
              <w:spacing w:before="0" w:after="283"/>
              <w:jc w:val="right"/>
              <w:rPr/>
            </w:pPr>
            <w:r>
              <w:rPr/>
              <w:t>(23,475</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82" w:type="dxa"/>
            <w:tcBorders>
              <w:bottom w:val="double" w:sz="10" w:space="0" w:color="000000"/>
            </w:tcBorders>
            <w:vAlign w:val="center"/>
          </w:tcPr>
          <w:p>
            <w:pPr>
              <w:pStyle w:val="TableContents"/>
              <w:bidi w:val="0"/>
              <w:spacing w:before="0" w:after="283"/>
              <w:jc w:val="left"/>
              <w:rPr/>
            </w:pPr>
            <w:r>
              <w:rPr/>
              <w:t>$</w:t>
            </w:r>
          </w:p>
        </w:tc>
        <w:tc>
          <w:tcPr>
            <w:tcW w:w="1526" w:type="dxa"/>
            <w:tcBorders>
              <w:bottom w:val="double" w:sz="10" w:space="0" w:color="000000"/>
            </w:tcBorders>
            <w:vAlign w:val="center"/>
          </w:tcPr>
          <w:p>
            <w:pPr>
              <w:pStyle w:val="TableContents"/>
              <w:bidi w:val="0"/>
              <w:spacing w:before="0" w:after="283"/>
              <w:jc w:val="right"/>
              <w:rPr/>
            </w:pPr>
            <w:r>
              <w:rPr/>
              <w:t>(22,475</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w:t>
            </w:r>
          </w:p>
        </w:tc>
        <w:tc>
          <w:tcPr>
            <w:tcW w:w="755" w:type="dxa"/>
            <w:tcBorders>
              <w:bottom w:val="double" w:sz="10" w:space="0" w:color="000000"/>
            </w:tcBorders>
            <w:vAlign w:val="center"/>
          </w:tcPr>
          <w:p>
            <w:pPr>
              <w:pStyle w:val="TableContents"/>
              <w:bidi w:val="0"/>
              <w:spacing w:before="0" w:after="283"/>
              <w:jc w:val="right"/>
              <w:rPr/>
            </w:pPr>
            <w:r>
              <w:rPr/>
              <w:t>(1,000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double" w:sz="10" w:space="0" w:color="000000"/>
            </w:tcBorders>
            <w:vAlign w:val="center"/>
          </w:tcPr>
          <w:p>
            <w:pPr>
              <w:pStyle w:val="TableContents"/>
              <w:bidi w:val="0"/>
              <w:spacing w:before="0" w:after="283"/>
              <w:jc w:val="left"/>
              <w:rPr/>
            </w:pPr>
            <w:r>
              <w:rPr/>
              <w:t> </w:t>
            </w:r>
          </w:p>
        </w:tc>
        <w:tc>
          <w:tcPr>
            <w:tcW w:w="721" w:type="dxa"/>
            <w:tcBorders>
              <w:bottom w:val="double" w:sz="10" w:space="0" w:color="000000"/>
            </w:tcBorders>
            <w:vAlign w:val="center"/>
          </w:tcPr>
          <w:p>
            <w:pPr>
              <w:pStyle w:val="TableContents"/>
              <w:bidi w:val="0"/>
              <w:spacing w:before="0" w:after="283"/>
              <w:jc w:val="right"/>
              <w:rPr/>
            </w:pPr>
            <w:r>
              <w:rPr/>
              <w:t>4</w:t>
            </w:r>
          </w:p>
        </w:tc>
        <w:tc>
          <w:tcPr>
            <w:tcW w:w="29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40"/>
        <w:gridCol w:w="225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stock-based compensation expense as follows (in thousands):</w:t>
            </w:r>
          </w:p>
        </w:tc>
      </w:tr>
    </w:tbl>
    <w:p>
      <w:pPr>
        <w:pStyle w:val="TextBody"/>
        <w:bidi w:val="0"/>
        <w:spacing w:before="0" w:after="0"/>
        <w:ind w:left="0" w:right="0" w:firstLine="36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6785"/>
        <w:gridCol w:w="60"/>
        <w:gridCol w:w="229"/>
        <w:gridCol w:w="916"/>
        <w:gridCol w:w="60"/>
        <w:gridCol w:w="60"/>
        <w:gridCol w:w="229"/>
        <w:gridCol w:w="916"/>
        <w:gridCol w:w="75"/>
      </w:tblGrid>
      <w:tr>
        <w:trPr/>
        <w:tc>
          <w:tcPr>
            <w:tcW w:w="6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Twenty-six</w:t>
              <w:br/>
              <w:t>Weeks</w:t>
              <w:br/>
              <w:t>Ended</w:t>
              <w:b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Twenty-six</w:t>
              <w:br/>
              <w:t>Weeks</w:t>
              <w:br/>
              <w:t>Ended</w:t>
              <w:br/>
              <w:t>July 2,</w:t>
              <w:br/>
              <w:t>2023</w:t>
            </w:r>
          </w:p>
        </w:tc>
        <w:tc>
          <w:tcPr>
            <w:tcW w:w="75" w:type="dxa"/>
            <w:tcBorders/>
            <w:vAlign w:val="center"/>
          </w:tcPr>
          <w:p>
            <w:pPr>
              <w:pStyle w:val="TableContents"/>
              <w:bidi w:val="0"/>
              <w:spacing w:before="0" w:after="283"/>
              <w:ind w:left="0" w:right="0" w:hanging="251"/>
              <w:jc w:val="left"/>
              <w:rPr/>
            </w:pPr>
            <w:r>
              <w:rPr/>
              <w:t> </w:t>
            </w:r>
          </w:p>
        </w:tc>
      </w:tr>
      <w:tr>
        <w:trPr/>
        <w:tc>
          <w:tcPr>
            <w:tcW w:w="678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31</w:t>
            </w:r>
          </w:p>
        </w:tc>
        <w:tc>
          <w:tcPr>
            <w:tcW w:w="75" w:type="dxa"/>
            <w:tcBorders/>
            <w:shd w:fill="CCEEFF" w:val="clear"/>
            <w:vAlign w:val="center"/>
          </w:tcPr>
          <w:p>
            <w:pPr>
              <w:pStyle w:val="TableContents"/>
              <w:bidi w:val="0"/>
              <w:spacing w:before="0" w:after="283"/>
              <w:ind w:left="0" w:right="0" w:hanging="251"/>
              <w:jc w:val="left"/>
              <w:rPr/>
            </w:pPr>
            <w:r>
              <w:rPr/>
              <w:t> </w:t>
            </w:r>
          </w:p>
        </w:tc>
      </w:tr>
      <w:tr>
        <w:trPr/>
        <w:tc>
          <w:tcPr>
            <w:tcW w:w="6785"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430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194</w:t>
            </w:r>
          </w:p>
        </w:tc>
        <w:tc>
          <w:tcPr>
            <w:tcW w:w="75" w:type="dxa"/>
            <w:tcBorders/>
            <w:vAlign w:val="center"/>
          </w:tcPr>
          <w:p>
            <w:pPr>
              <w:pStyle w:val="TableContents"/>
              <w:bidi w:val="0"/>
              <w:spacing w:before="0" w:after="283"/>
              <w:ind w:left="0" w:right="0" w:hanging="251"/>
              <w:jc w:val="left"/>
              <w:rPr/>
            </w:pPr>
            <w:r>
              <w:rPr/>
              <w:t> </w:t>
            </w:r>
          </w:p>
        </w:tc>
      </w:tr>
      <w:tr>
        <w:trPr/>
        <w:tc>
          <w:tcPr>
            <w:tcW w:w="67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2,084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517</w:t>
            </w:r>
          </w:p>
        </w:tc>
        <w:tc>
          <w:tcPr>
            <w:tcW w:w="75" w:type="dxa"/>
            <w:tcBorders/>
            <w:shd w:fill="CCEEFF" w:val="clear"/>
            <w:vAlign w:val="center"/>
          </w:tcPr>
          <w:p>
            <w:pPr>
              <w:pStyle w:val="TableContents"/>
              <w:bidi w:val="0"/>
              <w:spacing w:before="0" w:after="283"/>
              <w:ind w:left="0" w:right="0" w:hanging="251"/>
              <w:jc w:val="left"/>
              <w:rPr/>
            </w:pPr>
            <w:r>
              <w:rPr/>
              <w:t> </w:t>
            </w:r>
          </w:p>
        </w:tc>
      </w:tr>
      <w:tr>
        <w:trPr/>
        <w:tc>
          <w:tcPr>
            <w:tcW w:w="6785" w:type="dxa"/>
            <w:tcBorders/>
            <w:vAlign w:val="center"/>
          </w:tcPr>
          <w:p>
            <w:pPr>
              <w:pStyle w:val="TableContents"/>
              <w:bidi w:val="0"/>
              <w:spacing w:before="0" w:after="283"/>
              <w:jc w:val="left"/>
              <w:rPr/>
            </w:pPr>
            <w:r>
              <w:rPr/>
              <w:t>Stock-based compensation from continuing operations</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2,570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right"/>
              <w:rPr/>
            </w:pPr>
            <w:r>
              <w:rPr/>
              <w:t>742</w:t>
            </w:r>
          </w:p>
        </w:tc>
        <w:tc>
          <w:tcPr>
            <w:tcW w:w="75" w:type="dxa"/>
            <w:tcBorders/>
            <w:vAlign w:val="center"/>
          </w:tcPr>
          <w:p>
            <w:pPr>
              <w:pStyle w:val="TableContents"/>
              <w:bidi w:val="0"/>
              <w:spacing w:before="0" w:after="283"/>
              <w:ind w:left="0" w:right="0" w:hanging="251"/>
              <w:jc w:val="left"/>
              <w:rPr/>
            </w:pPr>
            <w:r>
              <w:rPr/>
              <w:t> </w:t>
            </w:r>
          </w:p>
        </w:tc>
      </w:tr>
      <w:tr>
        <w:trPr/>
        <w:tc>
          <w:tcPr>
            <w:tcW w:w="6785" w:type="dxa"/>
            <w:tcBorders/>
            <w:shd w:fill="CCEEFF" w:val="clear"/>
            <w:vAlign w:val="center"/>
          </w:tcPr>
          <w:p>
            <w:pPr>
              <w:pStyle w:val="TableContents"/>
              <w:bidi w:val="0"/>
              <w:spacing w:before="0" w:after="283"/>
              <w:jc w:val="left"/>
              <w:rPr/>
            </w:pPr>
            <w:r>
              <w:rPr/>
              <w:t>Stock-based compensation expense included in discontinued operations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pPr>
            <w:r>
              <w:rPr/>
              <w:t>1,300</w:t>
            </w:r>
          </w:p>
        </w:tc>
        <w:tc>
          <w:tcPr>
            <w:tcW w:w="75" w:type="dxa"/>
            <w:tcBorders/>
            <w:shd w:fill="CCEEFF" w:val="clear"/>
            <w:vAlign w:val="center"/>
          </w:tcPr>
          <w:p>
            <w:pPr>
              <w:pStyle w:val="TableContents"/>
              <w:bidi w:val="0"/>
              <w:spacing w:before="0" w:after="283"/>
              <w:ind w:left="0" w:right="0" w:hanging="251"/>
              <w:jc w:val="left"/>
              <w:rPr/>
            </w:pPr>
            <w:r>
              <w:rPr/>
              <w:t> </w:t>
            </w:r>
          </w:p>
        </w:tc>
      </w:tr>
      <w:tr>
        <w:trPr/>
        <w:tc>
          <w:tcPr>
            <w:tcW w:w="6785" w:type="dxa"/>
            <w:tcBorders/>
            <w:vAlign w:val="center"/>
          </w:tcPr>
          <w:p>
            <w:pPr>
              <w:pStyle w:val="TableContents"/>
              <w:bidi w:val="0"/>
              <w:spacing w:before="0" w:after="283"/>
              <w:jc w:val="left"/>
              <w:rPr/>
            </w:pPr>
            <w:r>
              <w:rPr/>
              <w:t>Total stock-based compensation expense</w:t>
            </w:r>
          </w:p>
        </w:tc>
        <w:tc>
          <w:tcPr>
            <w:tcW w:w="60" w:type="dxa"/>
            <w:tcBorders/>
            <w:vAlign w:val="center"/>
          </w:tcPr>
          <w:p>
            <w:pPr>
              <w:pStyle w:val="TableContents"/>
              <w:bidi w:val="0"/>
              <w:spacing w:before="0" w:after="283"/>
              <w:jc w:val="left"/>
              <w:rPr/>
            </w:pPr>
            <w:r>
              <w:rPr/>
              <w:t> </w:t>
            </w:r>
          </w:p>
        </w:tc>
        <w:tc>
          <w:tcPr>
            <w:tcW w:w="229" w:type="dxa"/>
            <w:tcBorders>
              <w:bottom w:val="double" w:sz="10" w:space="0" w:color="000000"/>
            </w:tcBorders>
            <w:tcMar>
              <w:bottom w:w="28" w:type="dxa"/>
            </w:tcMar>
            <w:vAlign w:val="center"/>
          </w:tcPr>
          <w:p>
            <w:pPr>
              <w:pStyle w:val="TableContents"/>
              <w:bidi w:val="0"/>
              <w:spacing w:before="0" w:after="283"/>
              <w:jc w:val="left"/>
              <w:rPr/>
            </w:pPr>
            <w:r>
              <w:rPr/>
              <w:t>$</w:t>
            </w:r>
          </w:p>
        </w:tc>
        <w:tc>
          <w:tcPr>
            <w:tcW w:w="916" w:type="dxa"/>
            <w:tcBorders>
              <w:bottom w:val="double" w:sz="10" w:space="0" w:color="000000"/>
            </w:tcBorders>
            <w:tcMar>
              <w:bottom w:w="28" w:type="dxa"/>
            </w:tcMar>
            <w:vAlign w:val="center"/>
          </w:tcPr>
          <w:p>
            <w:pPr>
              <w:pStyle w:val="TableContents"/>
              <w:bidi w:val="0"/>
              <w:spacing w:before="0" w:after="283"/>
              <w:jc w:val="right"/>
              <w:rPr/>
            </w:pPr>
            <w:r>
              <w:rPr/>
              <w:t>2,570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bottom w:val="double" w:sz="10" w:space="0" w:color="000000"/>
            </w:tcBorders>
            <w:tcMar>
              <w:bottom w:w="28" w:type="dxa"/>
            </w:tcMar>
            <w:vAlign w:val="center"/>
          </w:tcPr>
          <w:p>
            <w:pPr>
              <w:pStyle w:val="TableContents"/>
              <w:bidi w:val="0"/>
              <w:spacing w:before="0" w:after="283"/>
              <w:jc w:val="left"/>
              <w:rPr/>
            </w:pPr>
            <w:r>
              <w:rPr/>
              <w:t>$</w:t>
            </w:r>
          </w:p>
        </w:tc>
        <w:tc>
          <w:tcPr>
            <w:tcW w:w="916" w:type="dxa"/>
            <w:tcBorders>
              <w:bottom w:val="double" w:sz="10" w:space="0" w:color="000000"/>
            </w:tcBorders>
            <w:tcMar>
              <w:bottom w:w="28" w:type="dxa"/>
            </w:tcMar>
            <w:vAlign w:val="center"/>
          </w:tcPr>
          <w:p>
            <w:pPr>
              <w:pStyle w:val="TableContents"/>
              <w:bidi w:val="0"/>
              <w:spacing w:before="0" w:after="283"/>
              <w:jc w:val="right"/>
              <w:rPr/>
            </w:pPr>
            <w:r>
              <w:rPr/>
              <w:t>2,042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osition w:val="7"/>
                <w:sz w:val="16"/>
                <w:sz w:val="20"/>
              </w:rPr>
            </w:pPr>
            <w:r>
              <w:rPr>
                <w:position w:val="7"/>
                <w:sz w:val="16"/>
                <w:sz w:val="20"/>
              </w:rPr>
              <w:t>(2)</w:t>
            </w:r>
          </w:p>
        </w:tc>
        <w:tc>
          <w:tcPr>
            <w:tcW w:w="9974" w:type="dxa"/>
            <w:tcBorders/>
            <w:vAlign w:val="center"/>
          </w:tcPr>
          <w:p>
            <w:pPr>
              <w:pStyle w:val="TableContents"/>
              <w:bidi w:val="0"/>
              <w:spacing w:before="0" w:after="283"/>
              <w:jc w:val="both"/>
              <w:rPr>
                <w:sz w:val="20"/>
              </w:rPr>
            </w:pPr>
            <w:r>
              <w:rPr>
                <w:sz w:val="20"/>
              </w:rPr>
              <w:t>Includes interest expense to related party of $0.4 million and $0.4 million during the twenty-six weeks ended June 30, 2024 and July 2, 2023,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osition w:val="7"/>
                <w:sz w:val="16"/>
                <w:sz w:val="20"/>
              </w:rPr>
            </w:pPr>
            <w:r>
              <w:rPr>
                <w:position w:val="7"/>
                <w:sz w:val="16"/>
                <w:sz w:val="20"/>
              </w:rPr>
              <w:t>(3)</w:t>
            </w:r>
          </w:p>
        </w:tc>
        <w:tc>
          <w:tcPr>
            <w:tcW w:w="9968" w:type="dxa"/>
            <w:tcBorders/>
            <w:vAlign w:val="center"/>
          </w:tcPr>
          <w:p>
            <w:pPr>
              <w:pStyle w:val="TableContents"/>
              <w:bidi w:val="0"/>
              <w:spacing w:before="0" w:after="283"/>
              <w:jc w:val="both"/>
              <w:rPr>
                <w:sz w:val="20"/>
              </w:rPr>
            </w:pPr>
            <w:r>
              <w:rPr>
                <w:sz w:val="20"/>
              </w:rPr>
              <w:t>Includes expense from related parties of $2.4 million and zero for the twenty-six weeks ended June 30, 2024 and July 2, 2023,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disaggregate our revenues based on the following types of services (in thousands):</w:t>
      </w:r>
    </w:p>
    <w:p>
      <w:pPr>
        <w:pStyle w:val="TextBody"/>
        <w:bidi w:val="0"/>
        <w:spacing w:before="0" w:after="0"/>
        <w:ind w:left="0" w:right="0" w:firstLine="72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3110"/>
        <w:gridCol w:w="60"/>
        <w:gridCol w:w="203"/>
        <w:gridCol w:w="987"/>
        <w:gridCol w:w="60"/>
        <w:gridCol w:w="60"/>
        <w:gridCol w:w="203"/>
        <w:gridCol w:w="987"/>
        <w:gridCol w:w="60"/>
        <w:gridCol w:w="60"/>
        <w:gridCol w:w="140"/>
        <w:gridCol w:w="755"/>
        <w:gridCol w:w="95"/>
        <w:gridCol w:w="60"/>
        <w:gridCol w:w="123"/>
        <w:gridCol w:w="692"/>
        <w:gridCol w:w="305"/>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Twenty-Six</w:t>
              <w:br/>
              <w:t>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Twenty-Six</w:t>
              <w:br/>
              <w:t>Weeks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0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Solar energy system installations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14,396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40,596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(65</w:t>
            </w:r>
          </w:p>
        </w:tc>
        <w:tc>
          <w:tcPr>
            <w:tcW w:w="305"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left"/>
              <w:rPr/>
            </w:pPr>
            <w:r>
              <w:rPr/>
              <w:t>Software enhanced services</w:t>
            </w:r>
          </w:p>
        </w:tc>
        <w:tc>
          <w:tcPr>
            <w:tcW w:w="60" w:type="dxa"/>
            <w:tcBorders/>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tcMar>
              <w:bottom w:w="28" w:type="dxa"/>
            </w:tcMar>
            <w:vAlign w:val="center"/>
          </w:tcPr>
          <w:p>
            <w:pPr>
              <w:pStyle w:val="TableContents"/>
              <w:bidi w:val="0"/>
              <w:spacing w:before="0" w:after="283"/>
              <w:jc w:val="right"/>
              <w:rPr/>
            </w:pPr>
            <w:r>
              <w:rPr/>
              <w:t>136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tcMar>
              <w:bottom w:w="28" w:type="dxa"/>
            </w:tcMar>
            <w:vAlign w:val="center"/>
          </w:tcPr>
          <w:p>
            <w:pPr>
              <w:pStyle w:val="TableContents"/>
              <w:bidi w:val="0"/>
              <w:spacing w:before="0" w:after="283"/>
              <w:jc w:val="right"/>
              <w:rPr/>
            </w:pPr>
            <w:r>
              <w:rPr/>
              <w:t>1,701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(1,565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692" w:type="dxa"/>
            <w:tcBorders>
              <w:bottom w:val="single" w:sz="12" w:space="0" w:color="000000"/>
            </w:tcBorders>
            <w:tcMar>
              <w:bottom w:w="28" w:type="dxa"/>
            </w:tcMar>
            <w:vAlign w:val="center"/>
          </w:tcPr>
          <w:p>
            <w:pPr>
              <w:pStyle w:val="TableContents"/>
              <w:bidi w:val="0"/>
              <w:spacing w:before="0" w:after="283"/>
              <w:jc w:val="right"/>
              <w:rPr/>
            </w:pPr>
            <w:r>
              <w:rPr/>
              <w:t>(92</w:t>
            </w:r>
          </w:p>
        </w:tc>
        <w:tc>
          <w:tcPr>
            <w:tcW w:w="305"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CCEEFF" w:val="clear"/>
            <w:tcMar>
              <w:bottom w:w="28" w:type="dxa"/>
            </w:tcMar>
            <w:vAlign w:val="center"/>
          </w:tcPr>
          <w:p>
            <w:pPr>
              <w:pStyle w:val="TableContents"/>
              <w:bidi w:val="0"/>
              <w:spacing w:before="0" w:after="283"/>
              <w:jc w:val="right"/>
              <w:rPr/>
            </w:pPr>
            <w:r>
              <w:rPr/>
              <w:t>14,532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CCEEFF" w:val="clear"/>
            <w:tcMar>
              <w:bottom w:w="28" w:type="dxa"/>
            </w:tcMar>
            <w:vAlign w:val="center"/>
          </w:tcPr>
          <w:p>
            <w:pPr>
              <w:pStyle w:val="TableContents"/>
              <w:bidi w:val="0"/>
              <w:spacing w:before="0" w:after="283"/>
              <w:jc w:val="right"/>
              <w:rPr/>
            </w:pPr>
            <w:r>
              <w:rPr/>
              <w:t>42,297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(27,765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double" w:sz="10" w:space="0" w:color="000000"/>
            </w:tcBorders>
            <w:shd w:fill="CCEEFF" w:val="clear"/>
            <w:tcMar>
              <w:bottom w:w="28" w:type="dxa"/>
            </w:tcMar>
            <w:vAlign w:val="center"/>
          </w:tcPr>
          <w:p>
            <w:pPr>
              <w:pStyle w:val="TableContents"/>
              <w:bidi w:val="0"/>
              <w:spacing w:before="0" w:after="283"/>
              <w:jc w:val="right"/>
              <w:rPr/>
            </w:pPr>
            <w:r>
              <w:rPr/>
              <w:t>(66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solar energy system installations for the twenty-six weeks ended June 30, 2024 was $14.4 million compared to $40.6 million for the twenty-six weeks ended July 2, 2023. The decrease in solar energy system installation revenues of $26.2 million was primarily due to a decrease in the volume of solar energy system installations.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software enhanced services for the twenty-six weeks ended June 30, 2024 was $0.1 million compared to $1.7 million for the twenty-six weeks ended July 2, 2023. The decrease was the result of a shift in focus towards solar energy installations.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twenty-six weeks ended June 30, 2024 was $13.1 million compared to $33.4 million for the twenty-six weeks ended July 2, 2023. The decrease in cost of revenues of $20.3 million, or 61%, was primarily due to the decrease in revenue of 66% and emphasis on managing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twenty-six weeks ended June 30, 2024 was 10% compared to 21% for the twenty-six weeks ended July 2, 2023. The decrease in gross margin was principally attributable to a decrease in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for the twenty-six weeks ended June 30, 2024 was $4.4 million compared to $14.5 million for the twenty-six weeks ended July 2, 2023. The decrease of $10.0 million, or 69%, was primarily due to the decrease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for the twenty-six weeks ended June 30, 2024 was $2.7 million compared to $3.0 million for the twenty-six weeks ended July 2, 2023. The decrease is attributable to a decrease in the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for the twenty-six weeks ended June 30, 2024 was $11.3 million compared to $16.6 million for the twenty-six weeks ended July 2, 2023. The decrease was primarily attributed to a decrease in workforce and reductions in legal expenses incurred through negotiations of final payments with law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$5.9 million for the twenty-six weeks ended June 30, 2024 compared to $7.0 million for the twenty-six weeks ended July 2, 2023. Interest expense attributable to our Secured Credit Facility decreased $2.1 million and interest on convertible notes decreased $0.7 million. These decreases were partially offset by a $1.7 increase in interest expense attributable to the debt in CS Solis.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twenty-six weeks ended June 30, 2024 decreased by 10.3 million compared to the twenty-six weeks ended July 2, 2023. Other income, net in the twenty-six weeks ended June 30, 2024 was expense of $0.6 million. We incurred expenses of $2.8 million relating to changes in the fair value of our forward purchase agreement and $1.3 million loss incurred on the conversion of two SAFE Agreements to shares of our common stock and $0.4 million of other expenses. These expenses were partially offset by $3.9 million of income arising from changes in the fair value of warrants issued for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twenty-six weeks ended July 2, 2023 was income of $9.7 million and was comprised of a $9.4 million change in the fair value of liability-classified warrants and $0.3 million of net 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from continuing operations for the twenty-six-weeks ended June 30, 2024 was $23.5 million, an increase of $1.0 million, as compared to a net loss from continuing operations of $22.5 million for the twenty-six-weeks ended July 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 loss of $2.0 million and $12.5 million in the twenty-six weeks ended June 30, 2024 and July 2, 2023, respectively, relating to the divestiture of our solar panel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a net loss from continuing operations of $13.9 million and $23.5 million during the thirteen and twenty-six weeks ended June 30, 2024, respectively, and had an accumulated deficit of $380.4 million and current debt of $67.5 million as of June 30, 2024. We had cash and cash equivalents of $1.8 million as of June 30, 2024, which were held for working capital expenditures. We believe our operating losses and negative operating cash flows will continue into the foreseeable future. We have financed our operations primarily through sales of equity securities, issuances of convertible notes and other convertible securities and cash generated from operations. Our cash equivalents are on deposit with major financial institutions. Our cash position raises substantial doubt regarding our ability to continue as a going concern for 12 months following the issuance of these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the proceeds from any cash exercise of warrants for shares of our common stock. The aggregate amount of proceeds could be up to $252.2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Mergers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August 13, 2024, the price of our common stock was $1.60 per share. The weighted average exercise price of the warrants was $7.80 as of June 30, 2024.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The Solaria Corporation issued senior subordinated convertible secured notes (“2018 Notes”) totaling approximately $3.4 million in exchange for cash. The 2018 Notes bear interest at the rate of 8% per annum and the investors are entitled to receive twice the face value of the 2018 Notes at maturity. In 2021, the 2018 Notes were amended extending the maturity date to December 13, 2022. In connection with the 2021 amendment, Solaria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The 2018 Notes are secured by substantially all of the assets of Complete Solaria.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entered into an amendment to the 2018 Notes extending the maturity date from December 13, 2022 to December 13, 2023, and the 2018 Notes remain outstanding as of June 30, 2024. In connection with the amendment, the 2018 Notes will continue to bear interest at 8% per annum and are entitled to an increased repayment premium from 110% to 120% of the principal and accrued interest at the time of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concluded that the amendment represented was a troubled debt restructuring as we were experiencing financial difficulty, and the amended terms resulted in a concession to us. As the future undiscounted cash payments under the modified terms exceeded the carrying amount of the 2018 Notes on the date of modification, the modification was accounted for prospectively. The incremental repayment premium is being amortized to interest expense using the effective interest rate method. As of June 30, 2024 and December 31, 2023, the carrying value of the 2018 Notes was $11.7 million and $11.0 million, respectively. Interest expense recognized for the thirteen and twenty-six weeks ended June 30, 2024 was $0.4 million and $0.7 million, respectively. The terms of the 2018 Notes are currently being renegotiated.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Revolver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Solaria entered into a loan agreement (“Loan Agreement”) with Structural Capital Investments III, LP (“SCI”). The Loan Agreement with SCI is comprised of two facilities, a term loan (the “Term Loan”) and a revolving loan (the “Revolving Loan”) for $5.0 million each with a maturity date of October 31, 2023. Both the Term Loan and the Revolving Loan were fully drawn upon closing. The Term Loan was repaid prior to the acquisition of Solaria by Complete Solar and was not included in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has a term of thirty-six months, with the principal due at the end of the term and an annual interest rate of 7.75% or Prime rate plus 4.5%, whichever is higher. Interest expense recognized for the thirteen and twenty-six weeks ended June 30, 2024 was $0.2 million and $0.4 million, respectively. In October 2023, the Company entered into an Assignment and Acceptance Agreement whereby Structural Capital Investments III, LP assigned the SCI debt to Kline Hill Partners Fund LP, Kline Hill Partners IV SPV LLC, Kline Hill Partners Opportunity IV SPV LLC, and Rodgers Massey Revocable Living Trust for a total purchase price of $5.0 million. The SCI Revolving Loan was outstanding as of June 30, 2024 and was subsequently exchanged for equity securities and other consideration on July 1, 2024 as described in Note 20 – Subsequent Events of the notes to the condensed consolidated financial statements included in Part I, Item 1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entered into a secured credit facility agreement with Kline Hill Partners IV SPV LLC and Kline Hill Partners Opportunity IV SPV LLC (“Secured Credit Facility”). The Secured Credit Facility agreement allows us to borrow up to 70% of the net amount of our eligible vendor purchase orders with a maximum amount of $10.0 million at any point in time. The purchase orders are backed by relevant customer sales orders which serve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We may prepay any borrowed amount without premium or penalty. Under the original terms, the Secured Credit Facility agreement was due to mature in April 2023. We are in the process of amending the secured credit facility agreement to extend its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outstanding net debt amounted to $13.1 million, including accrued financing cost of $5.5 million, and as of December 31, 2023, the balance outstanding was $12.2 million, including accrued financing cost of $4.5 million. We recognized interest expense of $0.4 million and $1.0 million related to the Secured Credit Facility during the thirteen weeks and twenty-six weeks ended June 30,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Revolver Loan and Secured Credit Facility Cancellation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2024, we entered into a common stock purchase agreement (the “Common Stock Purchase Agreement”) with Kline Hill providing for (a) the cancellation of all indebtedness owed to Kline Hill by us, termination of all debt instruments by and between us and Kline Hill, and the satisfaction of all obligations owed to Kline Hill by us under the terminated debt instruments, (b) the issuance of 9,800,000 shares of our common stock to Kline Hill, (c) the issuance of warrants (the “Kline Hill Warrants” and the shares issuable therefrom, the “Warrant Shares”) to Kline Hill to purchase up to 3,700,000 shares of the our common stock, with an exercise price per share of $0.62 (the closing price per share of the our common stock as reported on the Nasdaq Capital Market of the date of the Agreement), and (d) a one-time $3,750,000 cash payment to Kline Hill upon the earlier of (i) us achieving $100,000,000 of trailing twelve month revenue, or (ii) us achieving $10,000,000 of trailing twelve month EBITDA. The Kline Hill Warrants will be sold to Kline Hill at a price of $0.125 per Warrant Share. The closing of the foregoing transactions will occur when the following conditions are met: Carlyle executes an agreement to cancel all debt owed to Carlyle by us, and all debt owed to Carlyle and its affiliates by the Company is no longer outstanding. As of June 30, 2024, the Carlyle debt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CS Solis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we received cash and recorded a liability for an investment by Carlyle into the Company. The investment was made pursuant to a subscription agreement, under which Carlyle contributed $25.6 million in exchange for 100 Class B Membership Units of CS Solis. The Class B Membership Units are mandatorily redeemable by us on the three-year anniversary of the effective date of the CS Solis amended and restated LLC agreement. The Class B Membership Units accrue interest that is payable upon redemption at a rate of 10.5% which is accrued as an unpaid dividend, compounded annually, and subject to increases in the event we declare any dividends. In July 2023, we amended the debt of with Carlyle as part of the closing of the Mergers. The modification did not change the interest rate. The modification accelerated the redemption date of the investment from February 15, 2025 to March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December 31, 2023, we have recorded a liability of $37.2 million and $33.3 million, respectively, included in short-term debt in CS Solis on our unaudited condensed consolidated balance sheets. For the thirteen and twenty-six weeks ended June 30, 2024, we have recorded accretion of the liability as interest expense of $1.3 million and $3.9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Inc. entered into FPAs with each of (i) Meteora; (ii) Polar, and (iii) Sandia (each individually, a “Seller”, and together, the “FPA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forward contracts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over 15 scheduled trading days. The magnitude of the settlement is based on the Settlement Amount, an amount equal to the product of: (1) Number of shares issued to the FPA Seller pursuant to the FPA, less the number of Terminated Shares multiplied by (2) the VWAP over the valuation period. The Settlement amount will be reduced by the Settlement Adjustment, an amount equal to the product of (1) Number of shares in the Pricing Date Notice, less the number of Terminated Shares multiplied by $2.00.</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is less than the then applicable Reset Price.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 We accounted for the contingent obligation to issue shares in accordance with ASC 815, Derivatives and Hedging, and recorded a liability and other (expense) income, net based on the fair value upon of the obligation upon the signing of the FPAs. The liability was extinguished in July 2023 upon the issuance of Complete Solaria Common Stock to the FPA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accordance with ASC 480, Distinguishing Liabilities from Equity, we have has determined that the forward contracts are financial instruments other than shares that represent or are indexed to obligations to repurchase the issuer’s equity shares by transferring assets, referred to herein as the “forward purchase liability” on its consolidated balance sheets. We initially measured the forward purchase liability at fair value and have subsequently remeasured it at fair value with changes in fair value recognized in earnings.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date of issuance of the Complete Solaria Common Stock in satisfaction of our obligation to issue shares around the closing of the Mergers, we recorded $35.5 million to other (expense) income, net associated with the issuance of 6,720,000 shares of Complete Solaria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of the Mergers and issuance of the Complete Solaria Common Stock underlying the FPAs, the fair value of the prepaid FPAs was an asset balance of $0.1 million and was recorded on our unaudited condensed consolidated balance sheets and within other (expense) income, net on the unaudited condensed consolidated statements of operations and comprehensive loss. Subsequently, the change of fair value of the forward purchase liabilities amounted to income of $2.8 million for the thirteen weeks ended June 30, 2024, and expense of $2.8 million for the twenty-six weeks ended June 30, 2024, respectively. As of June 30, 2024, and December 31, 2023, the forward purchase liabilities amounted to $6.7 million and $3.8 million, respectively. Of the balances as of June 30, 2024 and December 31, 2023, $5.6 million and $3.2 million, respectively, are due to related parties. Refer to Note 19 – Related Party Transactions in our unaudited condensed consolidated financial statements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and the FPA Sellers entered into separate amendments to the FPAs (the “Amendments”). The Amendments lower the reset floor price of each FPA from $5.00 to $3.00 and allow us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and 8, 2024, respectively, we entered into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we entered into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 Execution of the Sandia Third Amendment was conditioned on both Carlyle and Kline Hill consummating the terms of the Debt-Equity Swap as discussed in Note 20 – Subsequent Events of the notes to our unaudited condensed consolidated financial statements. In the event either Polar or Meteora amend their FPAs to include different terms from the $1.00 per share reset price and VWAP trigger adjustment, or file a notice of a VWAP trigger event, the Sandia FPA will be retroactively amended to reflect those improved terms and liquidity on their entire FPA, including any of the 1,050,000 shares that are sold upon execution of Sandia Third Amendment. For further details relating to certain amendments to the FPAs subsequent to June 30, 2024, refer to Note 20 – Subsequent Events of the notes to the condensed consolidated financial statements included in Part I, Item 1 of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a simple agreement for future equity (the “First SAFE”) with the Rodgers Massey Freedom and Free Markets Charitable Trust (the “Purchaser”) in connection with the Purchaser investing $1.5 million in the Company. The First SAFE was initially convertible into shares of our common stock, par value $0.0001 per share, upon the initial closing of a bona fide transaction or series of transactions with the principal purpose of raising capital, pursuant to which we have issued and sold common stock at a fixed valuation (an “Equity Financing”), at a per share conversion price which was equal to the lower of (i)(a) $53.54 million divided by (b) our capitalization immediately prior to such Equity Financing (such conversion price, the “SAFE Price”), and (ii) 80% of the price per share of our common stock sold in the Equity Financing. If we consummated a change of control prior to the termination of the First SAFE, the Purchaser will would have been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we entered into a simple agreement for future equity (the “Second SAFE” and together with the First SAFE, the “SAFEs”) with the Purchaser in connection with the Purchaser investing $3.5 million in the Company. The Second SAFE was initially convertible into shares of our common stock upon the initial closing of an Equity Financing at a per share conversion price which was equal to the lower of (i) the SAFE Price, and (ii) 80% of the price per share of our common stock sold in the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price of the Common Stock on February 15, 2024, multiplied by (ii) 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we entered into an amendment for each of our First SAFE and Second SAFE to convert the invested amounts into shares of our common stock. The conversion share price was $0.36, calculated as the product of (i) $0.45, the closing price of our common stock on April 19, 2024, multiplied by (ii) 80%. The First SAFE and Second SAFE converted into 4,166,667 and 9,722,222 shares of our common stock,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Twenty-Six Weeks Ended June 30, 2024 and July 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Complete Solaria’s cash flows from operating, investing, and financing activities for the twenty-six weeks ended June 30, 2024 and July 2, 2023 (in thousands):</w:t>
      </w:r>
    </w:p>
    <w:p>
      <w:pPr>
        <w:pStyle w:val="TextBody"/>
        <w:bidi w:val="0"/>
        <w:spacing w:before="0" w:after="0"/>
        <w:ind w:left="0" w:right="0" w:firstLine="720"/>
        <w:jc w:val="both"/>
        <w:rPr>
          <w:caps w:val="false"/>
          <w:smallCaps w:val="false"/>
        </w:rPr>
      </w:pPr>
      <w:r>
        <w:rPr>
          <w:caps w:val="false"/>
          <w:smallCaps w:val="false"/>
        </w:rPr>
        <w:t> </w:t>
      </w:r>
    </w:p>
    <w:tbl>
      <w:tblPr>
        <w:tblW w:w="9523" w:type="dxa"/>
        <w:jc w:val="left"/>
        <w:tblInd w:w="0" w:type="dxa"/>
        <w:tblLayout w:type="fixed"/>
        <w:tblCellMar>
          <w:top w:w="0" w:type="dxa"/>
          <w:left w:w="0" w:type="dxa"/>
          <w:bottom w:w="0" w:type="dxa"/>
          <w:right w:w="0" w:type="dxa"/>
        </w:tblCellMar>
      </w:tblPr>
      <w:tblGrid>
        <w:gridCol w:w="6695"/>
        <w:gridCol w:w="60"/>
        <w:gridCol w:w="204"/>
        <w:gridCol w:w="925"/>
        <w:gridCol w:w="138"/>
        <w:gridCol w:w="87"/>
        <w:gridCol w:w="204"/>
        <w:gridCol w:w="1100"/>
        <w:gridCol w:w="110"/>
      </w:tblGrid>
      <w:tr>
        <w:trPr/>
        <w:tc>
          <w:tcPr>
            <w:tcW w:w="6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Twenty-Six Weeks Ended</w:t>
            </w:r>
          </w:p>
        </w:tc>
        <w:tc>
          <w:tcPr>
            <w:tcW w:w="11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2024</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w:t>
              <w:br/>
              <w:t>2023</w:t>
            </w:r>
          </w:p>
        </w:tc>
        <w:tc>
          <w:tcPr>
            <w:tcW w:w="11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Net cash used in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(7,637</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(27,783</w:t>
            </w:r>
          </w:p>
        </w:tc>
        <w:tc>
          <w:tcPr>
            <w:tcW w:w="110" w:type="dxa"/>
            <w:tcBorders/>
            <w:shd w:fill="CCEEFF" w:val="clear"/>
            <w:vAlign w:val="center"/>
          </w:tcPr>
          <w:p>
            <w:pPr>
              <w:pStyle w:val="TableContents"/>
              <w:bidi w:val="0"/>
              <w:spacing w:before="0" w:after="283"/>
              <w:jc w:val="left"/>
              <w:rPr/>
            </w:pPr>
            <w:r>
              <w:rPr/>
              <w:t>)</w:t>
            </w:r>
          </w:p>
        </w:tc>
      </w:tr>
      <w:tr>
        <w:trPr/>
        <w:tc>
          <w:tcPr>
            <w:tcW w:w="6695" w:type="dxa"/>
            <w:tcBorders/>
            <w:vAlign w:val="center"/>
          </w:tcPr>
          <w:p>
            <w:pPr>
              <w:pStyle w:val="TableContents"/>
              <w:bidi w:val="0"/>
              <w:spacing w:before="0" w:after="283"/>
              <w:jc w:val="left"/>
              <w:rPr/>
            </w:pPr>
            <w:r>
              <w:rPr/>
              <w:t>Net cash provided by operating activities from discontinued operations</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963</w:t>
            </w:r>
          </w:p>
        </w:tc>
        <w:tc>
          <w:tcPr>
            <w:tcW w:w="11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Net cash used in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(883</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(1,004</w:t>
            </w:r>
          </w:p>
        </w:tc>
        <w:tc>
          <w:tcPr>
            <w:tcW w:w="110" w:type="dxa"/>
            <w:tcBorders/>
            <w:shd w:fill="CCEEFF" w:val="clear"/>
            <w:vAlign w:val="center"/>
          </w:tcPr>
          <w:p>
            <w:pPr>
              <w:pStyle w:val="TableContents"/>
              <w:bidi w:val="0"/>
              <w:spacing w:before="0" w:after="283"/>
              <w:jc w:val="left"/>
              <w:rPr/>
            </w:pPr>
            <w:r>
              <w:rPr/>
              <w:t>)</w:t>
            </w:r>
          </w:p>
        </w:tc>
      </w:tr>
      <w:tr>
        <w:trPr/>
        <w:tc>
          <w:tcPr>
            <w:tcW w:w="6695" w:type="dxa"/>
            <w:tcBorders/>
            <w:vAlign w:val="center"/>
          </w:tcPr>
          <w:p>
            <w:pPr>
              <w:pStyle w:val="TableContents"/>
              <w:bidi w:val="0"/>
              <w:spacing w:before="0" w:after="283"/>
              <w:jc w:val="left"/>
              <w:rPr/>
            </w:pPr>
            <w:r>
              <w:rPr/>
              <w:t>Net cash provided by financing activities from continuing operations</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7,760</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25,806</w:t>
            </w:r>
          </w:p>
        </w:tc>
        <w:tc>
          <w:tcPr>
            <w:tcW w:w="11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(739</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$7.6 million for the twenty-six weeks ended June 30, 2024 was primarily due to the net loss from continuing operations, net of tax of $23.5 million partially offset by non-cash charges of $12.3 million and net cash inflows of $3.6 million from changes in our operating assets and liabilities. Non-cash charges in our operating results consisted of $1.6 million of non-cash expense in connection with warrants issued for vendor services, a $2.8 million adjustment to our forward purchase agreement liabilities, $2.6 million stock-based compensation expense, $3.9 in million accretion of interest attributable to the CS Solis Debt, $2.0 million of other non-cash interest, $1.3 million loss arising from the loss on conversion of two SAFE Agreements to shares of our common stock, $0.7 million of depreciation and amortization, $0.3 million of non-cash lease costs, and $0.9 million of provision for credit losses, partially offset by $2.6 million of income from the change in the fair value of our warrant liabilities and a $1.2 million decrease in our reserve for excess and obsolete inventory. The main drivers of net cash inflows derived from the changes in operating assets and liabilities were related to a decrease in accounts receivable, net of $12.4 million and a decrease in inventories of $2.3 million, partially offset by an increase in prepaid and other current assets of $1.4 million, a decrease in accounts payable of $2.1 million, a decrease in accrued expenses and other liabilities of $6.1 million, a decrease in operating lease liabilities of $0.3 million and a decrease in deferred revenue of $1.2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$27.8 million for the twenty-six weeks ended July 2, 2023 was primarily due to the net loss from continuing operations, net of tax of $22.5 million and net cash outflows of $5.3 million arising from $8.8 million in changes in operating assets and liabilities adjusted for non-cash charges of $3.5 million. The main drivers of net cash outflows derived from the changes in operating assets and liabilities were related to an increase in accounts receivable, net of $8.0 million, an increase in prepaid and other current assets of $2.7 million, an increase in inventories of $1.9 million, an increase in other noncurrent assets of $4.0 million and net other increase of $0.3 million. These cash outflows were partially offset by a $4.8 million increase in accounts payable and a $3.3 million increase in accrued expenses and other current liabilities. Non-cash adjustments of $3.5 million consisted of a provision for credit losses of $4.7 million, non-cash interest expense of $3.7 million, a change in reserve for obsolete inventory of $1.4 million, accretion of long-term debt in CS Solis of $1.5 million, stock-based compensation of $0.7 million, and other changes, depreciation and amortization of $0.4 million and non-cash lease expense of $0.5 million, partially offset by a $9.4 million decrease in the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increase in cash, cash equivalents and restricted cash from discontinued operations of $1.0 million for the twenty-six weeks ended July 2, 2023 was entirely attributable to net cash provided by operating activities from discontinued operations. This decrease was primarily due to the net loss from discontinued operations, net of tax of $12.5 million, adjusted for non-cash charges of $3.6 million and net cash inflows of $9.9 million from changes in our operating assets and liabilities. Non-cash charges primarily consisted of depreciation and amortization expense of $1.6 million, stock-based compensation expense of $1.3 million and a $0.7 million change in allowance for credit losses. The main drivers of net cash inflows derived from the $9.9 million change in operating assets and liabilities were related to a decrease in accounts receivable of $6.1 million, a decrease in inventories of $5.6 million and an increase in accrued expenses and other current liabilities of $5.2 million partially offset by a decrease in accounts payable of $4.2 million, an increase in prepaid expenses and other current assets of $2.3 million and a decrease in other liabilities of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$0.9 million and $1.0 million for the twenty-six weeks ended June 30, 2024, and July 2, 2023, respectively, and attributable to additions to internal-use-software.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$7.8 million for the twenty-six weeks ended June 30, 2024 was primarily due to $6.0 million in net proceeds from the issuance of SAFE agreements to a related party, $2.0 million deposit received from a related party in connection with a financing transaction, and $0.1 million in net proceeds from the exercise of stock options, partially offset by a $0.3 million final payment on the settlement of the amount due to Polar Multi-Strategy Master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$25.8 million for the twenty-six weeks ended July 2, 2023 was due to proceeds of $21.3 million in from the issuance of convertible notes, $14.1 million from the issuance of notes payable and $0.1 million from the issuance of shares of our common stock from the exercise of common stock options, partially offset by repayments of notes payable of $9.7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on Form 10-Q, Complete Solaria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Complete Solaria is a party, under which it has any obligation arising under a guaranteed contract, derivative instrument, or variable interest or a retained or contingent interest in assets transferred to such entity or similar arrangement that serves as credit, liquidity, or market risk support for such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Complete Solaria does not engage in off-balance sheet financing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December 31, 2025.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certain market risks in the ordinary course of our business. The Company monitors and manages these financial exposures as an integral part of its overall risk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significant exposure to interest rate risk that could affect the balance sheet, statement of operations, and the statement of cash flows, as we do not have any outstanding variable rate debt as of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 and Major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consists primarily of residential homeowners. We do not require collateral on our accounts receivable. Further, our accounts receivable amounts are with individual homeowners who finance their purchase through a few third-party financing entities through whom we collect the receivable, and we are exposed to normal industry credit risks. We continually evaluate our reserves for potential credit losses and establish reserves for such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December 31, 2023, two financing entities accounted for 10% or more of the total accounts receivable, net balance.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(Disclosure Controls) within the meaning of Rules 13a-15(e) and 15d-15(e) of the Securities Exchange Act of 1934, as amended,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our Chief Financial Officer. Based on the evaluation of our Disclosure Controls, our Chief Executive Officer and Chief Financial Officer have concluded that, as of June 30, 2024, our Disclosure Controls were not effective due to a material weakness in our internal control over financial reporting as disclosed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In addition, the design of internal controls over financial reporting for the Company following the Business Combination has required and will continue to require significant time and resources from our management and other personnel.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 ended December 31, 2023,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are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sufficient full-time accounting personnel, (i) to enable appropriate reviews over the financial close and reporting process, (ii) to allow for an appropriate segregation of duties, and (iii) with the requisite experience and technical accounting knowledge to identify, review and resolve complex accounting issues under generally accepted accounting principles in the United States (“GAAP”). Additionally, we did not adequately design and/or implement controls related to conducting a formal risk assessment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controls related to the completeness, existence, and cut-off of inventories held at third parties, and controls related to the calculation of adjustments to inventory for items considered excessive and obsolete.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required to perform an evaluation of internal control over financial reporting as of December 31, 2023 in accordance with Section 215.02 of the SEC’s Division of Corporation Finance’s Regulation S-K Compliance and Disclosure Interpretations. Had such an evaluation been performed, additional control deficiencies may have been identified by our management, and those control deficiencies could have also represented one or more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 to Remediate Material Weaknesses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we have taken to date and may take in the future, will be sufficient to remediate the control deficiencies that led to our material weakness in internal control over financial reporting or that it will prevent or avoid potential future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our secured revolving credit facility and other agreements, or other material adverse effects on our business, reputation, results of operations, financial condition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material weakness and remediation efforts described above, there were no changes in our internal control over financial reporting that occurred during the quarter to which this report relates,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with respect to legal proceedings is set forth under [Note 17 - Commitments and Contingencies], in the accompanying unaudited condensed consolidated financial statements in Part I, Item 1 of this Quarterly Report on Form 10-Q,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1A.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Quarterly Report on Form 10-Q, including our unaudited condensed consolidated financial statements and related notes appearing in Part I, Item 1 of this Quarterly Report on Form 10-Q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The risks facing our business have not changed substantively from those discussed in our Annual Report on Form 10-K, except for those risks marked with an asterisk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the availability of rebates, tax credits and other financial incentives. The expiration, elimination or reduction of these rebates, credits or incentives or the ability to monetize them could adversely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Inflation Reduction Act (“IRA”) extended and modified prior law applicable to tax credits that are available with respect to solar energy systems. Under the IRA, the following credits are available: (i) a production tax credit under Code Section 44 (for facilities that begin construction before January 1, 2025) and Code Section 45Y (for facilities that begin construction between January 1, 2025 and the year that is four calendar years after the year in which certain U.S. greenhouse gas emissions percentages are met) (the “PTC”) in connection with the installation of certain solar facilities and energy storage technology, (ii) an investment tax credit under Code Section 48 (for facilities that begin construction before January 1, 2025) and Code Section 48E (for facilities that begin construction between January 1, 2025 and the year that is four calendar years after the year in which certain U.S. greenhouse gas emissions percentages are met) (the “ITC”) in connection with the installation of certain solar facilities and energy storage technology, and (iii) a residential clean energy credit (the “Section 25D Credit”) in connection with the installation of property that uses solar energy to generate electricity for residential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IRA, the PTC for solar facilities had phased out and was no longer available. The IRA reinstated the PTC for solar facilities. The PTC available to a taxpayer in a taxable year is equal to a certain rate multiplied by the kilowatt hours of electricity produced by the taxpayer from solar energy at a facility owned by it and sold to an unrelated party during that taxable year. The base rates for the PTC is 0.3 cents. This rate is increased to 1.5 cents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U.S., projects that are located in certain energy communities, and projects that are located in low-income communities.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ITC available to a taxpayer in a taxable year is equal to the “energy percentage” of the basis of “energy property” placed in service by the taxpayer during that taxable year. “Energy property” includes equipment that uses solar energy to generate electricity (including structural components that are necessary to the functioning of a solar facility as a whole) and certain energy storage systems (including batteries included as part of or adjacent to a solar facility). The base “energy percentage” for the ITC is 6%. This energy percentage is increased to 30%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U.S., projects that are located in certain energy communities, and projects that are located in low-income communities. ITCs are subject to recapture if, during the five-year period after a facility is placed in service, the facility is sold, exchanged, involuntarily converted, or ceases its business usage. If the event that causes such recapture occurs within the first year after a project is placed in service, 100% of the ITCs will be recaptured. The recapture percentage is reduced 20% for each subsequent year. Historically, we have utilized the ITC when available for both residential and commercial leases and power purchase agreements, based on ownership of the solar energy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25D Credit available to a taxpayer is equal to the “applicable percentage” of expenditures for property that uses solar energy to generate electricity for use in a dwelling unit used as a residence by the taxpayer. The applicable percentage is 26% for such systems that are placed in service before January 1, 2022, 30% for such systems that are placed in service after December 31, 2021 and before January 1, 2033, 26% for such systems that are placed in service in 2033, and 22% for such systems that are placed in service in 2034. The Section 25D Credit is scheduled to expire effective January 1, 2035. Although it is unlikely that Complete Solaria would qualify for the Section 25D Credit, the availability of the Section 25D Credit may impact the prices of its solar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eliminations of, or expirations of, governmental incentives could adversely impact results of operations and ability to compete in this industry by increasing the cost of capital, causing us to increase the prices of our energy and solar energy systems and reduce the size of our addressable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reporting requirements applicable to these companies will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not being required to comply with the auditor attestation requirements of Section 404 of the Sarbanes-Oxley Act of 2002, as amended (the “Sarbanes-Oxley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not being required to comply with any requirement that may be adopted by the Public Company Accounting Oversight Board (the “PCAOB”)regarding mandatory audit firm rotation or a supplement to the auditor’s report providing additional information about the audit and the 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395" w:type="dxa"/>
            <w:tcBorders/>
            <w:vAlign w:val="center"/>
          </w:tcPr>
          <w:p>
            <w:pPr>
              <w:pStyle w:val="TableContents"/>
              <w:bidi w:val="0"/>
              <w:spacing w:before="0" w:after="283"/>
              <w:jc w:val="both"/>
              <w:rPr>
                <w:sz w:val="20"/>
              </w:rPr>
            </w:pPr>
            <w:r>
              <w:rPr>
                <w:sz w:val="20"/>
              </w:rPr>
              <w:t>reduced disclosure obligations regarding executive compensation in our periodic reports and proxy statements;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exemptions from the requirements of holding nonbinding advisory stockholder votes on executive compensation and stockholder approval of any golden parachute payments not previously approved.</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we no longer qualify as an emerging growth company, we may still qualify as a “smaller reporting company,” as defined in the Securities Exchange Act of 1934, as amended (the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our periodic reports and proxy statements.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and changes to these regulations and policies may present technical, regulatory, and economic barriers to the purchase and use of solar power products, which may significantly reduce demand for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trade and local content laws,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Any new regulations or policies pertaining our solar power products may result in significant additional expenses for our customers, which could cause a significant reduction in demand for our solar power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will include several changes from previous net metering plans. There will be changes that impact the amount that homeowners with solar power will be able to recuperate when selling excess energy back to the utility grid. With NEM 3.0, the value of the credits for net exports will be tied to the state’s 2022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will be applied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limited number of suppliers, which makes us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suppliers. Once we design a system for use with a particular inverter, if that type of inverter is not readily available at an anticipated price, we may incur additional delay and expense to redesign the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its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EverBright, LLC, and other financial institutions. If we were unable to arrange new or alternative financing methods for PPAs and leases on favorable terms, our business, financial condition, results of operations, and prospects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tariffs, or trade disputes could significantly and adversely affect our business, revenues, margins,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Since 2021, modules are subject to a tariff rate of 15%. Cells are subjected to a tariff-rate quota, under which the first 2.5 GW of cell imports each year will be exempt from tariffs, and cells imported after the 2.5 GW quota has been reached will be subject to the same 30% tariff as modules in the first year, with the same 5% decline in each of the three subsequent years. The tariff-free cell quota applies globally, without any allocation by country or region.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tariffs could materially and adversely affect our business and results of operations. While solar cells and modules based on interdigitated back contact technology were granted exclusion from these safeguard tariffs on September 19, 2018, our solar products based on other technologies continue to be subject to the safeguard tariffs. Although we are actively engaged in efforts to mitigate the effect of these tariffs, there is no guarantee that these efforts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surrounding the implications of existing tariffs affecting the U.S. solar market and potential trade tensions between the U.S. and other countries is likely to cause market volatility, price fluctuations, supply shortages, and project delays, any of which could harm our business, and the pursuit of mitigating actions may divert substantial resources from other projects. 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the company’s solar power products and greatly reduce our competitive 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as measured by our number of customers; we intend to continue efforts to expand our business within existing and new markets. This growth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international activities and customers in the European Union, and plans to continue these efforts, which subjects us to additional business risks, including logistical and compliance related complexity.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sales are made to customers outside of the U.S., and a substantial portion of our supply agreements are with supply and equipment vendors located outside of the U.S. We have solar cell and module production lines located at our outsourced manufacturing facilities in Thailand, Vietnam, and India. We are also considering other manufacturing locations.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we face in conducting business internationally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multiple, conflicting and changing laws and regulations, export and import restrictions, employment laws, data protection laws, environmental protection, regulatory requirements, international trade agreements, and other government approvals, permits and licenses;</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sz w:val="20"/>
              </w:rPr>
            </w:pPr>
            <w:r>
              <w:rPr>
                <w:sz w:val="20"/>
              </w:rPr>
              <w:t>difficulties and costs in staffing and managing foreign operations as well as cultural differences;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potentially adverse tax consequences associated with current, future or deemed permanent establishment of operations in multiple countries;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relatively uncertain legal systems, including potentially limited protection for intellectual property rights, and laws, changes in the governmental incentives that we rely on, regulations and policies which impose additional restrictions on the ability of foreign companies to conduct business in certain countries or otherwise place them at a competitive disadvantage in relation to domestic companies;</w:t>
            </w:r>
          </w:p>
        </w:tc>
      </w:tr>
    </w:tbl>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sz w:val="20"/>
              </w:rPr>
            </w:pPr>
            <w:r>
              <w:rPr>
                <w:sz w:val="20"/>
              </w:rPr>
              <w:t>inadequate local infrastructure and developing telecommunications infrastructures;</w:t>
            </w:r>
          </w:p>
        </w:tc>
      </w:tr>
    </w:tbl>
    <w:p>
      <w:pPr>
        <w:pStyle w:val="TextBody"/>
        <w:bidi w:val="0"/>
        <w:spacing w:before="0" w:after="0"/>
        <w:ind w:left="0" w:right="0" w:hanging="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financial risks, such as longer sales and payment cycles and greater difficulty collecting accounts receivable;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currency fluctuations, government-fixed foreign exchange rates, the effects of currency hedging activity, and the potential inability to hedge currency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political and economic instability, including wars, acts of terrorism, political unrest, boycotts, curtailments of trade and other business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trade barriers such as export requirements, tariffs, taxes and other restrictions and expenses, which could increase the prices of our products and make the company less competitive in some countries;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liabilities associated with compliance with laws (for example, the Foreign Corrupt Practices Act in the U.S. and similar laws outside of the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organizational structure involving entities globally. This increases the potential impact of adverse changes in laws, rules and regulations affecting the free flow of goods and personnel, and therefore heightens some of the risks noted above. Further, this structure requires us to manage our international inventory and warehouses effectively. If we fail to do so, our shipping movements may not correspond with product demand and flow. Unsettled intercompany balances between entities could result, if changes in law, regulations or related interpretations occur in adverse tax or other consequences that affect capital structure, intercompany interest rates and legal structure. If we are unable to successfully manage any such risks, any one or more could materially and negatively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and had an accumulated deficit of $380.4 million as of June 30, 2024.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2285" w:type="dxa"/>
            <w:tcBorders/>
            <w:vAlign w:val="center"/>
          </w:tcPr>
          <w:p>
            <w:pPr>
              <w:pStyle w:val="TableContents"/>
              <w:bidi w:val="0"/>
              <w:spacing w:before="0" w:after="283"/>
              <w:jc w:val="both"/>
              <w:rPr>
                <w:sz w:val="20"/>
              </w:rPr>
            </w:pPr>
            <w:r>
              <w:rPr>
                <w:sz w:val="20"/>
              </w:rPr>
              <w:t>Growing the customer base;</w:t>
            </w:r>
          </w:p>
        </w:tc>
      </w:tr>
    </w:tbl>
    <w:p>
      <w:pPr>
        <w:pStyle w:val="TextBody"/>
        <w:bidi w:val="0"/>
        <w:spacing w:before="0" w:after="0"/>
        <w:ind w:left="0" w:right="0" w:hanging="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160" w:type="dxa"/>
            <w:tcBorders/>
            <w:vAlign w:val="center"/>
          </w:tcPr>
          <w:p>
            <w:pPr>
              <w:pStyle w:val="TableContents"/>
              <w:bidi w:val="0"/>
              <w:spacing w:before="0" w:after="283"/>
              <w:jc w:val="both"/>
              <w:rPr>
                <w:sz w:val="20"/>
              </w:rPr>
            </w:pPr>
            <w:r>
              <w:rPr>
                <w:sz w:val="20"/>
              </w:rPr>
              <w:t>Maintaining or further lowering the cost of capital;</w:t>
            </w:r>
          </w:p>
        </w:tc>
      </w:tr>
    </w:tbl>
    <w:p>
      <w:pPr>
        <w:pStyle w:val="TextBody"/>
        <w:bidi w:val="0"/>
        <w:spacing w:before="0" w:after="0"/>
        <w:ind w:left="0" w:right="0" w:hanging="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sz w:val="20"/>
              </w:rPr>
            </w:pPr>
            <w:r>
              <w:rPr>
                <w:sz w:val="20"/>
              </w:rPr>
              <w:t>Reducing the cost of components for our solar service offerings;</w:t>
            </w:r>
          </w:p>
        </w:tc>
      </w:tr>
    </w:tbl>
    <w:p>
      <w:pPr>
        <w:pStyle w:val="TextBody"/>
        <w:bidi w:val="0"/>
        <w:spacing w:before="0" w:after="0"/>
        <w:ind w:left="0" w:right="0" w:hanging="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505" w:type="dxa"/>
            <w:tcBorders/>
            <w:vAlign w:val="center"/>
          </w:tcPr>
          <w:p>
            <w:pPr>
              <w:pStyle w:val="TableContents"/>
              <w:bidi w:val="0"/>
              <w:spacing w:before="0" w:after="283"/>
              <w:jc w:val="both"/>
              <w:rPr>
                <w:sz w:val="20"/>
              </w:rPr>
            </w:pPr>
            <w:r>
              <w:rPr>
                <w:sz w:val="20"/>
              </w:rPr>
              <w:t>Growing and maintaining our channel partner network;</w:t>
            </w:r>
          </w:p>
        </w:tc>
      </w:tr>
    </w:tbl>
    <w:p>
      <w:pPr>
        <w:pStyle w:val="TextBody"/>
        <w:bidi w:val="0"/>
        <w:spacing w:before="0" w:after="0"/>
        <w:ind w:left="0" w:right="0" w:hanging="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430" w:type="dxa"/>
            <w:tcBorders/>
            <w:vAlign w:val="center"/>
          </w:tcPr>
          <w:p>
            <w:pPr>
              <w:pStyle w:val="TableContents"/>
              <w:bidi w:val="0"/>
              <w:spacing w:before="0" w:after="283"/>
              <w:jc w:val="both"/>
              <w:rPr>
                <w:sz w:val="20"/>
              </w:rPr>
            </w:pPr>
            <w:r>
              <w:rPr>
                <w:sz w:val="20"/>
              </w:rPr>
              <w:t>Growing our direct-to-consumer business to scale;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the construction of a significant number of new power generation plants, including nuclear, coal, natural gas or renewable energy technologies;</w:t>
            </w:r>
          </w:p>
        </w:tc>
      </w:tr>
    </w:tbl>
    <w:p>
      <w:pPr>
        <w:pStyle w:val="TextBody"/>
        <w:bidi w:val="0"/>
        <w:spacing w:before="0" w:after="0"/>
        <w:ind w:left="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005" w:type="dxa"/>
            <w:tcBorders/>
            <w:vAlign w:val="center"/>
          </w:tcPr>
          <w:p>
            <w:pPr>
              <w:pStyle w:val="TableContents"/>
              <w:bidi w:val="0"/>
              <w:spacing w:before="0" w:after="283"/>
              <w:jc w:val="both"/>
              <w:rPr>
                <w:sz w:val="20"/>
              </w:rPr>
            </w:pPr>
            <w:r>
              <w:rPr>
                <w:sz w:val="20"/>
              </w:rPr>
              <w:t>the construction of additional electric transmission and distribution lines;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ind w:left="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400" w:type="dxa"/>
            <w:tcBorders/>
            <w:vAlign w:val="center"/>
          </w:tcPr>
          <w:p>
            <w:pPr>
              <w:pStyle w:val="TableContents"/>
              <w:bidi w:val="0"/>
              <w:spacing w:before="0" w:after="283"/>
              <w:jc w:val="both"/>
              <w:rPr>
                <w:sz w:val="20"/>
              </w:rPr>
            </w:pPr>
            <w:r>
              <w:rPr>
                <w:sz w:val="20"/>
              </w:rPr>
              <w:t>energy conservation technologies and public initiatives to reduce electricity consumption;</w:t>
            </w:r>
          </w:p>
        </w:tc>
      </w:tr>
    </w:tbl>
    <w:p>
      <w:pPr>
        <w:pStyle w:val="TextBody"/>
        <w:bidi w:val="0"/>
        <w:spacing w:before="0" w:after="0"/>
        <w:ind w:left="0" w:right="0" w:hanging="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110" w:type="dxa"/>
            <w:tcBorders/>
            <w:vAlign w:val="center"/>
          </w:tcPr>
          <w:p>
            <w:pPr>
              <w:pStyle w:val="TableContents"/>
              <w:bidi w:val="0"/>
              <w:spacing w:before="0" w:after="283"/>
              <w:jc w:val="both"/>
              <w:rPr>
                <w:sz w:val="20"/>
              </w:rPr>
            </w:pPr>
            <w:r>
              <w:rPr>
                <w:sz w:val="20"/>
              </w:rPr>
              <w:t>subsidies impacting electricity prices, including in connection with electricity generation and transmission; and</w:t>
            </w:r>
          </w:p>
        </w:tc>
      </w:tr>
    </w:tbl>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275" w:type="dxa"/>
            <w:tcBorders/>
            <w:vAlign w:val="center"/>
          </w:tcPr>
          <w:p>
            <w:pPr>
              <w:pStyle w:val="TableContents"/>
              <w:bidi w:val="0"/>
              <w:spacing w:before="0" w:after="283"/>
              <w:jc w:val="both"/>
              <w:rPr>
                <w:sz w:val="20"/>
              </w:rPr>
            </w:pPr>
            <w:r>
              <w:rPr>
                <w:sz w:val="20"/>
              </w:rPr>
              <w:t>development of new energy technologies that provide less expensive energy.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a majority of utilities’ sources of electricity is non-solar, which may allow utilities to sell electricity more cheaply than electricity generated by our solar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concentrated in certain markets including California, putting us at risk of region-specific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 substantial portion of our installations were in California. We expect much of its near-term future growth to occur in California, further concentrating our customer base and operational infrastructure. Accordingly, our business and operations results are particularly susceptible to adverse economic, regulatory, pollical, weather, and other conditions in this market and other markets that may become similarly concentrated. We may not have adequate insurance, including business interruption insurance, to compensate for losses that may occur from any such significant events. A significant natural disaster could have a material adverse impact on our business, results of operations and financial condition. In addition, acts of terrorism or malicious computer viruses could cause disruptions in our business, our partners’ businesses or the economy as a whole. To the extent that these disruptions result in delays or cancellations of installations or the deployment of solar service offerings, our business, results of operations and financial condition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performance, reliability and availability of energy generated by solar energy systems compared to conventional and other non-solar renewable energy 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ind w:left="0" w:right="0" w:hanging="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sz w:val="20"/>
              </w:rPr>
            </w:pPr>
            <w:r>
              <w:rPr>
                <w:sz w:val="20"/>
              </w:rPr>
              <w:t>general economic conditions and the level of interest rates.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U.S., many customers make purchasing decisions towards the end of the year in order to take advantage of tax credits. In addition, sales in the new home development market are often tied to construction market demands, which tend to follow national trends in construction, including declining sales during cold weather months.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We have outsourced product development and software engineering in Ukraine and we may potentially indirectly be adversely impacted any significant disruption it has caused and may continue to escalate. Similarly, the current armed conflict in Israel and the Gaza Strip may impact our operations.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a limited number of customers and sales contracts for a significant portion of revenues, and the loss of any customer or cancellation of any contract may cause significant fluctuations or declines in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twenty-six weeks ended June 30, 2024, no customer accounted for more than 10% of our revenues. In 2023, our top customer accounted for 55% of our total revenues, while in 2022 another customer accounted for 47% of our total revenues from continuing operations. As a result of customer concentration, our financial performance may fluctuate significantly from period to period based, among others, on exogenous circumstances related to its clients. In addition, any one of the following events may materially adversely affect cash flows, revenues and results of operations:</w:t>
      </w:r>
    </w:p>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both"/>
              <w:rPr>
                <w:sz w:val="20"/>
              </w:rPr>
            </w:pPr>
            <w:r>
              <w:rPr>
                <w:sz w:val="20"/>
              </w:rPr>
              <w:t>reduction, delay or cancellation of orders from one or more significant customers;</w:t>
            </w:r>
          </w:p>
        </w:tc>
      </w:tr>
    </w:tbl>
    <w:p>
      <w:pPr>
        <w:pStyle w:val="TextBody"/>
        <w:bidi w:val="0"/>
        <w:spacing w:before="0" w:after="0"/>
        <w:ind w:left="0" w:right="0" w:hanging="0"/>
        <w:jc w:val="left"/>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sz w:val="20"/>
              </w:rPr>
            </w:pPr>
            <w:r>
              <w:rPr>
                <w:sz w:val="20"/>
              </w:rPr>
              <w:t>loss of one or more significant customers and failure to identify additional or replacement customers;</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sz w:val="20"/>
              </w:rPr>
            </w:pPr>
            <w:r>
              <w:rPr>
                <w:sz w:val="20"/>
              </w:rPr>
              <w:t>failure of any significant customers to make timely payment for our products; or</w:t>
            </w:r>
          </w:p>
        </w:tc>
      </w:tr>
    </w:tbl>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sz w:val="20"/>
              </w:rPr>
            </w:pPr>
            <w:r>
              <w:rPr>
                <w:sz w:val="20"/>
              </w:rPr>
              <w:t>the customers becoming insolvent or having difficulties meeting their financial obligations for any reason.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payment delinquencies on its accounts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customer defaults have been immaterial to date, we expect that the risk of customer defaults may increase as we grow our business. If we experience increased customer credit defaults, our revenue and our ability to raise new investment funds could be adversely affected. If economic conditions worsen, certain of our customers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close the transactions contemplated by the SunPower Stalking Horse Asset Purchase Agreement; and we may not realize the anticipated benefits of past or future acquisitions, and integration of these acquisitions may disrupt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(“Solaria”),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In July 2024, we acquired selected assets of Core Energy, and on August 5, 2024, we entered into a “Stalking Horse” asset purchase agreement with SunPower Corporation (“SunPower”) and the direct and indirect subsidiaries of SunPower (the “Debtors”) providing for the sale and purchase of certain assets related to the Debtors’ Blue Raven Solar business, New Homes business, and non-installing Dealer network (the “Stalking Horse APA”). In addition to these transactions, in the future, we may acquire additional companies, project pipelines, products, or technologies, or enter into joint ventures or other strategic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under the Stalking Horse APA are subject to various closing conditions and bankruptcy procedures that may result in the Company not being the winning bidder or not consummating the related transactions. For example, the Stalking Horse APA is subject to higher and better offers during the Debtors’ voluntary cases under Chapter 11 of Title 11 of the United States Bankruptcy Code (the “Bankruptcy Code”) and is subject to approval of the United States Bankruptcy Court for the District of Delaware (the “</w:t>
      </w:r>
      <w:r>
        <w:rPr>
          <w:rFonts w:ascii="Times New Roman;Times;Serif" w:hAnsi="Times New Roman;Times;Serif"/>
          <w:b w:val="false"/>
          <w:i w:val="false"/>
          <w:caps w:val="false"/>
          <w:smallCaps w:val="false"/>
          <w:sz w:val="20"/>
          <w:u w:val="single"/>
        </w:rPr>
        <w:t>Bankruptcy Court</w:t>
      </w:r>
      <w:r>
        <w:rPr>
          <w:rFonts w:ascii="Times New Roman;Times;Serif" w:hAnsi="Times New Roman;Times;Serif"/>
          <w:b w:val="false"/>
          <w:i w:val="false"/>
          <w:caps w:val="false"/>
          <w:smallCaps w:val="false"/>
          <w:sz w:val="20"/>
        </w:rPr>
        <w:t>”). Pursuant to the Debtors’ bidding procedures, interested parties will be invited to participate and submit binding offers in accordance with the bidding procedures. The Stalking Horse APA acts as a baseline for competitive bids for the acquisition of the acquired assets that are the subject of the agreement. If one or more qualified bids (other than the transaction contemplated by the Stalking Horse APA) were to be received by the qualified bid deadline as provided for in the bidding procedures as approved by the Bankruptcy Court, then the Debtors would proceed with an auction to determine the successful bid, subject to the terms of the bidding procedures. Additionally, the closing of the transactions under the Stalking Horse APA is subject to various closing conditions, including the requirement that the Bankruptcy Court enter a sales order approving the Stalking Horse APA and the terms and conditions of such agreement and authorizing the Debtors to consummate the transactions under the Stalking Horse APA. There can be no assurance that other parties will not present higher and better offers, and we are subject to the risks that the closing conditions under the Stalking Horse APA are not satisfied, including the conditions relating to the Bankruptcy Court’s approval of the Stalking Horse APA and the related transactions. If we do not prevail in any related auction, if the closing conditions under the agreement are not satisfied, or if the Bankruptcy Court does not approve the Stalking Horse APA and related transactions, we may not ultimately be the prevailing buyer of the related assets from the Debtors, and we would not realize the expected benefits of the transactions contemplated by the Stalking Horse APA.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sz w:val="20"/>
              </w:rPr>
            </w:pPr>
            <w:r>
              <w:rPr>
                <w:sz w:val="20"/>
              </w:rPr>
              <w:t>difficulty in assimilating the operations and personnel of the acquired company;</w:t>
            </w:r>
          </w:p>
        </w:tc>
      </w:tr>
    </w:tbl>
    <w:p>
      <w:pPr>
        <w:pStyle w:val="TextBody"/>
        <w:bidi w:val="0"/>
        <w:spacing w:before="0" w:after="0"/>
        <w:ind w:left="0" w:right="0" w:hanging="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45" w:type="dxa"/>
            <w:tcBorders/>
            <w:vAlign w:val="center"/>
          </w:tcPr>
          <w:p>
            <w:pPr>
              <w:pStyle w:val="TableContents"/>
              <w:bidi w:val="0"/>
              <w:spacing w:before="0" w:after="283"/>
              <w:jc w:val="both"/>
              <w:rPr>
                <w:sz w:val="20"/>
              </w:rPr>
            </w:pPr>
            <w:r>
              <w:rPr>
                <w:sz w:val="20"/>
              </w:rPr>
              <w:t>difficulty in effectively integrating the acquired technologies or products with current products and technologies;</w:t>
            </w:r>
          </w:p>
        </w:tc>
      </w:tr>
    </w:tbl>
    <w:p>
      <w:pPr>
        <w:pStyle w:val="TextBody"/>
        <w:bidi w:val="0"/>
        <w:spacing w:before="0" w:after="0"/>
        <w:ind w:left="0" w:right="0" w:hanging="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820" w:type="dxa"/>
            <w:tcBorders/>
            <w:vAlign w:val="center"/>
          </w:tcPr>
          <w:p>
            <w:pPr>
              <w:pStyle w:val="TableContents"/>
              <w:bidi w:val="0"/>
              <w:spacing w:before="0" w:after="283"/>
              <w:jc w:val="both"/>
              <w:rPr>
                <w:sz w:val="20"/>
              </w:rPr>
            </w:pPr>
            <w:r>
              <w:rPr>
                <w:sz w:val="20"/>
              </w:rPr>
              <w:t>difficulty in maintaining controls, procedures and policies during the transition and integration;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disruption of ongoing business and distraction of management and employees from other opportunities and challenges due to integration issues;</w:t>
            </w:r>
          </w:p>
        </w:tc>
      </w:tr>
    </w:tbl>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575" w:type="dxa"/>
            <w:tcBorders/>
            <w:vAlign w:val="center"/>
          </w:tcPr>
          <w:p>
            <w:pPr>
              <w:pStyle w:val="TableContents"/>
              <w:bidi w:val="0"/>
              <w:spacing w:before="0" w:after="283"/>
              <w:jc w:val="both"/>
              <w:rPr>
                <w:sz w:val="20"/>
              </w:rPr>
            </w:pPr>
            <w:r>
              <w:rPr>
                <w:sz w:val="20"/>
              </w:rPr>
              <w:t>difficulty integrating the acquired company’s accounting, management information and other administrative systems;</w:t>
            </w:r>
          </w:p>
        </w:tc>
      </w:tr>
    </w:tbl>
    <w:p>
      <w:pPr>
        <w:pStyle w:val="TextBody"/>
        <w:bidi w:val="0"/>
        <w:spacing w:before="0" w:after="0"/>
        <w:ind w:left="0" w:right="0" w:hanging="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785" w:type="dxa"/>
            <w:tcBorders/>
            <w:vAlign w:val="center"/>
          </w:tcPr>
          <w:p>
            <w:pPr>
              <w:pStyle w:val="TableContents"/>
              <w:bidi w:val="0"/>
              <w:spacing w:before="0" w:after="283"/>
              <w:jc w:val="both"/>
              <w:rPr>
                <w:sz w:val="20"/>
              </w:rPr>
            </w:pPr>
            <w:r>
              <w:rPr>
                <w:sz w:val="20"/>
              </w:rPr>
              <w:t>inability to retain key technical and managerial personnel of the acquired business;</w:t>
            </w:r>
          </w:p>
        </w:tc>
      </w:tr>
    </w:tbl>
    <w:p>
      <w:pPr>
        <w:pStyle w:val="TextBody"/>
        <w:bidi w:val="0"/>
        <w:spacing w:before="0" w:after="0"/>
        <w:ind w:left="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730" w:type="dxa"/>
            <w:tcBorders/>
            <w:vAlign w:val="center"/>
          </w:tcPr>
          <w:p>
            <w:pPr>
              <w:pStyle w:val="TableContents"/>
              <w:bidi w:val="0"/>
              <w:spacing w:before="0" w:after="283"/>
              <w:jc w:val="both"/>
              <w:rPr>
                <w:sz w:val="20"/>
              </w:rPr>
            </w:pPr>
            <w:r>
              <w:rPr>
                <w:sz w:val="20"/>
              </w:rPr>
              <w:t>inability to retain key customers, vendors, and other business partners of the acquired business;</w:t>
            </w:r>
          </w:p>
        </w:tc>
      </w:tr>
    </w:tbl>
    <w:p>
      <w:pPr>
        <w:pStyle w:val="TextBody"/>
        <w:bidi w:val="0"/>
        <w:spacing w:before="0" w:after="0"/>
        <w:ind w:left="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730" w:type="dxa"/>
            <w:tcBorders/>
            <w:vAlign w:val="center"/>
          </w:tcPr>
          <w:p>
            <w:pPr>
              <w:pStyle w:val="TableContents"/>
              <w:bidi w:val="0"/>
              <w:spacing w:before="0" w:after="283"/>
              <w:jc w:val="both"/>
              <w:rPr>
                <w:sz w:val="20"/>
              </w:rPr>
            </w:pPr>
            <w:r>
              <w:rPr>
                <w:sz w:val="20"/>
              </w:rPr>
              <w:t>inability to achieve the financial and strategic goals for the acquired and combined businesses;</w:t>
            </w:r>
          </w:p>
        </w:tc>
      </w:tr>
    </w:tbl>
    <w:p>
      <w:pPr>
        <w:pStyle w:val="TextBody"/>
        <w:bidi w:val="0"/>
        <w:spacing w:before="0" w:after="0"/>
        <w:ind w:left="0" w:right="0" w:hanging="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890" w:type="dxa"/>
            <w:tcBorders/>
            <w:vAlign w:val="center"/>
          </w:tcPr>
          <w:p>
            <w:pPr>
              <w:pStyle w:val="TableContents"/>
              <w:bidi w:val="0"/>
              <w:spacing w:before="0" w:after="283"/>
              <w:jc w:val="both"/>
              <w:rPr>
                <w:sz w:val="20"/>
              </w:rPr>
            </w:pPr>
            <w:r>
              <w:rPr>
                <w:sz w:val="20"/>
              </w:rPr>
              <w:t>incurring acquisition-related costs or amortization costs for acquired intangible assets that could impact operating results;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failure of due diligence processes to identify significant issues with product quality, legal and financial liabilities, among other things;</w:t>
            </w:r>
          </w:p>
        </w:tc>
      </w:tr>
    </w:tbl>
    <w:p>
      <w:pPr>
        <w:pStyle w:val="TextBody"/>
        <w:bidi w:val="0"/>
        <w:spacing w:before="0" w:after="0"/>
        <w:ind w:left="0" w:right="0" w:hanging="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sz w:val="20"/>
              </w:rPr>
            </w:pPr>
            <w:r>
              <w:rPr>
                <w:sz w:val="20"/>
              </w:rPr>
              <w:t>inability to assert that internal controls over financial reporting are effective;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sz w:val="20"/>
              </w:rPr>
            </w:pPr>
            <w:r>
              <w:rPr>
                <w:sz w:val="20"/>
              </w:rPr>
              <w:t>inability to obtain, or obtain in a timely manner, approvals from governmental authorities, which could delay or prevent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intellectual property and may face intellectual property infringement claims that could be time-consuming and costly to defend and could result in the loss of significant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and our customers, or the third parties with whom we work may receive letters, including letters from other third parties, and may become subject to lawsuits with such third parties alleging infringement of their patents. Additionally, we are required by contract to indemnify some customers and third-party intellectual property providers for certain costs and damages of patent infringement in circumstances where our products are a factor creating the customer’s or these third-party providers’ infringement liability. This practice may subject us to significant indemnification claims by customers and third-party providers. We cannot assure investors that indemnification claims will not be made or that these claims will not harm our business, operating results or financial condition. Intellectual property litigation is very expensive and time-consuming and could divert management’s attention from our business and could have a material adverse effect on our business, operating results or financial condition. If there is a successful claim of infringement against us, our customers or our third-party intellectual property providers, we may be required to pay substantial damages to the party claiming infringement, stop selling products or using technology that contains the allegedly infringing intellectual property, or enter into royalty or license agreements that may not be available on acceptable terms, if at all. Parties making infringement claims may also be able to bring an action before the International Trade Commission that could result in an order stopping the importation into the U.S. of our solar products. Any of these judgments could materially damage our business. We may have to develop non-infringing technology, and our failure in doing so or in obtaining licenses to the proprietary rights on a timely basis could have a material adverse effect on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its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(“CCPA”) and California voters recently approved the California Privacy Rights Act (“CPRA”).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Complete Solaria’s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Complete Solaria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could result in negative publicity, claims, investigations and litigation and adversely affect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We offer leases, loans and other products and services to consumers by contractors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While we have paid only minimal damages to date,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“Complete Solaria”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“Complete Solaria”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continuing contributions of key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the loss of services of any principal member of the management team could adversely affect operations. There have been, and from time to time there may continue to be, changes in our management team resulting from the hiring or departure of executives and key employees, or the transition of executives within our business, which could disrupt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significant resources in developing new members of management as we complete our restructuring and strategic transformation.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sufficient employees and service providers in key functions, our growth and ability to timely complete customer projects and successfully manage customer accounts would be constrained.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ind w:left="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expiration or initiation of any governmental rebates or incentives;</w:t>
            </w:r>
          </w:p>
        </w:tc>
      </w:tr>
    </w:tbl>
    <w:p>
      <w:pPr>
        <w:pStyle w:val="TextBody"/>
        <w:bidi w:val="0"/>
        <w:spacing w:before="0" w:after="0"/>
        <w:ind w:left="0" w:right="0" w:hanging="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17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sz w:val="20"/>
              </w:rPr>
            </w:pPr>
            <w:r>
              <w:rPr>
                <w:sz w:val="20"/>
              </w:rPr>
              <w:t>significant fluctuations in customer demand for our solar energy services, solar energy systems and energy storage systems;</w:t>
            </w:r>
          </w:p>
        </w:tc>
      </w:tr>
    </w:tbl>
    <w:p>
      <w:pPr>
        <w:pStyle w:val="TextBody"/>
        <w:bidi w:val="0"/>
        <w:spacing w:before="0" w:after="0"/>
        <w:ind w:left="0" w:right="0" w:hanging="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sz w:val="20"/>
              </w:rPr>
            </w:pPr>
            <w:r>
              <w:rPr>
                <w:sz w:val="20"/>
              </w:rPr>
              <w:t>our dealers’ ability to complete installations in a timely manner;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and our dealers’ ability to gain interconnection permission for an installed solar energy system from the relevant utility;</w:t>
            </w:r>
          </w:p>
        </w:tc>
      </w:tr>
    </w:tbl>
    <w:p>
      <w:pPr>
        <w:pStyle w:val="TextBody"/>
        <w:bidi w:val="0"/>
        <w:spacing w:before="0" w:after="0"/>
        <w:ind w:left="0" w:right="0" w:hanging="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sz w:val="20"/>
              </w:rPr>
            </w:pPr>
            <w:r>
              <w:rPr>
                <w:sz w:val="20"/>
              </w:rPr>
              <w:t>the availability, terms and costs of suitable financing;</w:t>
            </w:r>
          </w:p>
        </w:tc>
      </w:tr>
    </w:tbl>
    <w:p>
      <w:pPr>
        <w:pStyle w:val="TextBody"/>
        <w:bidi w:val="0"/>
        <w:spacing w:before="0" w:after="0"/>
        <w:ind w:left="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sz w:val="20"/>
              </w:rPr>
            </w:pPr>
            <w:r>
              <w:rPr>
                <w:sz w:val="20"/>
              </w:rPr>
              <w:t>the amount, timing of sales and potential decreases in value of Solar Renewable Energy Certificates (“SRECs”);</w:t>
            </w:r>
          </w:p>
        </w:tc>
      </w:tr>
    </w:tbl>
    <w:p>
      <w:pPr>
        <w:pStyle w:val="TextBody"/>
        <w:bidi w:val="0"/>
        <w:spacing w:before="0" w:after="0"/>
        <w:ind w:left="0" w:right="0" w:hanging="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our ability to continue to expand its operations and the amount and timing of expenditures related to this expansion;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announcements by us or our competitors of significant acquisitions, strategic partnerships, joint ventures or capital-raising activities or commitments;</w:t>
            </w:r>
          </w:p>
        </w:tc>
      </w:tr>
    </w:tbl>
    <w:p>
      <w:pPr>
        <w:pStyle w:val="TextBody"/>
        <w:bidi w:val="0"/>
        <w:spacing w:before="0" w:after="0"/>
        <w:ind w:left="0" w:right="0" w:hanging="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sz w:val="20"/>
              </w:rPr>
            </w:pPr>
            <w:r>
              <w:rPr>
                <w:sz w:val="20"/>
              </w:rPr>
              <w:t>changes in our pricing policies or terms or those of competitors, including centralized electric utilities;</w:t>
            </w:r>
          </w:p>
        </w:tc>
      </w:tr>
    </w:tbl>
    <w:p>
      <w:pPr>
        <w:pStyle w:val="TextBody"/>
        <w:bidi w:val="0"/>
        <w:spacing w:before="0" w:after="0"/>
        <w:ind w:left="0" w:right="0" w:hanging="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sz w:val="20"/>
              </w:rPr>
            </w:pPr>
            <w:r>
              <w:rPr>
                <w:sz w:val="20"/>
              </w:rPr>
              <w:t>actual or anticipated developments in competitors’ businesses, technology or the competitive landscape; and</w:t>
            </w:r>
          </w:p>
        </w:tc>
      </w:tr>
    </w:tbl>
    <w:p>
      <w:pPr>
        <w:pStyle w:val="TextBody"/>
        <w:bidi w:val="0"/>
        <w:spacing w:before="0" w:after="0"/>
        <w:ind w:left="0" w:right="0" w:hanging="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sz w:val="20"/>
              </w:rPr>
            </w:pPr>
            <w:r>
              <w:rPr>
                <w:sz w:val="20"/>
              </w:rPr>
              <w:t>natural disasters or other weather or meteorological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procures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sz w:val="20"/>
              </w:rPr>
            </w:pPr>
            <w:r>
              <w:rPr>
                <w:sz w:val="20"/>
              </w:rPr>
              <w:t>system output performance warranties; and</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sz w:val="20"/>
              </w:rPr>
            </w:pPr>
            <w:r>
              <w:rPr>
                <w:sz w:val="20"/>
              </w:rPr>
              <w:t>system maintenance.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solar partners may face construction delays or cost overruns, which may adversely affect our or our solar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identified conditions that raise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net losses of $25.5 million and $269.6 million, during the twenty-six week period ended June 30, 2024 and the fiscal year ended December 31, 2023, respectively, and had an accumulated deficit of $380.4 million and current debt of $67.5 million as of June 30, 2024. We had cash and cash equivalents of $1.8 million as of June 30, 2024, which were held for working capital expenditures. These conditions raise substantial doubt about our ability to continue as a going concern. Our ability to continue as a going concern requires that we obtain sufficient funding to meet our obligations and finance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 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that we will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We believe that our operating losses and negative operating cash flows will continue into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of $1.8 million as of June 30, 2024. Our cash position raises substantial doubt regarding our ability to continue as a going concern for 12 months after the consolidated financial statements issuance. We will require substantial additional capital to continue operations. Such additional capital might not be available when we need it and our actual cash requirements might be greater than anticipated. We cannot be certain that additional capital will be available on attractive terms, if at all, when needed, which could be dilutive to stockholders, and our financial condition, results of operations, business and prospects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years ended December 31, 2022 and 2021, and our consolidated financial statements for the year ended December 31, 2023, our management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do not have sufficient full-time accounting personnel, (i) to enable appropriate reviews over the financial close and reporting process, (ii) to allow for appropriate segregation of duties, and (iii) with the requisite experience and technical accounting knowledge to identify, review and resolve complex accounting issues under generally accepted accounting principles in the U.S. (“GAAP”). Additionally, we did not adequately design and/or implement controls related to conducting a formal risk assessment process.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consolidated financial statements for the year ended December 31, 2023, our management identified a material weakness in our internal control over financial reporting. The material weakness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Inventory controls related to the completeness, existence, and cut-off of inventories held at third parties, and controls related to the calculation of adjustments to inventory for items considered excessive and obsolete.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such an evaluation been performed, additional control deficiencies may have been identified by the Company’s management, and those control deficiencies could have also represented one or more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was not required to evaluate internal control over financial reporting as of December 31, 2023 in accordance with the provisions of the Sarbanes-Oxley Act. Had such an evaluation been performed, Complete Solaria’s management may have identified additional control deficiencies, and those control deficiencies could have also represented one or more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assure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(“OSHA”) and the Department of Transportation (“DOT”)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but it may be harmed if the cost of such components stabilizes or increases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legal proceedings that arise from normal business activities. In addition, from time to time, third parties may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securities could contribute to the loss of all or part of your investment. Prior to the Business Combination, there was no public market for Solaria’s stock and trading in the shares of our common stock (prior to consummation of the Business Combination, “FACT Common Stock”) was not active. Accordingly, the valuation ascribed to Solaria and FACT Common Stock in the Business Combination may not have been indicative of the price that will prevail in the trading market following the Business Combination.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40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actual or anticipated fluctuations in our quarterly financial results or the quarterly financial results of companies perceived to be similar to us;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changes in the market’s expectations about our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sz w:val="20"/>
              </w:rPr>
            </w:pPr>
            <w:r>
              <w:rPr>
                <w:sz w:val="20"/>
              </w:rPr>
              <w:t>success of competitors;</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sz w:val="20"/>
              </w:rPr>
            </w:pPr>
            <w:r>
              <w:rPr>
                <w:sz w:val="20"/>
              </w:rPr>
              <w:t>our operating results failing to meet the expectation of securities analysts or investors in a particular period;</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sz w:val="20"/>
              </w:rPr>
            </w:pPr>
            <w:r>
              <w:rPr>
                <w:sz w:val="20"/>
              </w:rPr>
              <w:t>changes in financial estimates and recommendations by securities analysts concerning us or the market in general;</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sz w:val="20"/>
              </w:rPr>
            </w:pPr>
            <w:r>
              <w:rPr>
                <w:sz w:val="20"/>
              </w:rPr>
              <w:t>operating and stock price performance of other companies that investors deem comparable to us;</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sz w:val="20"/>
              </w:rPr>
            </w:pPr>
            <w:r>
              <w:rPr>
                <w:sz w:val="20"/>
              </w:rPr>
              <w:t>our ability to develop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changes in laws and regulations affecting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commencement of, or involvement in, litigation involving us;</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0"/>
              </w:rPr>
            </w:pPr>
            <w:r>
              <w:rPr>
                <w:sz w:val="20"/>
              </w:rPr>
              <w:t>changes in our capital structure, such as future issuances of securities or the incurrence of additional debt;</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the volume of shares of our securities available for public sale</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sz w:val="20"/>
              </w:rPr>
            </w:pPr>
            <w:r>
              <w:rPr>
                <w:sz w:val="20"/>
              </w:rPr>
              <w:t>any major change in our board of directors or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sales of substantial amounts of common stock by our directors, executive officers or significant stockholders or the perception that such sales could occur;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general economic and political conditions such as recessions, interest rates, fuel prices, international currency fluctuations and acts of war or 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continue, which would adversely affect the liquidity and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comply with the continued listing standards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complied in the past, and we may not be able to comply in the future, with the continued listing standards of Nasdaq. On April 16, 2024, we received written notice (“NASDAQ Notice”) from Nasdaq notifying us that we were not in compliance with the minimum bid price requirement set forth in Nasdaq Listing Rule 5450(a)(1) for continued listing on The Nasdaq Global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 We had 180 calendar days to regain compliance with the minimum bid price requirement. To regain compliance, the closing bid price of our common stock was required to be at least $1.00 per share for a minimum of ten consecutive business days before October 14, 2024. We satisfied this requirement during the thirteen week period ended June 30, 2024. On June 3, 2024, we received written notice from the Nasdaq notifying the Company that it had regained compliance with the minimum bid price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16, 2024, we received a letter (“NASDAQ Letter”) from the staff at Nasdaq notifying us that, for the 30 consecutive trading days prior to the date of the NASDAQ Letter, our common stock had traded at a value below the minimum $50,000,000 “Market Value of Listed Securities” (“MVLS”) requirement set forth in Nasdaq Listing Rule 5450(b)(2)(A), which is required for continued listing of our common stock on The Nasdaq Global Market. In accordance with Nasdaq listing rule 5810(c)(3)(C), we have 180 calendar days, or until October 14, 2024, to regain compliance. The NASDAQ Letter notes that to regain compliance, our common stock must trade at or above a level such that our MVLS closes at or above $50,000,000 for a minimum of ten consecutive business days during the compliance period, which ends October 14, 2024. The NASDAQ Letter further notes that if we are unable to satisfy the MVLS requirement prior to such date, we may be eligible to transfer the listing of its securities to The Nasdaq Capital Market (provided that the Company then satisfies the requirements for continued listing on that market). If the Company does not regain compliance by October 14, 2024, Nasdaq staff will provide written notice to the Company that its securities are subject to delisting. At that time, we may appeal any such delisting determination to a hearings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the listing standards, we and our stockholders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sz w:val="20"/>
              </w:rPr>
            </w:pPr>
            <w:r>
              <w:rPr>
                <w:sz w:val="20"/>
              </w:rPr>
              <w:t>a limited availability of market quotations for our securities;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limited amount of analyst coverage; and a decreased ability to issue additional securities or obtain additional financing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common stock in the public market by our shareholders could cause the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Delaware General Corporation Law may delay or prevent an acquisition by a third party that could otherwise be in the interests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sz w:val="20"/>
              </w:rPr>
            </w:pPr>
            <w:r>
              <w:rPr>
                <w:sz w:val="20"/>
              </w:rPr>
              <w:t>advance notice requirements for stockholder proposals and director nominations;</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sz w:val="20"/>
              </w:rPr>
            </w:pPr>
            <w:r>
              <w:rPr>
                <w:sz w:val="20"/>
              </w:rPr>
              <w:t>provisions limiting stockholders’ ability to call special meetings of stockholders and to take action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sz w:val="20"/>
              </w:rPr>
            </w:pPr>
            <w:r>
              <w:rPr>
                <w:sz w:val="20"/>
              </w:rPr>
              <w:t>restrictions on business combinations with interested stockholders;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sz w:val="20"/>
              </w:rPr>
            </w:pPr>
            <w:r>
              <w:rPr>
                <w:sz w:val="20"/>
              </w:rPr>
              <w:t>no cumulative voting;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sz w:val="20"/>
              </w:rPr>
            </w:pPr>
            <w:r>
              <w:rPr>
                <w:sz w:val="20"/>
              </w:rPr>
              <w:t>any derivative action or proceeding brought on behalf of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action asserting a claim against us or any of our current or former directors, officers, stockholders, employees or agents relating to any provision of the Delaware General Corporation Law (“DGCL”) or our Certificate of Incorporation or the Bylaws or as to which the DGCL confers jurisdiction on the Court of Chancery of the State of Delaware;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be required to repurchase up to 6,720,000 shares of common stock from the investors with whom we entered into Forward Purchase Agreements in connection with the closing of the Business Combination, which would reduce the amount of cash available to us to fund our growth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entered into separate Forward Purchase Agreements with certain investors (together, the “</w:t>
      </w:r>
      <w:r>
        <w:rPr>
          <w:rFonts w:ascii="Times New Roman;Times;Serif" w:hAnsi="Times New Roman;Times;Serif"/>
          <w:b/>
          <w:i w:val="false"/>
          <w:caps w:val="false"/>
          <w:smallCaps w:val="false"/>
          <w:sz w:val="20"/>
        </w:rPr>
        <w:t>FPA Investors</w:t>
      </w:r>
      <w:r>
        <w:rPr>
          <w:rFonts w:ascii="Times New Roman;Times;Serif" w:hAnsi="Times New Roman;Times;Serif"/>
          <w:b w:val="false"/>
          <w:i w:val="false"/>
          <w:caps w:val="false"/>
          <w:smallCaps w:val="false"/>
          <w:sz w:val="20"/>
        </w:rPr>
        <w:t>”), pursuant to which FACT (now Complete Solaria following the Closing) agreed to purchase in the aggregate, on the date that is 24 months after the Closing Date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up to 6,720,000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hold some or all of the 6,720,000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shares of our common stock may not be exercised at all or may be exercised on a cashless basis and we may not receive any cash proceeds from the exercise of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5.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6264"/>
        <w:gridCol w:w="60"/>
        <w:gridCol w:w="500"/>
        <w:gridCol w:w="60"/>
        <w:gridCol w:w="808"/>
        <w:gridCol w:w="60"/>
        <w:gridCol w:w="650"/>
        <w:gridCol w:w="60"/>
        <w:gridCol w:w="958"/>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6264" w:type="dxa"/>
            <w:tcBorders>
              <w:bottom w:val="single" w:sz="12" w:space="0" w:color="000000"/>
            </w:tcBorders>
            <w:vAlign w:val="center"/>
          </w:tcPr>
          <w:p>
            <w:pPr>
              <w:pStyle w:val="TableContents"/>
              <w:bidi w:val="0"/>
              <w:spacing w:before="0" w:after="283"/>
              <w:jc w:val="center"/>
              <w:rPr>
                <w:b/>
                <w:sz w:val="20"/>
              </w:rPr>
            </w:pPr>
            <w:r>
              <w:rPr>
                <w:b/>
                <w:sz w:val="20"/>
              </w:rPr>
              <w:t>Exhibit Description</w:t>
            </w:r>
          </w:p>
        </w:tc>
        <w:tc>
          <w:tcPr>
            <w:tcW w:w="60" w:type="dxa"/>
            <w:tcBorders/>
            <w:tcMar>
              <w:bottom w:w="0" w:type="dxa"/>
            </w:tcMar>
            <w:vAlign w:val="center"/>
          </w:tcPr>
          <w:p>
            <w:pPr>
              <w:pStyle w:val="TableContents"/>
              <w:bidi w:val="0"/>
              <w:spacing w:before="0" w:after="283"/>
              <w:jc w:val="center"/>
              <w:rPr/>
            </w:pPr>
            <w:r>
              <w:rPr/>
              <w:t> </w:t>
            </w:r>
          </w:p>
        </w:tc>
        <w:tc>
          <w:tcPr>
            <w:tcW w:w="500" w:type="dxa"/>
            <w:tcBorders>
              <w:bottom w:val="single" w:sz="12" w:space="0" w:color="000000"/>
            </w:tcBorders>
            <w:vAlign w:val="center"/>
          </w:tcPr>
          <w:p>
            <w:pPr>
              <w:pStyle w:val="TableContents"/>
              <w:bidi w:val="0"/>
              <w:spacing w:before="0" w:after="283"/>
              <w:jc w:val="center"/>
              <w:rPr>
                <w:b/>
                <w:sz w:val="20"/>
              </w:rPr>
            </w:pPr>
            <w:r>
              <w:rPr>
                <w:b/>
                <w:sz w:val="20"/>
              </w:rPr>
              <w:t>Form</w:t>
            </w:r>
          </w:p>
        </w:tc>
        <w:tc>
          <w:tcPr>
            <w:tcW w:w="60" w:type="dxa"/>
            <w:tcBorders/>
            <w:tcMar>
              <w:bottom w:w="0" w:type="dxa"/>
            </w:tcMar>
            <w:vAlign w:val="center"/>
          </w:tcPr>
          <w:p>
            <w:pPr>
              <w:pStyle w:val="TableContents"/>
              <w:bidi w:val="0"/>
              <w:spacing w:before="0" w:after="283"/>
              <w:jc w:val="center"/>
              <w:rPr/>
            </w:pPr>
            <w:r>
              <w:rPr/>
              <w:t> </w:t>
            </w:r>
          </w:p>
        </w:tc>
        <w:tc>
          <w:tcPr>
            <w:tcW w:w="808" w:type="dxa"/>
            <w:tcBorders>
              <w:bottom w:val="single" w:sz="12" w:space="0" w:color="000000"/>
            </w:tcBorders>
            <w:vAlign w:val="center"/>
          </w:tcPr>
          <w:p>
            <w:pPr>
              <w:pStyle w:val="TableContents"/>
              <w:bidi w:val="0"/>
              <w:spacing w:before="0" w:after="283"/>
              <w:jc w:val="center"/>
              <w:rPr>
                <w:b/>
                <w:sz w:val="20"/>
              </w:rPr>
            </w:pPr>
            <w:r>
              <w:rPr>
                <w:b/>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12" w:space="0" w:color="000000"/>
            </w:tcBorders>
            <w:vAlign w:val="center"/>
          </w:tcPr>
          <w:p>
            <w:pPr>
              <w:pStyle w:val="TableContents"/>
              <w:bidi w:val="0"/>
              <w:spacing w:before="0" w:after="283"/>
              <w:jc w:val="center"/>
              <w:rPr>
                <w:b/>
                <w:sz w:val="20"/>
              </w:rPr>
            </w:pPr>
            <w:r>
              <w:rPr>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958" w:type="dxa"/>
            <w:tcBorders>
              <w:bottom w:val="single" w:sz="12" w:space="0" w:color="000000"/>
            </w:tcBorders>
            <w:vAlign w:val="center"/>
          </w:tcPr>
          <w:p>
            <w:pPr>
              <w:pStyle w:val="TableContents"/>
              <w:bidi w:val="0"/>
              <w:spacing w:before="0" w:after="283"/>
              <w:jc w:val="center"/>
              <w:rPr>
                <w:b/>
                <w:sz w:val="20"/>
              </w:rPr>
            </w:pPr>
            <w:r>
              <w:rPr>
                <w:b/>
                <w:sz w:val="20"/>
              </w:rPr>
              <w:t>Filing Date</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Pr>
              <w:instrText xml:space="preserve"> HYPERLINK "https://www.sec.gov/Archives/edgar/data/1838987/000119312523155921/d425844ds4a.htm" \l "anxacov"</w:instrText>
            </w:r>
            <w:r>
              <w:rPr>
                <w:rStyle w:val="InternetLink"/>
                <w:sz w:val="20"/>
              </w:rPr>
              <w:fldChar w:fldCharType="separate"/>
            </w:r>
            <w:r>
              <w:rPr>
                <w:rStyle w:val="InternetLink"/>
                <w:sz w:val="20"/>
              </w:rPr>
              <w:t>Amended and Restated Business Combination Agreement, dated as of May 26, 2023, by and among Freedom Acquisition I Corp., Jupiter Merger Sub I Corp., Jupiter Merger Sub II LLC, Complete Solar Holding Corporation, and The Solaria Corporation</w:t>
            </w:r>
            <w:r>
              <w:rPr>
                <w:rStyle w:val="InternetLink"/>
                <w:sz w:val="20"/>
              </w:rPr>
              <w:fldChar w:fldCharType="end"/>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S-4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333-269674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May 31, 2023</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2">
              <w:r>
                <w:rPr>
                  <w:rStyle w:val="InternetLink"/>
                  <w:sz w:val="20"/>
                </w:rPr>
                <w:t>Agreement and Plan of Merger, dated as of October 3, 2022, by and between Complete Solar Holding Corporation, Complete Solar Midco, LLC, Complete Solar Merger Sub, Inc., The Solaria Corporation, and Fortis Advisors LLC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S-4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333-269674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February 10, 2023</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3">
              <w:r>
                <w:rPr>
                  <w:rStyle w:val="InternetLink"/>
                  <w:sz w:val="20"/>
                </w:rPr>
                <w:t>Asset Purchase Agreement dated September 19, 2023, by and among Complete Solaria, Inc., SolarCA, LLC, and Maxeon Solar Technologies, Ltd.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2023-09-21</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4">
              <w:r>
                <w:rPr>
                  <w:rStyle w:val="InternetLink"/>
                  <w:sz w:val="20"/>
                </w:rPr>
                <w:t>Certificate of Incorporation of Complete Solaria</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2023-07-21</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5">
              <w:r>
                <w:rPr>
                  <w:rStyle w:val="InternetLink"/>
                  <w:sz w:val="20"/>
                </w:rPr>
                <w:t>Bylaws of Complete Solaria</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2023-07-21</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6">
              <w:r>
                <w:rPr>
                  <w:rStyle w:val="InternetLink"/>
                  <w:sz w:val="20"/>
                </w:rPr>
                <w:t>Form of Replacement Warrant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2023-10-12</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7">
              <w:r>
                <w:rPr>
                  <w:rStyle w:val="InternetLink"/>
                  <w:sz w:val="20"/>
                </w:rPr>
                <w:t>Form of First Amendment to Replacement Warrant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2023-10-12</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8">
              <w:r>
                <w:rPr>
                  <w:rStyle w:val="InternetLink"/>
                  <w:sz w:val="20"/>
                </w:rPr>
                <w:t>Amended and Restated Registration Rights Agreement, dated July 18, 2023, by and among the Company and certain other stockholders party thereto</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2023-07-24</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9">
              <w:r>
                <w:rPr>
                  <w:rStyle w:val="InternetLink"/>
                  <w:sz w:val="20"/>
                </w:rPr>
                <w:t>Warrant Agreement, dated February 25, 2021, by and between the Company and Continental Stock Transfer &amp; Trust Company, as warrant agent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2021-03-2</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10">
              <w:r>
                <w:rPr>
                  <w:rStyle w:val="InternetLink"/>
                  <w:sz w:val="20"/>
                </w:rPr>
                <w:t>Form of Amendment to SAFE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2024-04-22</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w:anchor="ea021055601ex10-2_complete.htm">
              <w:r>
                <w:rPr>
                  <w:rStyle w:val="InternetLink"/>
                  <w:sz w:val="20"/>
                </w:rPr>
                <w:t>Executive Employment Agreement, dated April 24, 2024, between the Company and Brian Wubbels.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11">
              <w:r>
                <w:rPr>
                  <w:rStyle w:val="InternetLink"/>
                </w:rPr>
                <w:t>Form of Common Stock Purchase Agreement, dated May 1,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2024-05-02</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12">
              <w:r>
                <w:rPr>
                  <w:rStyle w:val="InternetLink"/>
                </w:rPr>
                <w:t>Form of Sandia Second Amendment to Forward Purchase Agreement.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2024-05-14</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13">
              <w:r>
                <w:rPr>
                  <w:rStyle w:val="InternetLink"/>
                  <w:sz w:val="20"/>
                </w:rPr>
                <w:t>Form of Polar Second Amendment to Forward Purchase Agreement.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2024-05-14</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14">
              <w:r>
                <w:rPr>
                  <w:rStyle w:val="InternetLink"/>
                </w:rPr>
                <w:t>Form of SAFE (May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2024-05-17</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w:anchor="ea021055601ex10-7_complete.htm">
              <w:r>
                <w:rPr>
                  <w:rStyle w:val="InternetLink"/>
                  <w:sz w:val="20"/>
                </w:rPr>
                <w:t>Separation Agreement with Chris Lundell, dated as of May 18,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w:anchor="ea021055601ex10-8_complete.htm">
              <w:r>
                <w:rPr>
                  <w:rStyle w:val="InternetLink"/>
                  <w:sz w:val="20"/>
                </w:rPr>
                <w:t>Employment Agreement with Daniel Foley, dated June 7,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15">
              <w:r>
                <w:rPr>
                  <w:rStyle w:val="InternetLink"/>
                  <w:sz w:val="20"/>
                </w:rPr>
                <w:t>Form of Sandia Third Amendment to Forward Purchase Agreement.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2024-06-20</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6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58"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64" w:type="dxa"/>
            <w:tcBorders/>
            <w:shd w:fill="CCEEFF" w:val="clear"/>
            <w:tcMar>
              <w:bottom w:w="0" w:type="dxa"/>
            </w:tcMar>
            <w:vAlign w:val="center"/>
          </w:tcPr>
          <w:p>
            <w:pPr>
              <w:pStyle w:val="TableContents"/>
              <w:bidi w:val="0"/>
              <w:spacing w:before="0" w:after="283"/>
              <w:jc w:val="both"/>
              <w:rPr/>
            </w:pPr>
            <w:hyperlink r:id="rId16">
              <w:r>
                <w:rPr>
                  <w:rStyle w:val="InternetLink"/>
                </w:rPr>
                <w:t>Form of Siemens v. Solaria Final Order.</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8"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center"/>
              <w:rPr>
                <w:sz w:val="20"/>
              </w:rPr>
            </w:pPr>
            <w:r>
              <w:rPr>
                <w:sz w:val="20"/>
              </w:rPr>
              <w:t>2024-06-21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6304"/>
        <w:gridCol w:w="60"/>
        <w:gridCol w:w="573"/>
        <w:gridCol w:w="60"/>
        <w:gridCol w:w="881"/>
        <w:gridCol w:w="60"/>
        <w:gridCol w:w="650"/>
        <w:gridCol w:w="60"/>
        <w:gridCol w:w="772"/>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6304" w:type="dxa"/>
            <w:tcBorders>
              <w:bottom w:val="single" w:sz="12" w:space="0" w:color="000000"/>
            </w:tcBorders>
            <w:vAlign w:val="center"/>
          </w:tcPr>
          <w:p>
            <w:pPr>
              <w:pStyle w:val="TableContents"/>
              <w:bidi w:val="0"/>
              <w:spacing w:before="0" w:after="283"/>
              <w:jc w:val="center"/>
              <w:rPr>
                <w:b/>
                <w:sz w:val="20"/>
              </w:rPr>
            </w:pPr>
            <w:r>
              <w:rPr>
                <w:b/>
                <w:sz w:val="20"/>
              </w:rPr>
              <w:t>Exhibit Description</w:t>
            </w:r>
          </w:p>
        </w:tc>
        <w:tc>
          <w:tcPr>
            <w:tcW w:w="60" w:type="dxa"/>
            <w:tcBorders/>
            <w:tcMar>
              <w:bottom w:w="0" w:type="dxa"/>
            </w:tcMar>
            <w:vAlign w:val="center"/>
          </w:tcPr>
          <w:p>
            <w:pPr>
              <w:pStyle w:val="TableContents"/>
              <w:bidi w:val="0"/>
              <w:spacing w:before="0" w:after="283"/>
              <w:jc w:val="center"/>
              <w:rPr/>
            </w:pPr>
            <w:r>
              <w:rPr/>
              <w:t> </w:t>
            </w:r>
          </w:p>
        </w:tc>
        <w:tc>
          <w:tcPr>
            <w:tcW w:w="573" w:type="dxa"/>
            <w:tcBorders>
              <w:bottom w:val="single" w:sz="12" w:space="0" w:color="000000"/>
            </w:tcBorders>
            <w:vAlign w:val="center"/>
          </w:tcPr>
          <w:p>
            <w:pPr>
              <w:pStyle w:val="TableContents"/>
              <w:bidi w:val="0"/>
              <w:spacing w:before="0" w:after="283"/>
              <w:jc w:val="center"/>
              <w:rPr>
                <w:b/>
                <w:sz w:val="20"/>
              </w:rPr>
            </w:pPr>
            <w:r>
              <w:rPr>
                <w:b/>
                <w:sz w:val="20"/>
              </w:rPr>
              <w:t>Form</w:t>
            </w:r>
          </w:p>
        </w:tc>
        <w:tc>
          <w:tcPr>
            <w:tcW w:w="60" w:type="dxa"/>
            <w:tcBorders/>
            <w:tcMar>
              <w:bottom w:w="0" w:type="dxa"/>
            </w:tcMar>
            <w:vAlign w:val="center"/>
          </w:tcPr>
          <w:p>
            <w:pPr>
              <w:pStyle w:val="TableContents"/>
              <w:bidi w:val="0"/>
              <w:spacing w:before="0" w:after="283"/>
              <w:jc w:val="center"/>
              <w:rPr/>
            </w:pPr>
            <w:r>
              <w:rPr/>
              <w:t> </w:t>
            </w:r>
          </w:p>
        </w:tc>
        <w:tc>
          <w:tcPr>
            <w:tcW w:w="881" w:type="dxa"/>
            <w:tcBorders>
              <w:bottom w:val="single" w:sz="12" w:space="0" w:color="000000"/>
            </w:tcBorders>
            <w:vAlign w:val="center"/>
          </w:tcPr>
          <w:p>
            <w:pPr>
              <w:pStyle w:val="TableContents"/>
              <w:bidi w:val="0"/>
              <w:spacing w:before="0" w:after="283"/>
              <w:jc w:val="center"/>
              <w:rPr>
                <w:b/>
                <w:sz w:val="20"/>
              </w:rPr>
            </w:pPr>
            <w:r>
              <w:rPr>
                <w:b/>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12" w:space="0" w:color="000000"/>
            </w:tcBorders>
            <w:vAlign w:val="center"/>
          </w:tcPr>
          <w:p>
            <w:pPr>
              <w:pStyle w:val="TableContents"/>
              <w:bidi w:val="0"/>
              <w:spacing w:before="0" w:after="283"/>
              <w:jc w:val="center"/>
              <w:rPr>
                <w:b/>
                <w:sz w:val="20"/>
              </w:rPr>
            </w:pPr>
            <w:r>
              <w:rPr>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772" w:type="dxa"/>
            <w:tcBorders>
              <w:bottom w:val="single" w:sz="12" w:space="0" w:color="000000"/>
            </w:tcBorders>
            <w:vAlign w:val="center"/>
          </w:tcPr>
          <w:p>
            <w:pPr>
              <w:pStyle w:val="TableContents"/>
              <w:bidi w:val="0"/>
              <w:spacing w:before="0" w:after="283"/>
              <w:jc w:val="center"/>
              <w:rPr>
                <w:b/>
                <w:sz w:val="20"/>
              </w:rPr>
            </w:pPr>
            <w:r>
              <w:rPr>
                <w:b/>
                <w:sz w:val="20"/>
              </w:rPr>
              <w:t>Filing Date</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17">
              <w:r>
                <w:rPr>
                  <w:rStyle w:val="InternetLink"/>
                  <w:sz w:val="20"/>
                </w:rPr>
                <w:t>Form of Common Stock Warrant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2024-06-24</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18">
              <w:r>
                <w:rPr>
                  <w:rStyle w:val="InternetLink"/>
                  <w:sz w:val="20"/>
                </w:rPr>
                <w:t>Form of Statement of Work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2024-06-24</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19">
              <w:r>
                <w:rPr>
                  <w:rStyle w:val="InternetLink"/>
                  <w:sz w:val="20"/>
                </w:rPr>
                <w:t>Employment Extension Agreement</w:t>
              </w:r>
            </w:hyperlink>
            <w:hyperlink r:id="rId20">
              <w:r>
                <w:rPr>
                  <w:rStyle w:val="InternetLink"/>
                </w:rPr>
                <w:t xml:space="preserve">, </w:t>
              </w:r>
            </w:hyperlink>
            <w:hyperlink r:id="rId21">
              <w:r>
                <w:rPr>
                  <w:rStyle w:val="InternetLink"/>
                  <w:sz w:val="20"/>
                </w:rPr>
                <w:t>dated June 30, 2024, between Brian Wuebbels and the Company</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2024-07-05</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2">
              <w:r>
                <w:rPr>
                  <w:rStyle w:val="InternetLink"/>
                  <w:sz w:val="20"/>
                </w:rPr>
                <w:t>Exchange Agreement, dated July 1,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2024-07-09</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3">
              <w:r>
                <w:rPr>
                  <w:rStyle w:val="InternetLink"/>
                  <w:sz w:val="20"/>
                </w:rPr>
                <w:t>Form of Convertible Note, dated July 1,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2024-07-09</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4">
              <w:r>
                <w:rPr>
                  <w:rStyle w:val="InternetLink"/>
                  <w:sz w:val="20"/>
                </w:rPr>
                <w:t>Form of Convertible Note Purchase Agreement, dated July 1,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2024-07-09</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5">
              <w:r>
                <w:rPr>
                  <w:rStyle w:val="InternetLink"/>
                  <w:sz w:val="20"/>
                </w:rPr>
                <w:t>Common Stock Purchase Agreement, dated July 16, 2024, by and between the Company and White Lion.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2024-07-17</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10.18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6">
              <w:r>
                <w:rPr>
                  <w:rStyle w:val="InternetLink"/>
                </w:rPr>
                <w:t>Amendment No. 1 to Common Stock Purchase Agreement, effective July 24, 2024, between the Company and White Lion.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pPr>
            <w:r>
              <w:rPr/>
              <w:t>001-400017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pPr>
            <w:r>
              <w:rPr/>
              <w:t>2024-07-26</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7">
              <w:r>
                <w:rPr>
                  <w:rStyle w:val="InternetLink"/>
                  <w:sz w:val="20"/>
                </w:rPr>
                <w:t>Registration Rights Agreement, dated July 16, 2024, by and between the Company and White Lion.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2024-07-17</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8">
              <w:r>
                <w:rPr>
                  <w:rStyle w:val="InternetLink"/>
                  <w:sz w:val="20"/>
                </w:rPr>
                <w:t>OTC Equity Prepaid Forward Transaction Third Amendment, dated as of July 17, 2024, by and between Polar Multi-Strategy Master Fund and the Company</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sz w:val="20"/>
              </w:rPr>
            </w:pPr>
            <w:r>
              <w:rPr>
                <w:sz w:val="20"/>
              </w:rPr>
              <w:t>POS 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sz w:val="20"/>
              </w:rPr>
            </w:pPr>
            <w:r>
              <w:rPr>
                <w:sz w:val="20"/>
              </w:rPr>
              <w:t>333-273820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sz w:val="20"/>
              </w:rPr>
            </w:pPr>
            <w:r>
              <w:rPr>
                <w:sz w:val="20"/>
              </w:rPr>
              <w:t>2024-07-19</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10.21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r:id="rId29">
              <w:r>
                <w:rPr>
                  <w:rStyle w:val="InternetLink"/>
                </w:rPr>
                <w:t>Asset Purchase Agreement, dated as of August 5, 2024, by and among the Company, SunPower Corporation and its subsidiaries named therein.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pPr>
            <w:r>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pPr>
            <w:r>
              <w:rPr/>
              <w:t>001-40017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pPr>
            <w:r>
              <w:rPr/>
              <w:t>2024-08-06</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w:anchor="ea021055601ex31-1_complete.htm">
              <w:r>
                <w:rPr>
                  <w:rStyle w:val="InternetLink"/>
                  <w:sz w:val="20"/>
                </w:rPr>
                <w:t>Certification of Principal Executive Officer pursuant to Rule 13a-14(a) and Rule 15d-14(a) under the Securities Exchange Act of 1934, as adopted pursuant to Section 302 of the Sarbanes-Oxley Act of 2002.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w:anchor="ea021055601ex31-2_complete.htm">
              <w:r>
                <w:rPr>
                  <w:rStyle w:val="InternetLink"/>
                  <w:sz w:val="20"/>
                </w:rPr>
                <w:t>Certification of Principal Financial Officer pursuant to Rule 13a-14(a) and Rule 15d-14(a) under the Securities Exchange Act of 1934, as adopted pursuant to Section 302 of the Sarbanes-Oxley Act of 2002.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pPr>
            <w:hyperlink w:anchor="ea021055601ex32-1_complete.htm">
              <w:r>
                <w:rPr>
                  <w:rStyle w:val="InternetLink"/>
                  <w:sz w:val="20"/>
                </w:rPr>
                <w:t>Certification of Principal Executive Officer and Principal Financial Officer pursuant to 18 U.S.C. 1350, as adopted pursuant to Section 906 of the Sarbanes-Oxley Act of 2002.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sz w:val="20"/>
              </w:rPr>
            </w:pPr>
            <w:r>
              <w:rPr>
                <w:sz w:val="20"/>
              </w:rPr>
              <w:t>Inline XBRL Document Set for the consolidated condensed financial statements and accompanying notes in Consolidated Condensed Financial Statements and Supplemental Details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0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7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72" w:type="dxa"/>
            <w:tcBorders/>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4"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 formatted in Inline XBRL and included as Exhibit 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75"/>
        <w:gridCol w:w="1865"/>
      </w:tblGrid>
      <w:tr>
        <w:trPr/>
        <w:tc>
          <w:tcPr>
            <w:tcW w:w="275" w:type="dxa"/>
            <w:tcBorders/>
            <w:vAlign w:val="center"/>
          </w:tcPr>
          <w:p>
            <w:pPr>
              <w:pStyle w:val="TableContents"/>
              <w:bidi w:val="0"/>
              <w:spacing w:before="0" w:after="283"/>
              <w:jc w:val="left"/>
              <w:rPr>
                <w:sz w:val="20"/>
              </w:rPr>
            </w:pPr>
            <w:r>
              <w:rPr>
                <w:sz w:val="20"/>
              </w:rPr>
              <w:t>*</w:t>
            </w:r>
          </w:p>
        </w:tc>
        <w:tc>
          <w:tcPr>
            <w:tcW w:w="1865" w:type="dxa"/>
            <w:tcBorders/>
            <w:vAlign w:val="center"/>
          </w:tcPr>
          <w:p>
            <w:pPr>
              <w:pStyle w:val="TableContents"/>
              <w:bidi w:val="0"/>
              <w:spacing w:before="0" w:after="283"/>
              <w:jc w:val="both"/>
              <w:rPr>
                <w:sz w:val="20"/>
              </w:rPr>
            </w:pPr>
            <w:r>
              <w:rPr>
                <w:sz w:val="20"/>
              </w:rPr>
              <w:t>Filed herewith</w:t>
            </w:r>
          </w:p>
        </w:tc>
      </w:tr>
      <w:tr>
        <w:trPr/>
        <w:tc>
          <w:tcPr>
            <w:tcW w:w="275"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both"/>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1865"/>
        <w:gridCol w:w="320"/>
        <w:gridCol w:w="4010"/>
      </w:tblGrid>
      <w:tr>
        <w:trPr/>
        <w:tc>
          <w:tcPr>
            <w:tcW w:w="1865" w:type="dxa"/>
            <w:tcBorders/>
            <w:vAlign w:val="center"/>
          </w:tcPr>
          <w:p>
            <w:pPr>
              <w:pStyle w:val="TableContents"/>
              <w:bidi w:val="0"/>
              <w:spacing w:before="0" w:after="283"/>
              <w:jc w:val="left"/>
              <w:rPr/>
            </w:pPr>
            <w:r>
              <w:rPr/>
              <w:t> </w:t>
            </w:r>
          </w:p>
        </w:tc>
        <w:tc>
          <w:tcPr>
            <w:tcW w:w="43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Complete Solaria,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Thurman J. Rodgers</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Thurman J. Rodgers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Executive Chairman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2024</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Foley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21055601ex10-2_complete.htm"/>
      <w:bookmarkStart w:id="25" w:name="ksea021055601ex102_complete"/>
      <w:bookmarkEnd w:id="24"/>
      <w:bookmarkEnd w:id="25"/>
      <w:r>
        <w:rPr>
          <w:b/>
        </w:rPr>
        <w:t>Exhibit 10.2</w:t>
      </w:r>
      <w:r>
        <w:br w:type="page"/>
      </w:r>
    </w:p>
    <w:p>
      <w:pPr>
        <w:pStyle w:val="TextBody"/>
        <w:bidi w:val="0"/>
        <w:jc w:val="center"/>
        <w:rPr/>
      </w:pPr>
      <w:r>
        <w:rPr/>
        <w:t> </w:t>
      </w:r>
    </w:p>
    <w:p>
      <w:pPr>
        <w:pStyle w:val="TextBody"/>
        <w:bidi w:val="0"/>
        <w:jc w:val="center"/>
        <w:rPr/>
      </w:pPr>
      <w:r>
        <w:rPr/>
        <w:drawing>
          <wp:inline distT="0" distB="0" distL="0" distR="0">
            <wp:extent cx="22193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0"/>
                    <a:stretch>
                      <a:fillRect/>
                    </a:stretch>
                  </pic:blipFill>
                  <pic:spPr bwMode="auto">
                    <a:xfrm>
                      <a:off x="0" y="0"/>
                      <a:ext cx="2219325" cy="695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Wuebbels bwuebbels@completesolar.com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Brian,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Complete Solaria,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we are delighted to extend an offer of full-time employment to you as </w:t>
      </w:r>
      <w:r>
        <w:rPr>
          <w:rFonts w:ascii="Times New Roman;Times;Serif" w:hAnsi="Times New Roman;Times;Serif"/>
          <w:b/>
          <w:i w:val="false"/>
          <w:caps w:val="false"/>
          <w:smallCaps w:val="false"/>
          <w:sz w:val="20"/>
        </w:rPr>
        <w:t>Chief Operations Officer</w:t>
      </w:r>
      <w:r>
        <w:rPr>
          <w:rFonts w:ascii="Times New Roman;Times;Serif" w:hAnsi="Times New Roman;Times;Serif"/>
          <w:b w:val="false"/>
          <w:i w:val="false"/>
          <w:caps w:val="false"/>
          <w:smallCaps w:val="false"/>
          <w:sz w:val="20"/>
        </w:rPr>
        <w:t>, subject to the terms and conditions of this letter agreement (the “</w:t>
      </w:r>
      <w:r>
        <w:rPr>
          <w:rFonts w:ascii="Times New Roman;Times;Serif" w:hAnsi="Times New Roman;Times;Serif"/>
          <w:b/>
          <w:i w:val="false"/>
          <w:caps w:val="false"/>
          <w:smallCaps w:val="false"/>
          <w:sz w:val="20"/>
        </w:rPr>
        <w:t>Offer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Responsibilities and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Chief Operations Officer, you will report directly to TJ Rodgers, Executive Chairman and interim CEO, and have the customary responsibilities associated with the position. You agree to continue to devote your full business time, attention, and best efforts to the performance of your duties and to the furtherance of the Company’s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full-time employee, your base salary will be $330,000 annually, paid in accordance with the Company’s standard payroll policies, provided you have rendered services during the pay period and subject to any deductions permitted under law. Your base salary will be subject to review annually by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a committee thereof, as part of the Company’s normal salary review process. Your role as Chief Operations Officer is full-time exempt, which means you will be expected to work the Company’s normal business hours as well as additional hours as required by the nature of your work assignments, and you will not be eligible for overtime compensation. As a full-time employee, you are eligible to participate in the benefits the Company provides to similarly situated full-time employees, as stated in this Offer Letter and the Company’s other policies.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January 1, 2024, and for each year of employment thereafter, you will be eligible for an annual bonus of 50% of your annual gross salary (the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Your Annual Bonus is not guaranteed and is based on your performance and the performance of the Company during the calendar year, as well as any other criteria the Company deems relevant. The Company typically sets its plan after Board review and approval of its Annual Operating Plan (AOP) which normally happens in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Quarter of the calendar year. To be eligible to receive an Annual Bonus you must be employed by the Company and in good standing on the date of the applicable Annual Bonus payment. All Bonuses will be paid in accordance with the Company’s standard payroll policies and subject to applicable withholdings by no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following calendar year. No prorated amount will be paid if your employment terminates for any reason prior to the payment date, other than as set forth below under “Severance”.</w:t>
      </w:r>
    </w:p>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1</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Incentive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formal approval by the Board, you will be granted an option (the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to purchase 750,000 shares of the Company’s Common Stock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with a vesting schedule of 1/60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that will vest each month on the same day as the vesting commencement date. The Option is subject to the terms of the Company’s Stock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in effect at the time the Option is granted and will be evidenced by a Notice of Stock Option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Option will be equal to the fair market value of the Company’s Common Stock on the Grant Date, as determined by the Board.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current full-time employee, your employee benefits will continue uninterrupted.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Confidential Information and Company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employee, you are expected to abide by Company rules and policies. As a condition of employment, you must sign and comply with the attached Employee Confidential Information and Inventions Assignment Agreement which prohibits unauthorized use or disclosure of the Company’s proprietary information, among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Severance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your compliance with the Preconditions (as defined below), then in the event your employment is terminated by the Company for reasons other than for Cause (as defined below), death, or Disability (as defined below), or you resign from your employment for Good Reason (as defined below) and provided such termination constitutes a “separation from service” (as defined under Treasury Regulation Section 1.409A-1(h), without regard to any alternative definition thereunder, a “</w:t>
      </w:r>
      <w:r>
        <w:rPr>
          <w:rFonts w:ascii="Times New Roman;Times;Serif" w:hAnsi="Times New Roman;Times;Serif"/>
          <w:b/>
          <w:i w:val="false"/>
          <w:caps w:val="false"/>
          <w:smallCaps w:val="false"/>
          <w:sz w:val="20"/>
        </w:rPr>
        <w:t>Separation from Service</w:t>
      </w:r>
      <w:r>
        <w:rPr>
          <w:rFonts w:ascii="Times New Roman;Times;Serif" w:hAnsi="Times New Roman;Times;Serif"/>
          <w:b w:val="false"/>
          <w:i w:val="false"/>
          <w:caps w:val="false"/>
          <w:smallCaps w:val="false"/>
          <w:sz w:val="20"/>
        </w:rPr>
        <w:t>”), then the Company shall provide you with the following severance benefits (collectively, the “</w:t>
      </w:r>
      <w:r>
        <w:rPr>
          <w:rFonts w:ascii="Times New Roman;Times;Serif" w:hAnsi="Times New Roman;Times;Serif"/>
          <w:b/>
          <w:i w:val="false"/>
          <w:caps w:val="false"/>
          <w:smallCaps w:val="false"/>
          <w:sz w:val="20"/>
        </w:rPr>
        <w:t>Severance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20"/>
              </w:rPr>
            </w:pPr>
            <w:r>
              <w:rPr>
                <w:sz w:val="20"/>
              </w:rPr>
              <w:t>(i)</w:t>
            </w:r>
          </w:p>
        </w:tc>
        <w:tc>
          <w:tcPr>
            <w:tcW w:w="10014" w:type="dxa"/>
            <w:tcBorders/>
            <w:vAlign w:val="center"/>
          </w:tcPr>
          <w:p>
            <w:pPr>
              <w:pStyle w:val="TableContents"/>
              <w:bidi w:val="0"/>
              <w:spacing w:before="0" w:after="283"/>
              <w:jc w:val="both"/>
              <w:rPr/>
            </w:pPr>
            <w:r>
              <w:rPr>
                <w:sz w:val="20"/>
              </w:rPr>
              <w:t>an amount equal to six (6) months of your then-current base salary, less applicable withholdings, paid over such six (6) month period, on the schedule described below (the “</w:t>
            </w:r>
            <w:r>
              <w:rPr>
                <w:b/>
                <w:sz w:val="20"/>
              </w:rPr>
              <w:t>Salary Severance</w:t>
            </w:r>
            <w:r>
              <w:rPr>
                <w:sz w:val="20"/>
              </w:rPr>
              <w:t xml:space="preserve">”), </w:t>
            </w:r>
            <w:r>
              <w:rPr>
                <w:i/>
                <w:sz w:val="20"/>
              </w:rPr>
              <w:t>provided, however</w:t>
            </w:r>
            <w:r>
              <w:rPr>
                <w:sz w:val="20"/>
              </w:rPr>
              <w:t>, that if the Separation from Service occurs on or within twelve (12) months following a Change of Control, the Salary Severance shall be an amount equal to six (6) months of your then-current base salary, less applicable withholdings, paid over such six (6) months</w:t>
            </w:r>
            <w:r>
              <w:rPr/>
              <w:t xml:space="preserve"> on the schedule described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(ii)</w:t>
            </w:r>
          </w:p>
        </w:tc>
        <w:tc>
          <w:tcPr>
            <w:tcW w:w="9941" w:type="dxa"/>
            <w:tcBorders/>
            <w:vAlign w:val="center"/>
          </w:tcPr>
          <w:p>
            <w:pPr>
              <w:pStyle w:val="TableContents"/>
              <w:bidi w:val="0"/>
              <w:spacing w:before="0" w:after="283"/>
              <w:jc w:val="both"/>
              <w:rPr/>
            </w:pPr>
            <w:r>
              <w:rPr/>
              <w:t>a lump sum amount equal to any earned but unpaid Annual Bonus from a previous fiscal year plus a pro rata portion of the Annual Bonus with respect to the fiscal year in which such Separation from Service occurs (but only to the extent such Annual Bonus would have been earned by you pursuant to the “Bonus” section above and the objectives, requirements, and standards set forth in the “Bonus” section above would have been fully satisfied, in each case based on actual performance as determined following the end of the applicable fiscal year) (the “</w:t>
            </w:r>
            <w:r>
              <w:rPr>
                <w:b/>
              </w:rPr>
              <w:t>Bonus Severance</w:t>
            </w:r>
            <w:r>
              <w:rPr/>
              <w:t>”);</w:t>
            </w:r>
          </w:p>
        </w:tc>
      </w:tr>
    </w:tbl>
    <w:p>
      <w:pPr>
        <w:pStyle w:val="TextBody"/>
        <w:bidi w:val="0"/>
        <w:spacing w:before="0" w:after="0"/>
        <w:ind w:left="1680" w:right="0" w:hanging="720"/>
        <w:jc w:val="both"/>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2</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spacing w:before="0" w:after="0"/>
        <w:jc w:val="center"/>
        <w:rPr/>
      </w:pPr>
      <w:r>
        <w:rPr/>
        <w:t> </w:t>
      </w:r>
    </w:p>
    <w:p>
      <w:pPr>
        <w:pStyle w:val="TextBody"/>
        <w:bidi w:val="0"/>
        <w:spacing w:before="0" w:after="0"/>
        <w:ind w:left="16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(iii)</w:t>
            </w:r>
          </w:p>
        </w:tc>
        <w:tc>
          <w:tcPr>
            <w:tcW w:w="9891" w:type="dxa"/>
            <w:tcBorders/>
            <w:vAlign w:val="center"/>
          </w:tcPr>
          <w:p>
            <w:pPr>
              <w:pStyle w:val="TableContents"/>
              <w:bidi w:val="0"/>
              <w:spacing w:before="0" w:after="283"/>
              <w:jc w:val="both"/>
              <w:rPr/>
            </w:pPr>
            <w:r>
              <w:rPr/>
              <w:t>if you timely elect continued coverage under COBRA for yourself and your covered dependents under the Company’s group health plans following such termination or resignation of employment, then the Company shall pay the COBRA premiums necessary to continue your health insurance coverage in effect for yourself and your eligible dependents on the termination date until the earliest of (A) the close of the three (3) month period following the termination of your employment (or, if the Separation from Service occurs on or within twelve (12) months following a Change of Control, the close of the three (3) month period following the termination of your employment), (B) the expiration of your eligibility for the continuation coverage under COBRA, or (C) the date when you become eligible for substantially equivalent health insurance coverage in connection with new employment (such period from the termination date through the earliest of (A) through (C), the “</w:t>
            </w:r>
            <w:r>
              <w:rPr>
                <w:b/>
              </w:rPr>
              <w:t>COBRA Payment Period</w:t>
            </w:r>
            <w:r>
              <w:rPr/>
              <w:t>”). Notwithstanding the foregoing, if the Company determines, in its sole discretion, that the payment of the COBRA premiums could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you on the first day of each month of the COBRA Payment Period, a fully taxable cash payment equal to the COBRA premiums for that month, subject to applicable tax withholdings (such amount, the “</w:t>
            </w:r>
            <w:r>
              <w:rPr>
                <w:b/>
              </w:rPr>
              <w:t>Special Severance Payment</w:t>
            </w:r>
            <w:r>
              <w:rPr/>
              <w:t>”), for the remainder of the COBRA Payment Period. You may, but are not obligated to, use such Special Severance Payment toward the cost of COBRA premiums. On the sixtieth (60th) day following your Separation from Service, the Company will make the first payment under this clause (and, in the case of the Special Severance Payment, such payment will be you, in a lump sum) equal to the aggregate amount of payments that the Company would have paid through such date had such payments commenced on the Separation from Service through such sixtieth (60th) day, with the balance of the payments paid thereafter on the schedule described above.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(iv)</w:t>
            </w:r>
          </w:p>
        </w:tc>
        <w:tc>
          <w:tcPr>
            <w:tcW w:w="9881" w:type="dxa"/>
            <w:tcBorders/>
            <w:vAlign w:val="center"/>
          </w:tcPr>
          <w:p>
            <w:pPr>
              <w:pStyle w:val="TableContents"/>
              <w:bidi w:val="0"/>
              <w:spacing w:before="0" w:after="283"/>
              <w:jc w:val="both"/>
              <w:rPr/>
            </w:pPr>
            <w:r>
              <w:rPr/>
              <w:t>the applicable post-termination exercise periods for any vested options as of the Separation from Service shall be extended to the earlier of (i) the six-month (6-month) anniversary of the Separation from Service (or the twelve-month (12-month) anniversary if the Separation from Service is on or within twelve (12) months following a Change of Control), (ii) the expiration date of the option, or (iii) earlier termination upon a corporate transaction as provided under the applicable stock plan (the “</w:t>
            </w:r>
            <w:r>
              <w:rPr>
                <w:b/>
              </w:rPr>
              <w:t>Post-Termination Exercise Period Extension</w:t>
            </w:r>
            <w:r>
              <w:rPr/>
              <w:t>”); and</w:t>
            </w:r>
          </w:p>
        </w:tc>
      </w:tr>
    </w:tbl>
    <w:p>
      <w:pPr>
        <w:pStyle w:val="TextBody"/>
        <w:bidi w:val="0"/>
        <w:spacing w:before="0" w:after="283"/>
        <w:jc w:val="left"/>
        <w:rPr/>
      </w:pPr>
      <w:r>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3</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spacing w:before="0" w:after="0"/>
        <w:jc w:val="center"/>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(v)</w:t>
            </w:r>
          </w:p>
        </w:tc>
        <w:tc>
          <w:tcPr>
            <w:tcW w:w="9933" w:type="dxa"/>
            <w:tcBorders/>
            <w:vAlign w:val="center"/>
          </w:tcPr>
          <w:p>
            <w:pPr>
              <w:pStyle w:val="TableContents"/>
              <w:bidi w:val="0"/>
              <w:spacing w:before="0" w:after="283"/>
              <w:jc w:val="both"/>
              <w:rPr/>
            </w:pPr>
            <w:r>
              <w:rPr/>
              <w:t>if the Separation from Service is on or within twelve (12) months following a Change of Control, the Company will accelerate fifty percent (50%) of the remaining unvested and outstanding stock options subject to time-based vesting. The other fifty percent (50%) of the remaining unvested and outstanding stock options will be forfeited immediately.</w:t>
            </w:r>
          </w:p>
        </w:tc>
      </w:tr>
    </w:tbl>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payments will begin or be made prior to the 60th day following your Separation from Service. On the 60th day following your Separation from Service, the Company will pay you in a lump sum the Salary Severance and Bonus Severance that you would have received on or prior to such date under the original schedule but for the delay while waiting for the 60th day in compliance with Code Section 409A and the effectiveness of the release, with the balance of the Salary Severance and other Severance Benefits being paid as originally scheduled.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are applicable for purposes of this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Cause” </w:t>
      </w:r>
      <w:r>
        <w:rPr>
          <w:rFonts w:ascii="Times New Roman;Times;Serif" w:hAnsi="Times New Roman;Times;Serif"/>
          <w:b w:val="false"/>
          <w:i w:val="false"/>
          <w:caps w:val="false"/>
          <w:smallCaps w:val="false"/>
          <w:sz w:val="20"/>
        </w:rPr>
        <w:t>shall mean (i) an act of dishonesty made by you in connection with your responsibilities as an employee that has caused or is likely to cause material damage to the Company; (ii) your conviction of, or plea of nolo contendere to, a felony or any crime involving fraud, embezzlement or any other act of moral turpitude; (iii) your commission of any act of fraud, embezzlement, dishonesty or any other willful misconduct that has caused or is likely to cause material damage to the Company; (iv) your breach or disclosure of any confidentiality agreement or invention assignment agreement between you and the Company (or any affiliate of the Company) that has caused or is likely to cause material damage to the Company; (v) your willful failure to perform your employment duties as an employee (other than a failure resulting from your Disability) that has caused or is likely to cause material damage to the Company; or (vi) your willful breach of any of your obligations under any written agreement or covenant with the Company. In the event that the Company believes that Cause has arisen pursuant to the above (other than clause (ii) of this definition) termination shall become effective only after specific written notice thereof from the Company describing the Cause and a 30-day period in which to cure such failure, provided no such notice and cure period is required if the Company determines, in its sole discretion, that Cause is not reasonably curable. The determination as to whether you are being terminated for Cause shall be made in good faith by the Company and shall be final and binding. The foregoing definition does not in any way limit the Company’s ability to terminate your employment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that you have been unable to engage in any substantial gainful activity by reason of any medically determinable physical or mental impairment that can be expected to result in death or can be expected to last for a continuous period of not less than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Good Reason” </w:t>
      </w:r>
      <w:r>
        <w:rPr>
          <w:rFonts w:ascii="Times New Roman;Times;Serif" w:hAnsi="Times New Roman;Times;Serif"/>
          <w:b w:val="false"/>
          <w:i w:val="false"/>
          <w:caps w:val="false"/>
          <w:smallCaps w:val="false"/>
          <w:sz w:val="20"/>
        </w:rPr>
        <w:t xml:space="preserve">means your resignation from employment within 30 days following the “notice and cure period” described below following the occurrence of one or more of the following without your consent: (i) a material reduction in your duties, authorities or responsibilities,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 change in your position following a Change of Control shall not constitute Good Reason so long as you retain substantially the same authorities, duties and responsibilities of a division, subsidiary or business unit that constitutes substantially the same business of the Company following the Change of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reduction in your base salary by more than 10% (other than in connection with similar decreases of other comparable employees of the Company); or (iii) a material change in the geographic location of your primary work facility or location; provided, that a relocation that is consensual or does not increase your average commute time by more than 1 hour from your then present location will not be considered a material change in geographic location.</w:t>
      </w:r>
    </w:p>
    <w:p>
      <w:pPr>
        <w:pStyle w:val="TextBody"/>
        <w:bidi w:val="0"/>
        <w:spacing w:before="0" w:after="0"/>
        <w:ind w:left="720" w:right="0" w:hanging="0"/>
        <w:jc w:val="both"/>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4</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the Company receives such notice during which such condition must not have been cured.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Preconditions</w:t>
      </w:r>
      <w:r>
        <w:rPr>
          <w:rFonts w:ascii="Times New Roman;Times;Serif" w:hAnsi="Times New Roman;Times;Serif"/>
          <w:b w:val="false"/>
          <w:i w:val="false"/>
          <w:caps w:val="false"/>
          <w:smallCaps w:val="false"/>
          <w:sz w:val="20"/>
        </w:rPr>
        <w:t>” to your receipt of any severance benefits under this Offer Letter are that you must continue to comply with your obligations under your Confidential Information and Inventions Assignment Agreement; (b) deliver to the Company an effective, general release of claims in favor of the Company in a form acceptable to the Company within 60 days following your termination date (or such shorter period as may be provided for in such general release of claims); and (c) if you are a member of the Board, you must resign from the Board, effective no later than the date of your termination date (or such other date as requested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all of the severance benefits and other payments payable under this Offer Letter satisfy, to the greatest extent possible, the exemptions from the application of Code Section 409A provided under Treasury Regulations 1.409A-1(b)(4), 1.409A-1(b)(5) and 1.409A-1(b)(9), and this Offer Letter will be construed to the greatest extent possible as consistent with those provisions. Notwithstanding any provision to the contrary in this letter,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w:t>
      </w:r>
      <w:r>
        <w:rPr>
          <w:rFonts w:ascii="Times New Roman;Times;Serif" w:hAnsi="Times New Roman;Times;Serif"/>
          <w:b/>
          <w:i w:val="false"/>
          <w:caps w:val="false"/>
          <w:smallCaps w:val="false"/>
          <w:sz w:val="20"/>
          <w:u w:val="single"/>
        </w:rPr>
        <w:t>At Will”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with the Company is “at will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means that you or the Company may terminate your employment at any time, with or without cause. Although your job duties, title, responsibilities, reporting level, compensation, benefits, as well as the Company’s personnel policies and procedures, may be changed with or without notice at any time in the Company’s sole discretion, the “at will” nature of your employment may only be changed in an express agreement signed by you and an authorized representative of the Company.</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5</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and any employment pursuant to this offer, is conditioned upon the verification of your right to work in the United States, as demonstrated by your completion of the Form I-9 upon hire and your submission of acceptable documentation (as noted on the Form I-9) verifying your identity and work authorization within three (3) days of starting employment. If the Company informs you that you are required to complete a background check or reference check, this offer is contingent upon satisfactory clearance of such processes. You agree to assist as needed and to complete any documentation at the Company’s request to meet these conditions.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Continuing Obligations; Amendment Enforcement;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aid the rapid and economical resolution of disputes that may arise in connection with your 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to the fullest extent permitted by law, by final, binding and confidential arbitration conducted by JAMS, Inc. (“</w:t>
      </w:r>
      <w:r>
        <w:rPr>
          <w:rFonts w:ascii="Times New Roman;Times;Serif" w:hAnsi="Times New Roman;Times;Serif"/>
          <w:b/>
          <w:i w:val="false"/>
          <w:caps w:val="false"/>
          <w:smallCaps w:val="false"/>
          <w:sz w:val="20"/>
        </w:rPr>
        <w:t>JAMS</w:t>
      </w:r>
      <w:r>
        <w:rPr>
          <w:rFonts w:ascii="Times New Roman;Times;Serif" w:hAnsi="Times New Roman;Times;Serif"/>
          <w:b w:val="false"/>
          <w:i w:val="false"/>
          <w:caps w:val="false"/>
          <w:smallCaps w:val="false"/>
          <w:sz w:val="20"/>
        </w:rPr>
        <w:t xml:space="preserve">”) or its successor, under such arbitration service’s then applicable rules and procedures appropriate to the relief being sought (available upon request and also currently available at the following web address(es): (i) </w:t>
      </w:r>
      <w:r>
        <w:rPr>
          <w:rFonts w:ascii="Times New Roman;Times;Serif" w:hAnsi="Times New Roman;Times;Serif"/>
          <w:b w:val="false"/>
          <w:i w:val="false"/>
          <w:caps w:val="false"/>
          <w:smallCaps w:val="false"/>
          <w:strike w:val="false"/>
          <w:dstrike w:val="false"/>
          <w:sz w:val="20"/>
          <w:u w:val="none"/>
          <w:effect w:val="none"/>
        </w:rPr>
        <w:t>https://</w:t>
      </w:r>
      <w:r>
        <w:rPr>
          <w:rFonts w:ascii="Times New Roman;Times;Serif" w:hAnsi="Times New Roman;Times;Serif"/>
          <w:b w:val="false"/>
          <w:i w:val="false"/>
          <w:caps w:val="false"/>
          <w:smallCaps w:val="false"/>
          <w:sz w:val="20"/>
        </w:rPr>
        <w:t xml:space="preserve">www.jamsadr.com/rules-employment-arbitration/ and (ii) </w:t>
      </w:r>
      <w:r>
        <w:rPr>
          <w:rFonts w:ascii="Times New Roman;Times;Serif" w:hAnsi="Times New Roman;Times;Serif"/>
          <w:b w:val="false"/>
          <w:i w:val="false"/>
          <w:caps w:val="false"/>
          <w:smallCaps w:val="false"/>
          <w:strike w:val="false"/>
          <w:dstrike w:val="false"/>
          <w:sz w:val="20"/>
          <w:u w:val="none"/>
          <w:effect w:val="none"/>
        </w:rPr>
        <w:t>https://</w:t>
      </w:r>
      <w:r>
        <w:rPr>
          <w:rFonts w:ascii="Times New Roman;Times;Serif" w:hAnsi="Times New Roman;Times;Serif"/>
          <w:b w:val="false"/>
          <w:i w:val="false"/>
          <w:caps w:val="false"/>
          <w:smallCaps w:val="false"/>
          <w:sz w:val="20"/>
        </w:rPr>
        <w:t>www.jamsadr.com/rules-comprehensive-arbitration/) at a location closest to where you last worked for the Company or another mutually agreeable location. You acknowledge that by agreeing to this arbitration procedure, both you and the Company waive the right to resolve any such dispute through a trial by jury or judge. 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Times;Serif" w:hAnsi="Times New Roman;Times;Serif"/>
          <w:b/>
          <w:i w:val="false"/>
          <w:caps w:val="false"/>
          <w:smallCaps w:val="false"/>
          <w:sz w:val="20"/>
        </w:rPr>
        <w:t>Excluded Claims</w:t>
      </w:r>
      <w:r>
        <w:rPr>
          <w:rFonts w:ascii="Times New Roman;Times;Serif" w:hAnsi="Times New Roman;Times;Serif"/>
          <w:b w:val="false"/>
          <w:i w:val="false"/>
          <w:caps w:val="false"/>
          <w:smallCaps w:val="false"/>
          <w:sz w:val="20"/>
        </w:rPr>
        <w:t>”), including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You acknowledge that by agreeing to this arbitration procedure, both you and the Company waive all rights to have any dispute be brought, heard, administered, resolved, or arbitrated on a class, representative, or collective action basis. The arbitrator may not consolidate the claims of more than one person or entity, and may not preside over any form of representative or class proceeding.</w:t>
      </w:r>
    </w:p>
    <w:p>
      <w:pPr>
        <w:pStyle w:val="TextBody"/>
        <w:bidi w:val="0"/>
        <w:spacing w:before="0" w:after="0"/>
        <w:ind w:left="0" w:right="0" w:hanging="0"/>
        <w:jc w:val="both"/>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6</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arbitration administrative fees in excess of the administrative fees that you would be required to pay if the dispute were decided in a court of law. Each party is responsible for its own attorneys’ fees, except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Offer Letter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we are incredibly excited you will continue to be part of the team at Complete Solaria as Chief Operations Officer. You may indicate your agreement with these terms and accept this offer by signing and dating this Offer Letter. This offer will expire if it is not accepted, signed and returned by end of day April 24, 2024. We look forward to your favorable reply and to the opportunity to continue to work with you.</w:t>
      </w:r>
    </w:p>
    <w:p>
      <w:pPr>
        <w:pStyle w:val="TextBody"/>
        <w:bidi w:val="0"/>
        <w:spacing w:before="0" w:after="0"/>
        <w:ind w:left="0" w:right="0" w:hanging="0"/>
        <w:jc w:val="left"/>
        <w:rPr>
          <w:caps w:val="false"/>
          <w:smallCaps w:val="false"/>
        </w:rPr>
      </w:pPr>
      <w:r>
        <w:rPr>
          <w:caps w:val="false"/>
          <w:smallCaps w:val="false"/>
        </w:rPr>
        <w:t> </w:t>
      </w:r>
    </w:p>
    <w:tbl>
      <w:tblPr>
        <w:tblW w:w="3650" w:type="dxa"/>
        <w:jc w:val="left"/>
        <w:tblInd w:w="0" w:type="dxa"/>
        <w:tblLayout w:type="fixed"/>
        <w:tblCellMar>
          <w:top w:w="0" w:type="dxa"/>
          <w:left w:w="0" w:type="dxa"/>
          <w:bottom w:w="0" w:type="dxa"/>
          <w:right w:w="0" w:type="dxa"/>
        </w:tblCellMar>
      </w:tblPr>
      <w:tblGrid>
        <w:gridCol w:w="75"/>
        <w:gridCol w:w="3575"/>
      </w:tblGrid>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sz w:val="20"/>
              </w:rPr>
            </w:pPr>
            <w:r>
              <w:rPr>
                <w:sz w:val="20"/>
              </w:rPr>
              <w:t>Sincerely,</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TJ Rodgers</w:t>
            </w:r>
          </w:p>
        </w:tc>
      </w:tr>
      <w:tr>
        <w:trPr/>
        <w:tc>
          <w:tcPr>
            <w:tcW w:w="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sz w:val="20"/>
              </w:rPr>
            </w:pPr>
            <w:r>
              <w:rPr>
                <w:sz w:val="20"/>
              </w:rPr>
              <w:t xml:space="preserve">TJ Rodgers, Executive Chairman and CEO, </w:t>
              <w:br/>
              <w:t>Complete Solaria, Inc.</w:t>
            </w:r>
          </w:p>
        </w:tc>
      </w:tr>
    </w:tbl>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7</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Acceptance of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and understand all the terms of the offer of employment set forth in this Offer Letter and I accept each of those terms. I further understand that this Offer Letter, together with my Employee Confidential Information and Inventions Assignment Agreement, is the Company’s complete offer of continuing employment to me, and this letter supersedes all prior and contemporaneous understandings, agreements, representations and warranties, both written and oral, with respect to my employment including but not limited to the Prior Offer Letter. I have not relied on any agreements or representations, express or implied, that are not set forth expressly in this Offer Letter.</w:t>
      </w:r>
    </w:p>
    <w:p>
      <w:pPr>
        <w:pStyle w:val="TextBody"/>
        <w:bidi w:val="0"/>
        <w:spacing w:before="0" w:after="0"/>
        <w:ind w:left="0" w:right="0" w:hanging="0"/>
        <w:jc w:val="both"/>
        <w:rPr>
          <w:caps w:val="false"/>
          <w:smallCaps w:val="false"/>
        </w:rPr>
      </w:pPr>
      <w:r>
        <w:rPr>
          <w:caps w:val="false"/>
          <w:smallCaps w:val="false"/>
        </w:rPr>
        <w:t> </w:t>
      </w:r>
    </w:p>
    <w:tbl>
      <w:tblPr>
        <w:tblW w:w="2180" w:type="dxa"/>
        <w:jc w:val="left"/>
        <w:tblInd w:w="0" w:type="dxa"/>
        <w:tblLayout w:type="fixed"/>
        <w:tblCellMar>
          <w:top w:w="0" w:type="dxa"/>
          <w:left w:w="0" w:type="dxa"/>
          <w:bottom w:w="28" w:type="dxa"/>
          <w:right w:w="0" w:type="dxa"/>
        </w:tblCellMar>
      </w:tblPr>
      <w:tblGrid>
        <w:gridCol w:w="2105"/>
        <w:gridCol w:w="75"/>
      </w:tblGrid>
      <w:tr>
        <w:trPr/>
        <w:tc>
          <w:tcPr>
            <w:tcW w:w="2105" w:type="dxa"/>
            <w:tcBorders>
              <w:bottom w:val="single" w:sz="12" w:space="0" w:color="000000"/>
            </w:tcBorders>
            <w:vAlign w:val="center"/>
          </w:tcPr>
          <w:p>
            <w:pPr>
              <w:pStyle w:val="TableContents"/>
              <w:bidi w:val="0"/>
              <w:spacing w:before="0" w:after="283"/>
              <w:jc w:val="left"/>
              <w:rPr>
                <w:sz w:val="20"/>
              </w:rPr>
            </w:pPr>
            <w:r>
              <w:rPr>
                <w:sz w:val="20"/>
              </w:rPr>
              <w:t>/s/ Brian A. Wuebbels</w:t>
            </w:r>
          </w:p>
        </w:tc>
        <w:tc>
          <w:tcPr>
            <w:tcW w:w="7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sz w:val="20"/>
              </w:rPr>
            </w:pPr>
            <w:r>
              <w:rPr>
                <w:sz w:val="20"/>
              </w:rPr>
              <w:t>Brian A. Wuebbels</w:t>
            </w:r>
          </w:p>
        </w:tc>
        <w:tc>
          <w:tcPr>
            <w:tcW w:w="75" w:type="dxa"/>
            <w:tcBorders/>
            <w:tcMar>
              <w:bottom w:w="0" w:type="dxa"/>
            </w:tcMar>
            <w:vAlign w:val="center"/>
          </w:tcPr>
          <w:p>
            <w:pPr>
              <w:pStyle w:val="TableContents"/>
              <w:bidi w:val="0"/>
              <w:spacing w:before="0" w:after="283"/>
              <w:jc w:val="left"/>
              <w:rPr/>
            </w:pPr>
            <w:r>
              <w:rPr/>
              <w:t> </w:t>
            </w:r>
          </w:p>
        </w:tc>
      </w:tr>
      <w:tr>
        <w:trPr/>
        <w:tc>
          <w:tcPr>
            <w:tcW w:w="2105" w:type="dxa"/>
            <w:tcBorders/>
            <w:tcMar>
              <w:bottom w:w="0" w:type="dxa"/>
            </w:tcMar>
            <w:vAlign w:val="center"/>
          </w:tcPr>
          <w:p>
            <w:pPr>
              <w:pStyle w:val="TableContents"/>
              <w:bidi w:val="0"/>
              <w:spacing w:before="0" w:after="283"/>
              <w:jc w:val="left"/>
              <w:rPr>
                <w:sz w:val="20"/>
              </w:rPr>
            </w:pPr>
            <w:r>
              <w:rPr>
                <w:sz w:val="20"/>
              </w:rPr>
              <w:t xml:space="preserve">Chief Operations Officer, </w:t>
              <w:br/>
              <w:t>Complete Solaria, Inc</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155"/>
        <w:gridCol w:w="8150"/>
        <w:gridCol w:w="1220"/>
      </w:tblGrid>
      <w:tr>
        <w:trPr/>
        <w:tc>
          <w:tcPr>
            <w:tcW w:w="155" w:type="dxa"/>
            <w:tcBorders/>
            <w:vAlign w:val="center"/>
          </w:tcPr>
          <w:p>
            <w:pPr>
              <w:pStyle w:val="TableContents"/>
              <w:bidi w:val="0"/>
              <w:spacing w:before="0" w:after="283"/>
              <w:jc w:val="left"/>
              <w:rPr/>
            </w:pPr>
            <w:r>
              <w:rPr/>
              <w:t>8</w:t>
            </w:r>
          </w:p>
        </w:tc>
        <w:tc>
          <w:tcPr>
            <w:tcW w:w="8150" w:type="dxa"/>
            <w:tcBorders/>
            <w:vAlign w:val="center"/>
          </w:tcPr>
          <w:p>
            <w:pPr>
              <w:pStyle w:val="TableContents"/>
              <w:bidi w:val="0"/>
              <w:spacing w:before="0" w:after="283"/>
              <w:jc w:val="left"/>
              <w:rPr>
                <w:sz w:val="20"/>
              </w:rPr>
            </w:pPr>
            <w:r>
              <w:rPr>
                <w:sz w:val="20"/>
              </w:rPr>
              <w:t>Complete Solaria | 2500 Executive Parkway Suite 450 | Lehi | UT 84043 | www.completesolaria.com</w:t>
            </w:r>
          </w:p>
        </w:tc>
        <w:tc>
          <w:tcPr>
            <w:tcW w:w="1220" w:type="dxa"/>
            <w:tcBorders/>
            <w:vAlign w:val="center"/>
          </w:tcPr>
          <w:p>
            <w:pPr>
              <w:pStyle w:val="TableContents"/>
              <w:bidi w:val="0"/>
              <w:spacing w:before="0" w:after="283"/>
              <w:jc w:val="right"/>
              <w:rPr>
                <w:sz w:val="20"/>
              </w:rPr>
            </w:pPr>
            <w:r>
              <w:rPr>
                <w:sz w:val="20"/>
              </w:rPr>
              <w:t>April 24, 2024</w:t>
            </w:r>
          </w:p>
        </w:tc>
      </w:tr>
    </w:tbl>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1055601ex10-7_complete.htm"/>
      <w:bookmarkStart w:id="27" w:name="ksea021055601ex107_complete"/>
      <w:bookmarkEnd w:id="26"/>
      <w:bookmarkEnd w:id="27"/>
      <w:r>
        <w:rPr>
          <w:rFonts w:ascii="Times New Roman;Times;Serif" w:hAnsi="Times New Roman;Times;Serif"/>
          <w:b/>
          <w:i w:val="false"/>
          <w:caps w:val="false"/>
          <w:smallCaps w:val="false"/>
          <w:sz w:val="20"/>
        </w:rPr>
        <w:t>Exhibit 10.7</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1146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3114675" cy="3810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Lundell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Delivered Via Email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Chris,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have been informed, Complete Solaria, Inc. (the “Company”) will be consolidating the Executive Chairman and CEO position effective 4/29/2024. This letter sets forth the terms of the Separation Agreement (the “Agreement”) that the Company is offering to you to aid in your employment transition.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82" w:type="dxa"/>
            <w:tcBorders/>
            <w:vAlign w:val="center"/>
          </w:tcPr>
          <w:p>
            <w:pPr>
              <w:pStyle w:val="TableContents"/>
              <w:bidi w:val="0"/>
              <w:spacing w:before="0" w:after="283"/>
              <w:jc w:val="both"/>
              <w:rPr/>
            </w:pPr>
            <w:r>
              <w:rPr>
                <w:b/>
              </w:rPr>
              <w:t>Separation.</w:t>
            </w:r>
            <w:r>
              <w:rPr/>
              <w:t xml:space="preserve"> Your last day of work with the Company and your employment termination date was 4/26/2024 (the “Separation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94" w:type="dxa"/>
            <w:tcBorders/>
            <w:vAlign w:val="center"/>
          </w:tcPr>
          <w:p>
            <w:pPr>
              <w:pStyle w:val="TableContents"/>
              <w:bidi w:val="0"/>
              <w:spacing w:before="0" w:after="283"/>
              <w:jc w:val="both"/>
              <w:rPr/>
            </w:pPr>
            <w:r>
              <w:rPr>
                <w:b/>
              </w:rPr>
              <w:t xml:space="preserve">Board Seat. </w:t>
            </w:r>
            <w:r>
              <w:rPr/>
              <w:t>You will retain your Board seat on the CSLR Board and the compensation committee waives the requirement to resign in order to receive severance compensation.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19" w:type="dxa"/>
            <w:tcBorders/>
            <w:vAlign w:val="center"/>
          </w:tcPr>
          <w:p>
            <w:pPr>
              <w:pStyle w:val="TableContents"/>
              <w:bidi w:val="0"/>
              <w:spacing w:before="0" w:after="283"/>
              <w:jc w:val="both"/>
              <w:rPr/>
            </w:pPr>
            <w:r>
              <w:rPr>
                <w:b/>
              </w:rPr>
              <w:t>Severance Pay.</w:t>
            </w:r>
            <w:r>
              <w:rPr/>
              <w:t xml:space="preserve"> If you sign this Agreement, return it by the deadline specified below, and comply with its terms, the Company will pay you, as severance pay, the equivalent of six (6) months of your current base wages ($225,000), less standard payroll deductions and withholdings. The installments will be made through a live check or wire. Such an amount will be paid in monthly installments beginning on the 60</w:t>
            </w:r>
            <w:r>
              <w:rPr>
                <w:position w:val="8"/>
                <w:sz w:val="19"/>
              </w:rPr>
              <w:t>th</w:t>
            </w:r>
            <w:r>
              <w:rPr/>
              <w:t xml:space="preserve"> day from the Separation Date and continuing through seven (7) months from the Separation Date. Subject to standard payroll deductions and withholdings, the monthly installment payments will be paid as follows:</w:t>
            </w:r>
          </w:p>
        </w:tc>
      </w:tr>
    </w:tbl>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0" w:type="dxa"/>
        <w:tblLayout w:type="fixed"/>
        <w:tblCellMar>
          <w:top w:w="0" w:type="dxa"/>
          <w:left w:w="0" w:type="dxa"/>
          <w:bottom w:w="28" w:type="dxa"/>
          <w:right w:w="0" w:type="dxa"/>
        </w:tblCellMar>
      </w:tblPr>
      <w:tblGrid>
        <w:gridCol w:w="1595"/>
        <w:gridCol w:w="60"/>
        <w:gridCol w:w="140"/>
        <w:gridCol w:w="800"/>
        <w:gridCol w:w="75"/>
      </w:tblGrid>
      <w:tr>
        <w:trPr/>
        <w:tc>
          <w:tcPr>
            <w:tcW w:w="1595" w:type="dxa"/>
            <w:tcBorders>
              <w:bottom w:val="single" w:sz="12" w:space="0" w:color="000000"/>
            </w:tcBorders>
            <w:vAlign w:val="center"/>
          </w:tcPr>
          <w:p>
            <w:pPr>
              <w:pStyle w:val="TableContents"/>
              <w:bidi w:val="0"/>
              <w:spacing w:before="0" w:after="283"/>
              <w:jc w:val="left"/>
              <w:rPr>
                <w:b/>
              </w:rPr>
            </w:pPr>
            <w:r>
              <w:rPr>
                <w:b/>
              </w:rPr>
              <w:t>Installment No.</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800" w:type="dxa"/>
            <w:tcBorders>
              <w:bottom w:val="single" w:sz="12" w:space="0" w:color="000000"/>
            </w:tcBorders>
            <w:shd w:fill="CCEEFF" w:val="clear"/>
            <w:vAlign w:val="center"/>
          </w:tcPr>
          <w:p>
            <w:pPr>
              <w:pStyle w:val="TableContents"/>
              <w:bidi w:val="0"/>
              <w:spacing w:before="0" w:after="283"/>
              <w:jc w:val="right"/>
              <w:rPr/>
            </w:pPr>
            <w:r>
              <w:rPr/>
              <w:t>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vAlign w:val="center"/>
          </w:tcPr>
          <w:p>
            <w:pPr>
              <w:pStyle w:val="TableContents"/>
              <w:bidi w:val="0"/>
              <w:spacing w:before="0" w:after="283"/>
              <w:jc w:val="right"/>
              <w:rPr>
                <w:b/>
              </w:rPr>
            </w:pPr>
            <w:r>
              <w:rPr>
                <w:b/>
              </w:rPr>
              <w:t>225,000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24" w:type="dxa"/>
            <w:tcBorders/>
            <w:vAlign w:val="center"/>
          </w:tcPr>
          <w:p>
            <w:pPr>
              <w:pStyle w:val="TableContents"/>
              <w:bidi w:val="0"/>
              <w:spacing w:before="0" w:after="283"/>
              <w:jc w:val="both"/>
              <w:rPr/>
            </w:pPr>
            <w:r>
              <w:rPr>
                <w:b/>
              </w:rPr>
              <w:t xml:space="preserve">Health Insurance. </w:t>
            </w:r>
            <w:r>
              <w:rPr/>
              <w:t>Your TriNet-administered group health insurance will cease on the last day of April 2024. At that time, you may be eligible to continue your group health insurance benefits at your own expense, subject to the terms and conditions of the benefit plan, federal COBRA law, and, as applicable, state insurance laws. If you are eligible for continued coverage, you will receive additional information regarding your right to elect continued coverage in a separate communication. As part of this Agreement, the Company will reimburse you your COBRA premiums, if any, for up to twelve (12) months following the Separation Date provided you submit to the Company proof of your COBRA enrollment and payment of COBRA premiums. Notwithstanding the foregoing, if the Company determines, in its sole discretion, that the payment of the COBRA premiums could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you on the first day of each month of the COBRA Payment Period, a fully taxable cash payment equal to the COBRA premiums for that month, subject to applicable tax withholdings (such amount, the “Special Severance Payment”), for the remainder of the COBRA Payment Period. Such amount will be paid after this Agreement has been executed by all parties.</w:t>
            </w:r>
          </w:p>
        </w:tc>
      </w:tr>
    </w:tbl>
    <w:p>
      <w:pPr>
        <w:pStyle w:val="TextBody"/>
        <w:bidi w:val="0"/>
        <w:spacing w:before="0" w:after="0"/>
        <w:ind w:left="0" w:right="407"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407"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16" w:type="dxa"/>
            <w:tcBorders/>
            <w:vAlign w:val="center"/>
          </w:tcPr>
          <w:p>
            <w:pPr>
              <w:pStyle w:val="TableContents"/>
              <w:bidi w:val="0"/>
              <w:spacing w:before="0" w:after="283"/>
              <w:jc w:val="both"/>
              <w:rPr/>
            </w:pPr>
            <w:r>
              <w:rPr>
                <w:b/>
              </w:rPr>
              <w:t xml:space="preserve">Stock Options. </w:t>
            </w:r>
            <w:r>
              <w:rPr/>
              <w:t>Under the terms of your stock option agreement and the applicable plan documents, your 3,000,000 options, granted on 12/21/2023 will be terminated on 4/26/2024. On the date of signature of this Agreement, and upon approval by the Board, you will be granted 350,000 stock options with 100,000 options vesting immediately. The remaining 250,000 stock options will vest monthly at 1/60</w:t>
            </w:r>
            <w:r>
              <w:rPr>
                <w:position w:val="8"/>
                <w:sz w:val="19"/>
              </w:rPr>
              <w:t>th</w:t>
            </w:r>
            <w:r>
              <w:rPr/>
              <w:t xml:space="preserve"> of the total value over five (5) years contingent upon continuing support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84" w:type="dxa"/>
            <w:tcBorders/>
            <w:vAlign w:val="center"/>
          </w:tcPr>
          <w:p>
            <w:pPr>
              <w:pStyle w:val="TableContents"/>
              <w:bidi w:val="0"/>
              <w:spacing w:before="0" w:after="283"/>
              <w:jc w:val="both"/>
              <w:rPr/>
            </w:pPr>
            <w:r>
              <w:rPr>
                <w:b/>
              </w:rPr>
              <w:t>Board Option Grant.</w:t>
            </w:r>
            <w:r>
              <w:rPr/>
              <w:t xml:space="preserve"> Under the terms of this Agreement you will retain the 94,452 options granted to you as a Board member on 12/3/2023.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999" w:type="dxa"/>
            <w:tcBorders/>
            <w:vAlign w:val="center"/>
          </w:tcPr>
          <w:p>
            <w:pPr>
              <w:pStyle w:val="TableContents"/>
              <w:bidi w:val="0"/>
              <w:spacing w:before="0" w:after="283"/>
              <w:jc w:val="both"/>
              <w:rPr/>
            </w:pPr>
            <w:r>
              <w:rPr/>
              <w:t>Your right to exercise any vested shares, and all other rights and obligations with respect to your stock options(s), will be as set forth in your stock option agreement, grant notice and applicable plan documents.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10015" w:type="dxa"/>
            <w:tcBorders/>
            <w:vAlign w:val="center"/>
          </w:tcPr>
          <w:p>
            <w:pPr>
              <w:pStyle w:val="TableContents"/>
              <w:bidi w:val="0"/>
              <w:spacing w:before="0" w:after="283"/>
              <w:jc w:val="both"/>
              <w:rPr/>
            </w:pPr>
            <w:r>
              <w:rPr>
                <w:b/>
              </w:rPr>
              <w:t xml:space="preserve">Tax Matters. </w:t>
            </w:r>
            <w:r>
              <w:rPr/>
              <w:t>The Company will withhold required federal, state and local taxes from any and all payments contemplated by this Agreement. Other than the Company’s obligation and right to withhold, you will be responsible for any and all taxes, interest, and penalties that may be imposed with respect to the payments contemplated by this Agreement (including, but not limited to, those imposed under Internal Revenue Code Section 409A).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10017" w:type="dxa"/>
            <w:tcBorders/>
            <w:vAlign w:val="center"/>
          </w:tcPr>
          <w:p>
            <w:pPr>
              <w:pStyle w:val="TableContents"/>
              <w:bidi w:val="0"/>
              <w:spacing w:before="0" w:after="283"/>
              <w:jc w:val="both"/>
              <w:rPr/>
            </w:pPr>
            <w:r>
              <w:rPr>
                <w:b/>
              </w:rPr>
              <w:t xml:space="preserve">Other Compensation or Benefits. </w:t>
            </w:r>
            <w:r>
              <w:rPr/>
              <w:t>You acknowledge that, except as expressly provided in this Agreement, you will not receive any additional compensation, benefits, or severance pay after the Separation Date. Thus, for any employee benefits sponsored by the Company not specifically referenced in this Agreement, you will be treated as a terminated employee effective on your Separation Date. This includes but is not limited to a 401(k) plan, life insurance, accidental death and dismemberment insurance, and short and long-term disability insurance.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893" w:type="dxa"/>
            <w:tcBorders/>
            <w:vAlign w:val="center"/>
          </w:tcPr>
          <w:p>
            <w:pPr>
              <w:pStyle w:val="TableContents"/>
              <w:bidi w:val="0"/>
              <w:spacing w:before="0" w:after="283"/>
              <w:jc w:val="both"/>
              <w:rPr/>
            </w:pPr>
            <w:r>
              <w:rPr>
                <w:b/>
              </w:rPr>
              <w:t>Expense Reimbursement.</w:t>
            </w:r>
            <w:r>
              <w:rPr/>
              <w:t xml:space="preserve"> You agree that, within forty-five (45) days of executing this Agreement,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903" w:type="dxa"/>
            <w:tcBorders/>
            <w:vAlign w:val="center"/>
          </w:tcPr>
          <w:p>
            <w:pPr>
              <w:pStyle w:val="TableContents"/>
              <w:bidi w:val="0"/>
              <w:spacing w:before="0" w:after="283"/>
              <w:jc w:val="both"/>
              <w:rPr/>
            </w:pPr>
            <w:r>
              <w:rPr>
                <w:b/>
              </w:rPr>
              <w:t>Return of Company Property.</w:t>
            </w:r>
            <w:r>
              <w:rPr/>
              <w:t xml:space="preserve"> Within thirty (30) days of execution of this Agreement, you agree to return to the Company all hard copy and electronic documents (and all copies thereof) and other Company property that you have had in your possession at any time, including, but not limited to, files, notes, drawings, records, business plans and forecasts, financial information, specifications, computer-recorded information (including email), tangible property (laptop computer, cell phone, PDA, etc.), credit cards, entry cards, identification badges and keys; and, any materials of any kind that contain or embody any proprietary or confidential information of the Company (and all reproductions thereof). If you discover after the Separation Date that you have retained any Company proprietary or confidential information, you agree to promptly contact the Company and make arrangements for returning the information. Notwithstanding the foregoing, you may retain Company property that is reasonably needed in your capacity as a member of the board of directors or otherwise support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906" w:type="dxa"/>
            <w:tcBorders/>
            <w:vAlign w:val="center"/>
          </w:tcPr>
          <w:p>
            <w:pPr>
              <w:pStyle w:val="TableContents"/>
              <w:bidi w:val="0"/>
              <w:spacing w:before="0" w:after="283"/>
              <w:jc w:val="both"/>
              <w:rPr/>
            </w:pPr>
            <w:r>
              <w:rPr>
                <w:b/>
              </w:rPr>
              <w:t>Release of All Claims.</w:t>
            </w:r>
            <w:r>
              <w:rPr/>
              <w:t xml:space="preserve"> Except as otherwise set forth in this Agreement, you hereby release, acquit and forever discharge the Company, TriNet Group, Inc., and their affiliates, officers, agents, administrators, servants, employees, attorneys, successors, parent, subsidiaries, assigns, and affiliates (the “Released Party” or “Released Parties”), of and from any and all claims, liabilities, demands, causes of action, costs, expenses, attorneys’ fees, damages, indemnities, and obligations of every kind and nature, in law, equity, or otherwise, known and unknown, suspected and unsuspected, disclosed and undisclosed, arising out of or in any way related to agreements, events, acts, omissions, or conduct at any time prior to and including the date you sign this Agreement. This general release includes, but is not limited to: (i) claims and demands arising out of or in any way connected with your employment with the Company, or the termination of that employment; (ii) claims or demands related to your compensation or benefits with the Company, including but not limited to, wages, salary, bonuses, commissions, vacation pay, fringe benefits, expense reimbursements, incentive pay, severance pay, or any other form of compensation; (iii) claims pursuant to any federal, state or local law, statute, or cause of action including, but not limited to, claims for discrimination, harassment, retaliation, attorneys’ fees or other claim arising under Title VII of the Civil Right Act of 1964, as amended; the federal Americans with Disabilities Act of 1990, as amended; the federal Age Discrimination in Employment Act of 1967, as amended (the “ADEA”); the federal Family Medical Leave Act, as amended; the federal Worker Adjustment and Retraining Notification Act, as amended; the Employee Retirement Income Security Act of 1974, as amended; Utah Antidiscrimination Act (Utah Code Ann. §34A-5-101 et seq.); Utah Minimum Wage Act (Utah Code Ann. §34-40-101, et seq.) Utah Occupational Safety and Health Act (Utah Code Ann. §34A-6-101, et seq.); California Fair Employment and Housing Act (Cal. Gov’t Code §12900 et seq.); California Family Rights Act (Cal. Gov. Code §12945.2); California Spousal Military Leave Law (Cal. Mil. &amp; Vet. Code §395.10); California WARN Act (Cal. Lab. Code §1400 et seq.); California Labor Code, including but not limited to, the Private Attorneys General Act, Cal. Labor Code § 2699, et seq.; California Wage Orders (Cal. Code Regs. tit. 8, § 11010, et seq.); California Unfair Competition Law (Cal Business &amp; Professions Code § 17200 et seq.); California Occupational Safety and Health Act (Cal Labor Code section 6300, et seq.); Cal. Civil Code § 1542 (Extinction of Obligations) as amended; (iv) all tort claims, including without limitation, claims for fraud, defamation, emotional distress, and discharge in violation of public policy; and (v) all claims for breach of contract, wrongful termination, and breach of the implied covenant of good faith and fair dealing, including claims arising out of an Employment Agreement, sales commission plan or incentive compensation plan applicable to your employment with the Company. To the extent permitted by law, you also promise never directly or indirectly to bring or participate in an action against any Released Party under California Business &amp; Professions Code Section 17200 or any unfair competition law of any jurisdiction.</w:t>
            </w:r>
          </w:p>
        </w:tc>
      </w:tr>
    </w:tbl>
    <w:p>
      <w:pPr>
        <w:pStyle w:val="TextBody"/>
        <w:bidi w:val="0"/>
        <w:spacing w:before="0" w:after="0"/>
        <w:ind w:left="1038" w:right="389"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from this Agreement are any claims which by law cannot be waived in a private agreement between an employer and employee. Notwithstanding anything in this Agreement to the contrary, nothing in this Agreement shall prevent you from filing a charge with the Equal Employment Opportunity Commission (the “EEOC”) or equivalent state agency in your state or participating in an EEOC or state agency investigation. You do agree to waive your right to monetary or other recovery should any claim be pursued with the EEOC, state agency, or any other federal, state or local administrative agency your behalf arising out of or related to your employment with and/or separation from the Company.</w:t>
      </w:r>
    </w:p>
    <w:p>
      <w:pPr>
        <w:pStyle w:val="TextBody"/>
        <w:bidi w:val="0"/>
        <w:spacing w:before="0" w:after="0"/>
        <w:ind w:left="1000" w:right="302" w:hanging="0"/>
        <w:jc w:val="both"/>
        <w:rPr>
          <w:caps w:val="false"/>
          <w:smallCaps w:val="false"/>
        </w:rPr>
      </w:pPr>
      <w:r>
        <w:rPr>
          <w:caps w:val="false"/>
          <w:smallCaps w:val="false"/>
        </w:rPr>
        <w:t> </w:t>
      </w:r>
    </w:p>
    <w:p>
      <w:pPr>
        <w:pStyle w:val="TextBody"/>
        <w:bidi w:val="0"/>
        <w:spacing w:before="0" w:after="0"/>
        <w:ind w:left="1000" w:right="302"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000" w:right="302"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13.</w:t>
            </w:r>
          </w:p>
        </w:tc>
        <w:tc>
          <w:tcPr>
            <w:tcW w:w="9904" w:type="dxa"/>
            <w:tcBorders/>
            <w:vAlign w:val="center"/>
          </w:tcPr>
          <w:p>
            <w:pPr>
              <w:pStyle w:val="TableContents"/>
              <w:bidi w:val="0"/>
              <w:spacing w:before="0" w:after="283"/>
              <w:jc w:val="both"/>
              <w:rPr/>
            </w:pPr>
            <w:r>
              <w:rPr/>
              <w:t>ADEA Waiver. You acknowledge that you are knowingly and voluntarily waiving and releasing any rights you may have under the ADEA, as amended. You also acknowledge that the consideration given for the waiver and release herein is in addition to anything of value to which you were already entitled. You further acknowledge that you have been advised by this writing, as required by the ADEA, that: (a) your waiver and release do not apply to any rights or claims that may arise after the execution date of this Agreement; (b) you have been advised hereby that you have the right to consult with an attorney prior to executing this Agreement; (c) you have up to forty-five (45) days from the date of this Agreement to execute this Agreement (although you may choose to voluntarily execute this Agreement earlier); (d) you have seven (7) days following the execution of this Agreement by the parties to revoke or rescind the Agreement by submitting your written request for revocation or rescission to the Company Representative listed as the signatory below; (e) this Agreement will not be effective until the date upon which the revocation or rescission period has expired, which will be the eighth day after this Agreement is executed by you, provided that the Company has also executed this Agreement by that date (“Effective Date”); and (f) this Agreement does not affect your ability to test the knowing and voluntary nature of this Agreement. You further acknowledge that you have received a list of the job titles and ages of the employees in the decisional unit affected by this reduction in force. This list is attached as Exhibit A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9900" w:type="dxa"/>
            <w:tcBorders/>
            <w:vAlign w:val="center"/>
          </w:tcPr>
          <w:p>
            <w:pPr>
              <w:pStyle w:val="TableContents"/>
              <w:bidi w:val="0"/>
              <w:spacing w:before="0" w:after="283"/>
              <w:jc w:val="both"/>
              <w:rPr/>
            </w:pPr>
            <w:r>
              <w:rPr>
                <w:b/>
              </w:rPr>
              <w:t xml:space="preserve">No Actions or Claims. </w:t>
            </w:r>
            <w:r>
              <w:rPr/>
              <w:t>You represent that you have not filed any charges, complaints, grievances, arbitrations, lawsuits, or claims against the Released Parties, with any local, state, or federal agency, union or court from the beginning of time to the date of execution of this Agreement and that you will not do so at any time hereafter, based upon events occurring prior to the date of execution of this Agreement. In the event any agency, union, or court ever assumes jurisdiction of any lawsuit, claim, charge, grievance, arbitration, or complaint, or purports to bring any legal proceeding on your behalf, you will ask any such agency, union, or court to withdraw from and/or dismiss any such action, grievance, or arbitration, with prejudice.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9901" w:type="dxa"/>
            <w:tcBorders/>
            <w:vAlign w:val="center"/>
          </w:tcPr>
          <w:p>
            <w:pPr>
              <w:pStyle w:val="TableContents"/>
              <w:bidi w:val="0"/>
              <w:spacing w:before="0" w:after="283"/>
              <w:jc w:val="both"/>
              <w:rPr/>
            </w:pPr>
            <w:r>
              <w:rPr>
                <w:b/>
              </w:rPr>
              <w:t xml:space="preserve">Waiver. </w:t>
            </w:r>
            <w:r>
              <w:rPr/>
              <w:t>In granting the release herein, you understand that this Agreement includes a release of all claims known or unknown. In giving this release, which includes claims which may be unknown to you at present, you acknowledge that you have read and understand Section 1542 of the California Civil Code which reads as follows: “</w:t>
            </w:r>
            <w:r>
              <w:rPr>
                <w:b/>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t>” You hereby expressly waive and relinquish all rights and benefits under that section and any law of any jurisdiction of similar effect with respect to the release of any unknown or unsuspected claims you may have against the Released Parties.</w:t>
            </w:r>
          </w:p>
        </w:tc>
      </w:tr>
    </w:tbl>
    <w:p>
      <w:pPr>
        <w:pStyle w:val="TextBody"/>
        <w:bidi w:val="0"/>
        <w:spacing w:before="0" w:after="0"/>
        <w:ind w:left="0" w:right="279" w:hanging="0"/>
        <w:jc w:val="left"/>
        <w:rPr>
          <w:caps w:val="false"/>
          <w:smallCaps w:val="false"/>
        </w:rPr>
      </w:pPr>
      <w:r>
        <w:rPr>
          <w:caps w:val="false"/>
          <w:smallCaps w:val="false"/>
        </w:rPr>
        <w:t> </w:t>
      </w:r>
    </w:p>
    <w:p>
      <w:pPr>
        <w:pStyle w:val="TextBody"/>
        <w:bidi w:val="0"/>
        <w:spacing w:before="0" w:after="0"/>
        <w:ind w:left="0" w:right="279"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279"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9904" w:type="dxa"/>
            <w:tcBorders/>
            <w:vAlign w:val="center"/>
          </w:tcPr>
          <w:p>
            <w:pPr>
              <w:pStyle w:val="TableContents"/>
              <w:bidi w:val="0"/>
              <w:spacing w:before="0" w:after="283"/>
              <w:jc w:val="both"/>
              <w:rPr/>
            </w:pPr>
            <w:r>
              <w:rPr>
                <w:b/>
              </w:rPr>
              <w:t xml:space="preserve">Acknowledgements and Representations. </w:t>
            </w:r>
            <w:r>
              <w:rPr/>
              <w:t>You acknowledge and represent that you have not suffered any discrimination or harassment by any of the Released Parties on account of your race, gender or gender identity, national origin, religion, marital or registered domestic partner status, sexual orientation, age, disability, medical condition, or any other characteristic protected by law. You acknowledge and represent that you have not been denied any leave, benefits, or rights to which you may have been entitled under the FMLA or any other federal or state law, and that you have not suffered any job-related wrongs or injuries for which you might still be entitled to compensation or relief. You further acknowledge and represent that, except as expressly provided in this Agreement, you have been paid all wages, bonuses, compensation, benefits, and other amounts that any of the Released Parties has ever owed to you, and you understand that you will not receive any additional compensation, severance, or benefits after the Separation Date, with the exception of any vested right you may have under the terms of a written ERISA-qualified benefit plan. You acknowledge and represent that you have reported to the Company any and all work-related injuries incurred during employment and have not suffered any on-the-job injury or illness for which you have not already filed a workers’ compensation claim.</w:t>
            </w:r>
          </w:p>
        </w:tc>
      </w:tr>
    </w:tbl>
    <w:p>
      <w:pPr>
        <w:pStyle w:val="TextBody"/>
        <w:bidi w:val="0"/>
        <w:spacing w:before="0" w:after="0"/>
        <w:ind w:left="0" w:right="0" w:hanging="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32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17.</w:t>
            </w:r>
          </w:p>
        </w:tc>
        <w:tc>
          <w:tcPr>
            <w:tcW w:w="6440" w:type="dxa"/>
            <w:tcBorders/>
            <w:vAlign w:val="center"/>
          </w:tcPr>
          <w:p>
            <w:pPr>
              <w:pStyle w:val="TableContents"/>
              <w:bidi w:val="0"/>
              <w:spacing w:before="0" w:after="283"/>
              <w:jc w:val="both"/>
              <w:rPr/>
            </w:pPr>
            <w:r>
              <w:rPr/>
              <w:t>Medical Bills, Liens, and Other Potential Rights for Reimbursement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w:t>
            </w:r>
          </w:p>
        </w:tc>
        <w:tc>
          <w:tcPr>
            <w:tcW w:w="9948" w:type="dxa"/>
            <w:tcBorders/>
            <w:vAlign w:val="center"/>
          </w:tcPr>
          <w:p>
            <w:pPr>
              <w:pStyle w:val="TableContents"/>
              <w:bidi w:val="0"/>
              <w:spacing w:before="0" w:after="283"/>
              <w:jc w:val="both"/>
              <w:rPr/>
            </w:pPr>
            <w:r>
              <w:rPr>
                <w:i/>
                <w:u w:val="single"/>
              </w:rPr>
              <w:t>Responsibility for Satisfaction of All Liens</w:t>
            </w:r>
            <w:r>
              <w:rPr/>
              <w:t>. You represent and warrant that all bills, costs, or liens resulting from or arising out of any injuries and claims are your responsibility to pay. You agree to assume responsibility for satisfaction of any and all demands for payment, claims or liens of any kinds, that arise from or are related to payments made or services provided to you or on your behalf. You agree to assume responsibility for all expenses, costs or fees incurred by you related to your alleged injuries and claims including without limitation, all Medicare conditional payments, subrogation claims, liens, or other rights to payment, relating to medical treatment or lost wages that have been or may be asserted by any health care provider, insurer, governmental entity, employer, or other person or entity. Further, you and your attorney (if any) will indemnify, defend and hold Released Parties harmless from any and all damages, claims and rights to payment, including any attorneys’ fees, brought by any person, entity, or governmental agency to recover any of these amounts. If any governmental entity, or anyone acting on behalf of any governmental entity, seeks damages including multiple damages from Released Parties relating to payment by such governmental entity, or anyone acting on behalf of such governmental entity, relating to your alleged injuries and claims, you will defend and indemnify Released Parties and hold Released Parties harmless from any and all such damages, claims, liens, Medicare conditional payments and rights to payment, including any attorneys’ fees sought by such entities.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(b)</w:t>
            </w:r>
          </w:p>
        </w:tc>
        <w:tc>
          <w:tcPr>
            <w:tcW w:w="9935" w:type="dxa"/>
            <w:tcBorders/>
            <w:vAlign w:val="center"/>
          </w:tcPr>
          <w:p>
            <w:pPr>
              <w:pStyle w:val="TableContents"/>
              <w:bidi w:val="0"/>
              <w:spacing w:before="0" w:after="283"/>
              <w:jc w:val="both"/>
              <w:rPr/>
            </w:pPr>
            <w:r>
              <w:rPr>
                <w:i/>
                <w:u w:val="single"/>
              </w:rPr>
              <w:t>Good Faith Resolution</w:t>
            </w:r>
            <w:r>
              <w:rPr>
                <w:i/>
              </w:rPr>
              <w:t>.</w:t>
            </w:r>
            <w:r>
              <w:rPr/>
              <w:t xml:space="preserve"> This settlement is based upon a good faith determination of you and the Company to resolve any potential claims. You and the Company have not shifted responsibility of medical treatment to Medicare in contravention of 42 U.S.C. Section 1395y(b). You and the Company have made every e&amp;fflig;ort to adequately protect Medicare’s interest and incorporate such in the settlement terms.</w:t>
            </w:r>
          </w:p>
        </w:tc>
      </w:tr>
    </w:tbl>
    <w:p>
      <w:pPr>
        <w:pStyle w:val="TextBody"/>
        <w:bidi w:val="0"/>
        <w:spacing w:before="0" w:after="0"/>
        <w:ind w:left="0" w:right="242" w:hanging="0"/>
        <w:jc w:val="left"/>
        <w:rPr>
          <w:caps w:val="false"/>
          <w:smallCaps w:val="false"/>
        </w:rPr>
      </w:pPr>
      <w:r>
        <w:rPr>
          <w:caps w:val="false"/>
          <w:smallCaps w:val="false"/>
        </w:rPr>
        <w:t> </w:t>
      </w:r>
    </w:p>
    <w:p>
      <w:pPr>
        <w:pStyle w:val="TextBody"/>
        <w:bidi w:val="0"/>
        <w:spacing w:before="0" w:after="0"/>
        <w:ind w:left="0" w:right="242"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242"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w:t>
            </w:r>
          </w:p>
        </w:tc>
        <w:tc>
          <w:tcPr>
            <w:tcW w:w="9926" w:type="dxa"/>
            <w:tcBorders/>
            <w:vAlign w:val="center"/>
          </w:tcPr>
          <w:p>
            <w:pPr>
              <w:pStyle w:val="TableContents"/>
              <w:bidi w:val="0"/>
              <w:spacing w:before="0" w:after="283"/>
              <w:jc w:val="both"/>
              <w:rPr/>
            </w:pPr>
            <w:r>
              <w:rPr>
                <w:i/>
                <w:u w:val="single"/>
              </w:rPr>
              <w:t>Representation that Employee is Not a Medicare Beneficiary</w:t>
            </w:r>
            <w:r>
              <w:rPr/>
              <w:t>. You and your counsel (if any) warrant that you are not a Medicare beneficiary as of the date of this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w:t>
            </w:r>
          </w:p>
        </w:tc>
        <w:tc>
          <w:tcPr>
            <w:tcW w:w="9920" w:type="dxa"/>
            <w:tcBorders/>
            <w:vAlign w:val="center"/>
          </w:tcPr>
          <w:p>
            <w:pPr>
              <w:pStyle w:val="TableContents"/>
              <w:bidi w:val="0"/>
              <w:spacing w:before="0" w:after="283"/>
              <w:jc w:val="both"/>
              <w:rPr/>
            </w:pPr>
            <w:r>
              <w:rPr>
                <w:i/>
                <w:u w:val="single"/>
              </w:rPr>
              <w:t>Representation that No Medicare Conditional Payments Exist</w:t>
            </w:r>
            <w:r>
              <w:rPr>
                <w:i/>
              </w:rPr>
              <w:t>.</w:t>
            </w:r>
            <w:r>
              <w:rPr/>
              <w:t xml:space="preserve"> You and your counsel (if any) further represent and warrant that you are aware of no Medicare conditional payments that have been made on your behalf.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9903" w:type="dxa"/>
            <w:tcBorders/>
            <w:vAlign w:val="center"/>
          </w:tcPr>
          <w:p>
            <w:pPr>
              <w:pStyle w:val="TableContents"/>
              <w:bidi w:val="0"/>
              <w:spacing w:before="0" w:after="283"/>
              <w:jc w:val="both"/>
              <w:rPr/>
            </w:pPr>
            <w:r>
              <w:rPr>
                <w:b/>
              </w:rPr>
              <w:t xml:space="preserve">Miscellaneous. </w:t>
            </w:r>
            <w:r>
              <w:rPr/>
              <w:t>This Agreement, including Exhibit A,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You have a right to consult an attorney regarding this agreement. This Agreement will be deemed to have been entered into and will be construed and enforced in accordance with the laws of the State of Utah.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9883" w:type="dxa"/>
            <w:tcBorders/>
            <w:vAlign w:val="center"/>
          </w:tcPr>
          <w:p>
            <w:pPr>
              <w:pStyle w:val="TableContents"/>
              <w:bidi w:val="0"/>
              <w:spacing w:before="0" w:after="283"/>
              <w:jc w:val="both"/>
              <w:rPr/>
            </w:pPr>
            <w:r>
              <w:rPr>
                <w:b/>
              </w:rPr>
              <w:t>Counterparts and Electronic Signature.</w:t>
            </w:r>
            <w:r>
              <w:rPr/>
              <w:t xml:space="preserve"> This Agreement may be executed by electronic signature and/or in counterparts, each of which shall be deemed an original and all of which together shall constitute one and the same instrument.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is acceptable to you, please sign below and return the original to me no sooner than the Separation Date and no later than May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wish you good luck in your future endeavors. Sincerely,</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35"/>
        <w:gridCol w:w="212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0" w:type="dxa"/>
            <w:tcBorders>
              <w:bottom w:val="single" w:sz="12" w:space="0" w:color="000000"/>
            </w:tcBorders>
            <w:tcMar>
              <w:bottom w:w="28" w:type="dxa"/>
            </w:tcMar>
            <w:vAlign w:val="center"/>
          </w:tcPr>
          <w:p>
            <w:pPr>
              <w:pStyle w:val="TableContents"/>
              <w:bidi w:val="0"/>
              <w:spacing w:before="0" w:after="283"/>
              <w:jc w:val="left"/>
              <w:rPr/>
            </w:pPr>
            <w:r>
              <w:rPr/>
              <w:t>/s/ Brian A. Wuebbels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A. Wuebbels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Operations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w:t>
      </w:r>
    </w:p>
    <w:p>
      <w:pPr>
        <w:pStyle w:val="TextBody"/>
        <w:bidi w:val="0"/>
        <w:spacing w:before="0" w:after="0"/>
        <w:ind w:left="0" w:right="0" w:hanging="0"/>
        <w:jc w:val="left"/>
        <w:rPr>
          <w:caps w:val="false"/>
          <w:smallCaps w:val="false"/>
        </w:rPr>
      </w:pPr>
      <w:r>
        <w:rPr>
          <w:caps w:val="false"/>
          <w:smallCaps w:val="false"/>
        </w:rPr>
        <w:t> </w:t>
      </w:r>
    </w:p>
    <w:tbl>
      <w:tblPr>
        <w:tblW w:w="1685" w:type="dxa"/>
        <w:jc w:val="left"/>
        <w:tblInd w:w="0" w:type="dxa"/>
        <w:tblLayout w:type="fixed"/>
        <w:tblCellMar>
          <w:top w:w="0" w:type="dxa"/>
          <w:left w:w="0" w:type="dxa"/>
          <w:bottom w:w="28" w:type="dxa"/>
          <w:right w:w="0" w:type="dxa"/>
        </w:tblCellMar>
      </w:tblPr>
      <w:tblGrid>
        <w:gridCol w:w="1610"/>
        <w:gridCol w:w="75"/>
      </w:tblGrid>
      <w:tr>
        <w:trPr/>
        <w:tc>
          <w:tcPr>
            <w:tcW w:w="1610" w:type="dxa"/>
            <w:tcBorders>
              <w:bottom w:val="single" w:sz="12" w:space="0" w:color="000000"/>
            </w:tcBorders>
            <w:vAlign w:val="center"/>
          </w:tcPr>
          <w:p>
            <w:pPr>
              <w:pStyle w:val="TableContents"/>
              <w:bidi w:val="0"/>
              <w:spacing w:before="0" w:after="283"/>
              <w:jc w:val="left"/>
              <w:rPr/>
            </w:pPr>
            <w:r>
              <w:rPr/>
              <w:t>/s/ Chris Lundell</w:t>
            </w:r>
          </w:p>
        </w:tc>
        <w:tc>
          <w:tcPr>
            <w:tcW w:w="75" w:type="dxa"/>
            <w:tcBorders/>
            <w:tcMar>
              <w:bottom w:w="0" w:type="dxa"/>
            </w:tcMar>
            <w:vAlign w:val="center"/>
          </w:tcPr>
          <w:p>
            <w:pPr>
              <w:pStyle w:val="TableContents"/>
              <w:bidi w:val="0"/>
              <w:spacing w:before="0" w:after="283"/>
              <w:jc w:val="left"/>
              <w:rPr/>
            </w:pPr>
            <w:r>
              <w:rPr/>
              <w:t> </w:t>
            </w:r>
          </w:p>
        </w:tc>
      </w:tr>
      <w:tr>
        <w:trPr/>
        <w:tc>
          <w:tcPr>
            <w:tcW w:w="1610" w:type="dxa"/>
            <w:tcBorders/>
            <w:tcMar>
              <w:bottom w:w="0" w:type="dxa"/>
            </w:tcMar>
            <w:vAlign w:val="center"/>
          </w:tcPr>
          <w:p>
            <w:pPr>
              <w:pStyle w:val="TableContents"/>
              <w:bidi w:val="0"/>
              <w:spacing w:before="0" w:after="283"/>
              <w:jc w:val="left"/>
              <w:rPr/>
            </w:pPr>
            <w:r>
              <w:rPr/>
              <w:t>Chris Lundell</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Lundell</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102" w:right="0" w:hanging="0"/>
        <w:jc w:val="center"/>
        <w:rPr>
          <w:caps w:val="false"/>
          <w:smallCaps w:val="false"/>
        </w:rPr>
      </w:pPr>
      <w:r>
        <w:rPr>
          <w:caps w:val="false"/>
          <w:smallCaps w:val="false"/>
        </w:rPr>
        <w:t> </w:t>
      </w:r>
    </w:p>
    <w:p>
      <w:pPr>
        <w:pStyle w:val="TextBody"/>
        <w:bidi w:val="0"/>
        <w:spacing w:before="0" w:after="0"/>
        <w:ind w:left="102" w:right="3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UNDER TITLE 29 U.S. CODE SECTION 626(f)(I)(H)</w:t>
      </w:r>
    </w:p>
    <w:p>
      <w:pPr>
        <w:pStyle w:val="TextBody"/>
        <w:bidi w:val="0"/>
        <w:spacing w:before="0" w:after="0"/>
        <w:ind w:left="102" w:right="36" w:hanging="0"/>
        <w:jc w:val="center"/>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15"/>
        <w:gridCol w:w="7805"/>
      </w:tblGrid>
      <w:tr>
        <w:trPr/>
        <w:tc>
          <w:tcPr>
            <w:tcW w:w="215"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spacing w:before="0" w:after="283"/>
              <w:jc w:val="left"/>
              <w:rPr/>
            </w:pPr>
            <w:r>
              <w:rPr/>
              <w:t>The following groups have been selected for the employment termination program</w:t>
            </w:r>
          </w:p>
        </w:tc>
      </w:tr>
    </w:tbl>
    <w:p>
      <w:pPr>
        <w:pStyle w:val="TextBody"/>
        <w:bidi w:val="0"/>
        <w:spacing w:before="0" w:after="283"/>
        <w:jc w:val="left"/>
        <w:rPr/>
      </w:pPr>
      <w:r>
        <w:rPr/>
        <w:t> </w:t>
      </w:r>
    </w:p>
    <w:tbl>
      <w:tblPr>
        <w:tblW w:w="753" w:type="dxa"/>
        <w:jc w:val="left"/>
        <w:tblInd w:w="0" w:type="dxa"/>
        <w:tblLayout w:type="fixed"/>
        <w:tblCellMar>
          <w:top w:w="0" w:type="dxa"/>
          <w:left w:w="0" w:type="dxa"/>
          <w:bottom w:w="0" w:type="dxa"/>
          <w:right w:w="0" w:type="dxa"/>
        </w:tblCellMar>
      </w:tblPr>
      <w:tblGrid>
        <w:gridCol w:w="38"/>
        <w:gridCol w:w="185"/>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530" w:type="dxa"/>
            <w:tcBorders/>
            <w:vAlign w:val="center"/>
          </w:tcPr>
          <w:p>
            <w:pPr>
              <w:pStyle w:val="TableContents"/>
              <w:bidi w:val="0"/>
              <w:spacing w:before="0" w:after="283"/>
              <w:jc w:val="left"/>
              <w:rPr/>
            </w:pPr>
            <w:r>
              <w:rPr/>
              <w:t>Sales</w:t>
            </w:r>
          </w:p>
        </w:tc>
      </w:tr>
    </w:tbl>
    <w:tbl>
      <w:tblPr>
        <w:tblW w:w="1308" w:type="dxa"/>
        <w:jc w:val="left"/>
        <w:tblInd w:w="0" w:type="dxa"/>
        <w:tblLayout w:type="fixed"/>
        <w:tblCellMar>
          <w:top w:w="0" w:type="dxa"/>
          <w:left w:w="0" w:type="dxa"/>
          <w:bottom w:w="0" w:type="dxa"/>
          <w:right w:w="0" w:type="dxa"/>
        </w:tblCellMar>
      </w:tblPr>
      <w:tblGrid>
        <w:gridCol w:w="38"/>
        <w:gridCol w:w="20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070" w:type="dxa"/>
            <w:tcBorders/>
            <w:vAlign w:val="center"/>
          </w:tcPr>
          <w:p>
            <w:pPr>
              <w:pStyle w:val="TableContents"/>
              <w:bidi w:val="0"/>
              <w:spacing w:before="0" w:after="283"/>
              <w:jc w:val="left"/>
              <w:rPr/>
            </w:pPr>
            <w:r>
              <w:rPr/>
              <w:t>Operations</w:t>
            </w:r>
          </w:p>
        </w:tc>
      </w:tr>
    </w:tbl>
    <w:tbl>
      <w:tblPr>
        <w:tblW w:w="2148" w:type="dxa"/>
        <w:jc w:val="left"/>
        <w:tblInd w:w="0" w:type="dxa"/>
        <w:tblLayout w:type="fixed"/>
        <w:tblCellMar>
          <w:top w:w="0" w:type="dxa"/>
          <w:left w:w="0" w:type="dxa"/>
          <w:bottom w:w="0" w:type="dxa"/>
          <w:right w:w="0" w:type="dxa"/>
        </w:tblCellMar>
      </w:tblPr>
      <w:tblGrid>
        <w:gridCol w:w="38"/>
        <w:gridCol w:w="18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1925" w:type="dxa"/>
            <w:tcBorders/>
            <w:vAlign w:val="center"/>
          </w:tcPr>
          <w:p>
            <w:pPr>
              <w:pStyle w:val="TableContents"/>
              <w:bidi w:val="0"/>
              <w:spacing w:before="0" w:after="283"/>
              <w:jc w:val="left"/>
              <w:rPr/>
            </w:pPr>
            <w:r>
              <w:rPr/>
              <w:t>External Operations</w:t>
            </w:r>
          </w:p>
        </w:tc>
      </w:tr>
    </w:tbl>
    <w:tbl>
      <w:tblPr>
        <w:tblW w:w="1473" w:type="dxa"/>
        <w:jc w:val="left"/>
        <w:tblInd w:w="0" w:type="dxa"/>
        <w:tblLayout w:type="fixed"/>
        <w:tblCellMar>
          <w:top w:w="0" w:type="dxa"/>
          <w:left w:w="0" w:type="dxa"/>
          <w:bottom w:w="0" w:type="dxa"/>
          <w:right w:w="0" w:type="dxa"/>
        </w:tblCellMar>
      </w:tblPr>
      <w:tblGrid>
        <w:gridCol w:w="38"/>
        <w:gridCol w:w="20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1235" w:type="dxa"/>
            <w:tcBorders/>
            <w:vAlign w:val="center"/>
          </w:tcPr>
          <w:p>
            <w:pPr>
              <w:pStyle w:val="TableContents"/>
              <w:bidi w:val="0"/>
              <w:spacing w:before="0" w:after="283"/>
              <w:jc w:val="left"/>
              <w:rPr/>
            </w:pPr>
            <w:r>
              <w:rPr/>
              <w:t>Procurement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283"/>
              <w:jc w:val="both"/>
              <w:rPr/>
            </w:pPr>
            <w:r>
              <w:rPr/>
              <w:t>In the groups listed above, job positions will be eliminated based on the following factors: cost reduction and externally sourcing labor.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3.</w:t>
            </w:r>
          </w:p>
        </w:tc>
        <w:tc>
          <w:tcPr>
            <w:tcW w:w="10003" w:type="dxa"/>
            <w:tcBorders/>
            <w:vAlign w:val="center"/>
          </w:tcPr>
          <w:p>
            <w:pPr>
              <w:pStyle w:val="TableContents"/>
              <w:bidi w:val="0"/>
              <w:spacing w:before="0" w:after="283"/>
              <w:jc w:val="both"/>
              <w:rPr/>
            </w:pPr>
            <w:r>
              <w:rPr/>
              <w:t>All eligible employees will have up to twenty-one (21) days to review the terms and conditions and sign the Separation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7594" w:type="dxa"/>
        <w:jc w:val="left"/>
        <w:tblInd w:w="-10" w:type="dxa"/>
        <w:tblLayout w:type="fixed"/>
        <w:tblCellMar>
          <w:top w:w="60" w:type="dxa"/>
          <w:left w:w="28" w:type="dxa"/>
          <w:bottom w:w="28" w:type="dxa"/>
          <w:right w:w="28" w:type="dxa"/>
        </w:tblCellMar>
      </w:tblPr>
      <w:tblGrid>
        <w:gridCol w:w="4992"/>
        <w:gridCol w:w="2602"/>
      </w:tblGrid>
      <w:tr>
        <w:trPr/>
        <w:tc>
          <w:tcPr>
            <w:tcW w:w="759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mallCaps/>
              </w:rPr>
            </w:pPr>
            <w:r>
              <w:rPr>
                <w:b/>
                <w:smallCaps/>
              </w:rPr>
              <w:t>Employees Selected For The Employment Termination Program</w:t>
            </w:r>
          </w:p>
        </w:tc>
      </w:tr>
      <w:tr>
        <w:trPr/>
        <w:tc>
          <w:tcPr>
            <w:tcW w:w="4992" w:type="dxa"/>
            <w:tcBorders>
              <w:left w:val="single" w:sz="8" w:space="0" w:color="000000"/>
              <w:bottom w:val="single" w:sz="8" w:space="0" w:color="000000"/>
              <w:right w:val="single" w:sz="8" w:space="0" w:color="000000"/>
            </w:tcBorders>
            <w:tcMar>
              <w:top w:w="0" w:type="dxa"/>
              <w:left w:w="38" w:type="dxa"/>
            </w:tcMar>
            <w:vAlign w:val="center"/>
          </w:tcPr>
          <w:p>
            <w:pPr>
              <w:pStyle w:val="TableContents"/>
              <w:bidi w:val="0"/>
              <w:spacing w:before="0" w:after="283"/>
              <w:jc w:val="center"/>
              <w:rPr>
                <w:b/>
                <w:smallCaps/>
              </w:rPr>
            </w:pPr>
            <w:r>
              <w:rPr>
                <w:b/>
                <w:smallCaps/>
              </w:rPr>
              <w:t>Job Title</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mallCaps/>
              </w:rPr>
            </w:pPr>
            <w:r>
              <w:rPr>
                <w:b/>
                <w:smallCaps/>
              </w:rPr>
              <w:t>Age</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Site Survey Technician</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30</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Solar Sales Consultant</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52</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Regional Install Manager</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48</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Foreman</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24, 26, 31, 33, 38</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Roof Lead</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21, 33</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Installer</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22, 30</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Production Planner</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22</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Warehouse Manager</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22, 42</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MPU Electrician</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49</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Inspection Host</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22, 62</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Inspection Technician</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31, 38</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Utility Coordinator Manager</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41</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Technical Product Manager</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Superintendent</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Senior Permit Specialist</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27</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Jr. Software Developer</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23</w:t>
            </w:r>
          </w:p>
        </w:tc>
      </w:tr>
      <w:tr>
        <w:trPr/>
        <w:tc>
          <w:tcPr>
            <w:tcW w:w="4992"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Inspection and Service Technician</w:t>
            </w:r>
          </w:p>
        </w:tc>
        <w:tc>
          <w:tcPr>
            <w:tcW w:w="26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Lundell</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p>
      <w:pPr>
        <w:pStyle w:val="TextBody"/>
        <w:bidi w:val="0"/>
        <w:spacing w:before="0" w:after="0"/>
        <w:jc w:val="left"/>
        <w:rPr>
          <w:caps w:val="false"/>
          <w:smallCaps w:val="false"/>
        </w:rPr>
      </w:pPr>
      <w:r>
        <w:rPr>
          <w:caps w:val="false"/>
          <w:smallCaps w:val="false"/>
        </w:rPr>
        <w:t> </w:t>
      </w:r>
    </w:p>
    <w:tbl>
      <w:tblPr>
        <w:tblW w:w="7594" w:type="dxa"/>
        <w:jc w:val="left"/>
        <w:tblInd w:w="-10" w:type="dxa"/>
        <w:tblLayout w:type="fixed"/>
        <w:tblCellMar>
          <w:top w:w="57" w:type="dxa"/>
          <w:left w:w="28" w:type="dxa"/>
          <w:bottom w:w="28" w:type="dxa"/>
          <w:right w:w="28" w:type="dxa"/>
        </w:tblCellMar>
      </w:tblPr>
      <w:tblGrid>
        <w:gridCol w:w="6458"/>
        <w:gridCol w:w="1136"/>
      </w:tblGrid>
      <w:tr>
        <w:trPr/>
        <w:tc>
          <w:tcPr>
            <w:tcW w:w="759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mallCaps/>
              </w:rPr>
            </w:pPr>
            <w:r>
              <w:rPr>
                <w:b/>
                <w:smallCaps/>
              </w:rPr>
              <w:t>Employees Selected For The Employment Termination Program</w:t>
            </w:r>
          </w:p>
        </w:tc>
      </w:tr>
      <w:tr>
        <w:trPr/>
        <w:tc>
          <w:tcPr>
            <w:tcW w:w="6458" w:type="dxa"/>
            <w:tcBorders>
              <w:left w:val="single" w:sz="8" w:space="0" w:color="000000"/>
              <w:bottom w:val="single" w:sz="8" w:space="0" w:color="000000"/>
              <w:right w:val="single" w:sz="8" w:space="0" w:color="000000"/>
            </w:tcBorders>
            <w:tcMar>
              <w:top w:w="0" w:type="dxa"/>
              <w:left w:w="38" w:type="dxa"/>
            </w:tcMar>
            <w:vAlign w:val="center"/>
          </w:tcPr>
          <w:p>
            <w:pPr>
              <w:pStyle w:val="TableContents"/>
              <w:bidi w:val="0"/>
              <w:spacing w:before="0" w:after="283"/>
              <w:jc w:val="center"/>
              <w:rPr>
                <w:b/>
                <w:smallCaps/>
              </w:rPr>
            </w:pPr>
            <w:r>
              <w:rPr>
                <w:b/>
                <w:smallCaps/>
              </w:rPr>
              <w:t>Job Title</w:t>
            </w:r>
          </w:p>
        </w:tc>
        <w:tc>
          <w:tcPr>
            <w:tcW w:w="11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mallCaps/>
              </w:rPr>
            </w:pPr>
            <w:r>
              <w:rPr>
                <w:b/>
                <w:smallCaps/>
              </w:rPr>
              <w:t>Age</w:t>
            </w:r>
          </w:p>
        </w:tc>
      </w:tr>
      <w:tr>
        <w:trPr/>
        <w:tc>
          <w:tcPr>
            <w:tcW w:w="6458"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Operations Support Specialist</w:t>
            </w:r>
          </w:p>
        </w:tc>
        <w:tc>
          <w:tcPr>
            <w:tcW w:w="11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31</w:t>
            </w:r>
          </w:p>
        </w:tc>
      </w:tr>
      <w:tr>
        <w:trPr/>
        <w:tc>
          <w:tcPr>
            <w:tcW w:w="6458"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Chief Executive Officer</w:t>
            </w:r>
          </w:p>
        </w:tc>
        <w:tc>
          <w:tcPr>
            <w:tcW w:w="11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63</w:t>
            </w:r>
          </w:p>
        </w:tc>
      </w:tr>
    </w:tbl>
    <w:p>
      <w:pPr>
        <w:pStyle w:val="TextBody"/>
        <w:bidi w:val="0"/>
        <w:spacing w:before="0" w:after="0"/>
        <w:ind w:left="0" w:right="0" w:hanging="0"/>
        <w:jc w:val="left"/>
        <w:rPr>
          <w:caps w:val="false"/>
          <w:smallCaps w:val="false"/>
        </w:rPr>
      </w:pPr>
      <w:r>
        <w:rPr>
          <w:caps w:val="false"/>
          <w:smallCaps w:val="false"/>
        </w:rPr>
        <w:t> </w:t>
      </w:r>
    </w:p>
    <w:tbl>
      <w:tblPr>
        <w:tblW w:w="8119" w:type="dxa"/>
        <w:jc w:val="left"/>
        <w:tblInd w:w="-10" w:type="dxa"/>
        <w:tblLayout w:type="fixed"/>
        <w:tblCellMar>
          <w:top w:w="57" w:type="dxa"/>
          <w:left w:w="28" w:type="dxa"/>
          <w:bottom w:w="28" w:type="dxa"/>
          <w:right w:w="28" w:type="dxa"/>
        </w:tblCellMar>
      </w:tblPr>
      <w:tblGrid>
        <w:gridCol w:w="6221"/>
        <w:gridCol w:w="1898"/>
      </w:tblGrid>
      <w:tr>
        <w:trPr/>
        <w:tc>
          <w:tcPr>
            <w:tcW w:w="8119"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mallCaps/>
              </w:rPr>
            </w:pPr>
            <w:r>
              <w:rPr>
                <w:b/>
                <w:smallCaps/>
              </w:rPr>
              <w:t>Employees Not Selected For The Employment Termination Program</w:t>
            </w:r>
          </w:p>
        </w:tc>
      </w:tr>
      <w:tr>
        <w:trPr/>
        <w:tc>
          <w:tcPr>
            <w:tcW w:w="6221" w:type="dxa"/>
            <w:tcBorders>
              <w:left w:val="single" w:sz="8" w:space="0" w:color="000000"/>
              <w:bottom w:val="single" w:sz="8" w:space="0" w:color="000000"/>
              <w:right w:val="single" w:sz="8" w:space="0" w:color="000000"/>
            </w:tcBorders>
            <w:tcMar>
              <w:top w:w="0" w:type="dxa"/>
              <w:left w:w="38" w:type="dxa"/>
            </w:tcMar>
            <w:vAlign w:val="center"/>
          </w:tcPr>
          <w:p>
            <w:pPr>
              <w:pStyle w:val="TableContents"/>
              <w:bidi w:val="0"/>
              <w:spacing w:before="0" w:after="283"/>
              <w:jc w:val="center"/>
              <w:rPr>
                <w:b/>
                <w:smallCaps/>
              </w:rPr>
            </w:pPr>
            <w:r>
              <w:rPr>
                <w:b/>
                <w:smallCaps/>
              </w:rPr>
              <w:t>Job Title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mallCaps/>
              </w:rPr>
            </w:pPr>
            <w:r>
              <w:rPr>
                <w:b/>
                <w:smallCaps/>
              </w:rPr>
              <w:t>Age</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Vice President of Sales</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42</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Principal Quality Project Manager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62</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Inside Sales Team</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29</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Design Agent</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24</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Manager, Quality and Design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30</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Quality Control Agent</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24</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Director of Operations</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29</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Regional Install Manager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33, 39, 43</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Project Coordinator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24, 25</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Permit Runner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24, 33</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PV Design Specialist</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29</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Interconnection Spec Lead</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33</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Manager, Installation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39</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New Home Coordinator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55</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Production Manager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31</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FinOps Agent</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30</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PIP Manager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PIP Reviewer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42</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NEM/Utility Expert</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26</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MPU Avoidance Specialist</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33</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Post Install Technician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37</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Site Survey Administrator</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52</w:t>
            </w:r>
          </w:p>
        </w:tc>
      </w:tr>
      <w:tr>
        <w:trPr/>
        <w:tc>
          <w:tcPr>
            <w:tcW w:w="6221"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Solar Site Technician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52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Lundell</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w:t>
      </w:r>
    </w:p>
    <w:p>
      <w:pPr>
        <w:pStyle w:val="TextBody"/>
        <w:bidi w:val="0"/>
        <w:spacing w:before="0" w:after="0"/>
        <w:jc w:val="left"/>
        <w:rPr>
          <w:caps w:val="false"/>
          <w:smallCaps w:val="false"/>
        </w:rPr>
      </w:pPr>
      <w:r>
        <w:rPr>
          <w:caps w:val="false"/>
          <w:smallCaps w:val="false"/>
        </w:rPr>
        <w:t> </w:t>
      </w:r>
    </w:p>
    <w:tbl>
      <w:tblPr>
        <w:tblW w:w="8119" w:type="dxa"/>
        <w:jc w:val="left"/>
        <w:tblInd w:w="-10" w:type="dxa"/>
        <w:tblLayout w:type="fixed"/>
        <w:tblCellMar>
          <w:top w:w="57" w:type="dxa"/>
          <w:left w:w="28" w:type="dxa"/>
          <w:bottom w:w="28" w:type="dxa"/>
          <w:right w:w="28" w:type="dxa"/>
        </w:tblCellMar>
      </w:tblPr>
      <w:tblGrid>
        <w:gridCol w:w="5525"/>
        <w:gridCol w:w="2594"/>
      </w:tblGrid>
      <w:tr>
        <w:trPr/>
        <w:tc>
          <w:tcPr>
            <w:tcW w:w="8119"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mallCaps/>
              </w:rPr>
            </w:pPr>
            <w:r>
              <w:rPr>
                <w:b/>
                <w:smallCaps/>
              </w:rPr>
              <w:t>Employees Not Selected For The Employment Termination Program</w:t>
            </w:r>
          </w:p>
        </w:tc>
      </w:tr>
      <w:tr>
        <w:trPr/>
        <w:tc>
          <w:tcPr>
            <w:tcW w:w="5525" w:type="dxa"/>
            <w:tcBorders>
              <w:left w:val="single" w:sz="8" w:space="0" w:color="000000"/>
              <w:bottom w:val="single" w:sz="8" w:space="0" w:color="000000"/>
              <w:right w:val="single" w:sz="8" w:space="0" w:color="000000"/>
            </w:tcBorders>
            <w:tcMar>
              <w:top w:w="0" w:type="dxa"/>
              <w:left w:w="38" w:type="dxa"/>
            </w:tcMar>
            <w:vAlign w:val="center"/>
          </w:tcPr>
          <w:p>
            <w:pPr>
              <w:pStyle w:val="TableContents"/>
              <w:bidi w:val="0"/>
              <w:spacing w:before="0" w:after="283"/>
              <w:jc w:val="center"/>
              <w:rPr>
                <w:b/>
                <w:smallCaps/>
              </w:rPr>
            </w:pPr>
            <w:r>
              <w:rPr>
                <w:b/>
                <w:smallCaps/>
              </w:rPr>
              <w:t>Job Title</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mallCaps/>
              </w:rPr>
            </w:pPr>
            <w:r>
              <w:rPr>
                <w:b/>
                <w:smallCaps/>
              </w:rPr>
              <w:t>Age</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Site Survey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32</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Yield Engineer</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25</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Branch Manager</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26</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Foreman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27, 29</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Service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30, 33</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Lead Roofer</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30</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MPU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26, 31, 59</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Battery Service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36</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Battery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31</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Inspection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26, 27, 30, 54</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Solar Service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33</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Inspection Service Technician</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42</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Manager, Procurement</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39, 44</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Global Logistics Manager</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45</w:t>
            </w:r>
          </w:p>
        </w:tc>
      </w:tr>
      <w:tr>
        <w:trPr/>
        <w:tc>
          <w:tcPr>
            <w:tcW w:w="5525" w:type="dxa"/>
            <w:tcBorders>
              <w:left w:val="single" w:sz="8" w:space="0" w:color="000000"/>
              <w:bottom w:val="single" w:sz="8" w:space="0" w:color="000000"/>
              <w:right w:val="single" w:sz="8" w:space="0" w:color="000000"/>
            </w:tcBorders>
            <w:tcMar>
              <w:top w:w="0" w:type="dxa"/>
              <w:left w:w="119" w:type="dxa"/>
            </w:tcMar>
            <w:vAlign w:val="center"/>
          </w:tcPr>
          <w:p>
            <w:pPr>
              <w:pStyle w:val="TableContents"/>
              <w:bidi w:val="0"/>
              <w:spacing w:before="0" w:after="283"/>
              <w:jc w:val="left"/>
              <w:rPr/>
            </w:pPr>
            <w:r>
              <w:rPr/>
              <w:t>Senior Permit Specialist</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ind w:left="0" w:right="0" w:hanging="0"/>
        <w:jc w:val="right"/>
        <w:rPr>
          <w:b/>
        </w:rPr>
      </w:pPr>
      <w:bookmarkStart w:id="28" w:name="ea021055601ex10-8_complete.htm"/>
      <w:bookmarkStart w:id="29" w:name="ksea021055601ex108_complete"/>
      <w:bookmarkEnd w:id="28"/>
      <w:bookmarkEnd w:id="29"/>
      <w:r>
        <w:rPr>
          <w:b/>
        </w:rPr>
        <w:t>Exhibit 10.8</w:t>
      </w:r>
      <w:r>
        <w:br w:type="page"/>
      </w:r>
    </w:p>
    <w:p>
      <w:pPr>
        <w:pStyle w:val="TextBody"/>
        <w:bidi w:val="0"/>
        <w:jc w:val="center"/>
        <w:rPr/>
      </w:pPr>
      <w:r>
        <w:rPr/>
        <w:t> </w:t>
      </w:r>
    </w:p>
    <w:p>
      <w:pPr>
        <w:pStyle w:val="TextBody"/>
        <w:bidi w:val="0"/>
        <w:jc w:val="center"/>
        <w:rPr/>
      </w:pPr>
      <w:r>
        <w:rPr/>
        <w:drawing>
          <wp:inline distT="0" distB="0" distL="0" distR="0">
            <wp:extent cx="3990975" cy="752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3990975" cy="7524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Letter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Foley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Transmitted Electronically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Daniel,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pleased to offer you a full-time position with Complete Solar, Inc. (the “Company”), as </w:t>
      </w:r>
      <w:r>
        <w:rPr>
          <w:rFonts w:ascii="Times New Roman;Times;Serif" w:hAnsi="Times New Roman;Times;Serif"/>
          <w:b/>
          <w:i w:val="false"/>
          <w:caps w:val="false"/>
          <w:smallCaps w:val="false"/>
          <w:sz w:val="20"/>
        </w:rPr>
        <w:t xml:space="preserve">Chief Financial Officer </w:t>
      </w:r>
      <w:r>
        <w:rPr>
          <w:rFonts w:ascii="Times New Roman;Times;Serif" w:hAnsi="Times New Roman;Times;Serif"/>
          <w:b w:val="false"/>
          <w:i w:val="false"/>
          <w:caps w:val="false"/>
          <w:smallCaps w:val="false"/>
          <w:sz w:val="20"/>
        </w:rPr>
        <w:t xml:space="preserve">reporting to T.J. Rodgers, Chief Executive Officer. </w:t>
      </w:r>
      <w:r>
        <w:rPr>
          <w:rFonts w:ascii="Times New Roman;Times;Serif" w:hAnsi="Times New Roman;Times;Serif"/>
          <w:b/>
          <w:i w:val="false"/>
          <w:caps w:val="false"/>
          <w:smallCaps w:val="false"/>
          <w:sz w:val="20"/>
        </w:rPr>
        <w:t>We propose a start date of Monday July 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xml:space="preserve"> You will receive a gross semi-monthly salary of $11,458.33 equivalent to $275,000 per year if annualized, subject to applicable withholdings, in accordance with the Company’s normal payroll procedures. Compensation will be reviewed and adjusted annually based on performance, company financial status and industry compensation benchmarks.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Location:</w:t>
      </w:r>
      <w:r>
        <w:rPr>
          <w:rFonts w:ascii="Times New Roman;Times;Serif" w:hAnsi="Times New Roman;Times;Serif"/>
          <w:b w:val="false"/>
          <w:i w:val="false"/>
          <w:caps w:val="false"/>
          <w:smallCaps w:val="false"/>
          <w:sz w:val="20"/>
        </w:rPr>
        <w:t xml:space="preserve"> Your employment location will be at the Company’s office located in Lehi, Utah. The Company will provide you with a $10,000 lump sum for this relocation, though it is up to you to decide how you would like to use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Bonus: </w:t>
      </w:r>
      <w:r>
        <w:rPr>
          <w:rFonts w:ascii="Times New Roman;Times;Serif" w:hAnsi="Times New Roman;Times;Serif"/>
          <w:b w:val="false"/>
          <w:i w:val="false"/>
          <w:caps w:val="false"/>
          <w:smallCaps w:val="false"/>
          <w:sz w:val="20"/>
        </w:rPr>
        <w:t>You will be eligible for an annual bonus of 50% of your gross annual salary (the “</w:t>
      </w:r>
      <w:r>
        <w:rPr>
          <w:rFonts w:ascii="Times New Roman;Times;Serif" w:hAnsi="Times New Roman;Times;Serif"/>
          <w:b/>
          <w:i w:val="false"/>
          <w:caps w:val="false"/>
          <w:smallCaps w:val="false"/>
          <w:sz w:val="20"/>
        </w:rPr>
        <w:t xml:space="preserve">Annual Bonus”). </w:t>
      </w:r>
      <w:r>
        <w:rPr>
          <w:rFonts w:ascii="Times New Roman;Times;Serif" w:hAnsi="Times New Roman;Times;Serif"/>
          <w:b w:val="false"/>
          <w:i w:val="false"/>
          <w:caps w:val="false"/>
          <w:smallCaps w:val="false"/>
          <w:sz w:val="20"/>
        </w:rPr>
        <w:t>Your Annual Bonus is not guaranteed and is based on company and individual performance. To be eligible to receive an Annual Bonus you must be employed by the Company and in good standing on the date of the applicable Annual Bonus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Equity Incentive Grant: </w:t>
      </w:r>
      <w:r>
        <w:rPr>
          <w:rFonts w:ascii="Times New Roman;Times;Serif" w:hAnsi="Times New Roman;Times;Serif"/>
          <w:b w:val="false"/>
          <w:i w:val="false"/>
          <w:caps w:val="false"/>
          <w:smallCaps w:val="false"/>
          <w:sz w:val="20"/>
        </w:rPr>
        <w:t>Subject to formal approval by the Board, you will be granted an option (the “</w:t>
      </w:r>
      <w:r>
        <w:rPr>
          <w:rFonts w:ascii="Times New Roman;Times;Serif" w:hAnsi="Times New Roman;Times;Serif"/>
          <w:b/>
          <w:i w:val="false"/>
          <w:caps w:val="false"/>
          <w:smallCaps w:val="false"/>
          <w:sz w:val="20"/>
        </w:rPr>
        <w:t xml:space="preserve">Option”) </w:t>
      </w:r>
      <w:r>
        <w:rPr>
          <w:rFonts w:ascii="Times New Roman;Times;Serif" w:hAnsi="Times New Roman;Times;Serif"/>
          <w:b w:val="false"/>
          <w:i w:val="false"/>
          <w:caps w:val="false"/>
          <w:smallCaps w:val="false"/>
          <w:sz w:val="20"/>
        </w:rPr>
        <w:t>to purchase 500,000 shares of the Company’s Common Stock (the “</w:t>
      </w:r>
      <w:r>
        <w:rPr>
          <w:rFonts w:ascii="Times New Roman;Times;Serif" w:hAnsi="Times New Roman;Times;Serif"/>
          <w:b/>
          <w:i w:val="false"/>
          <w:caps w:val="false"/>
          <w:smallCaps w:val="false"/>
          <w:sz w:val="20"/>
        </w:rPr>
        <w:t xml:space="preserve">Option Shares” </w:t>
      </w:r>
      <w:r>
        <w:rPr>
          <w:rFonts w:ascii="Times New Roman;Times;Serif" w:hAnsi="Times New Roman;Times;Serif"/>
          <w:b w:val="false"/>
          <w:i w:val="false"/>
          <w:caps w:val="false"/>
          <w:smallCaps w:val="false"/>
          <w:sz w:val="20"/>
        </w:rPr>
        <w:t>as of the date of the grant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xml:space="preserve"> The Option will be subject to the terms of the Company’s Stock Plan (the “</w:t>
      </w:r>
      <w:r>
        <w:rPr>
          <w:rFonts w:ascii="Times New Roman;Times;Serif" w:hAnsi="Times New Roman;Times;Serif"/>
          <w:b/>
          <w:i w:val="false"/>
          <w:caps w:val="false"/>
          <w:smallCaps w:val="false"/>
          <w:sz w:val="20"/>
        </w:rPr>
        <w:t xml:space="preserve">Plan”) </w:t>
      </w:r>
      <w:r>
        <w:rPr>
          <w:rFonts w:ascii="Times New Roman;Times;Serif" w:hAnsi="Times New Roman;Times;Serif"/>
          <w:b w:val="false"/>
          <w:i w:val="false"/>
          <w:caps w:val="false"/>
          <w:smallCaps w:val="false"/>
          <w:sz w:val="20"/>
        </w:rPr>
        <w:t>and will be evidenced by a Notice of Stock Option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underlying the Option will vest as follows: 20% on the one-year anniversary of your start date, and the remaining 80% will vest in equal monthly installments thereafter (the “</w:t>
      </w:r>
      <w:r>
        <w:rPr>
          <w:rFonts w:ascii="Times New Roman;Times;Serif" w:hAnsi="Times New Roman;Times;Serif"/>
          <w:b/>
          <w:i w:val="false"/>
          <w:caps w:val="false"/>
          <w:smallCaps w:val="false"/>
          <w:sz w:val="20"/>
        </w:rPr>
        <w:t xml:space="preserve">Vesting Schedule”) </w:t>
      </w:r>
      <w:r>
        <w:rPr>
          <w:rFonts w:ascii="Times New Roman;Times;Serif" w:hAnsi="Times New Roman;Times;Serif"/>
          <w:b w:val="false"/>
          <w:i w:val="false"/>
          <w:caps w:val="false"/>
          <w:smallCaps w:val="false"/>
          <w:sz w:val="20"/>
        </w:rPr>
        <w:t>over a four-year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Option will be equal to the fair market value of the Company’s Common Stock on the Grant Date, as determined by the Board. The is no guarantee that the IRS will agree with the Board’s determination of the fair market value. You should consult with your own tax advisor concerning the tax consequences of accepting the Option.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Health and Welfare Benefits: </w:t>
      </w:r>
      <w:r>
        <w:rPr>
          <w:rFonts w:ascii="Times New Roman;Times;Serif" w:hAnsi="Times New Roman;Times;Serif"/>
          <w:b w:val="false"/>
          <w:i w:val="false"/>
          <w:caps w:val="false"/>
          <w:smallCaps w:val="false"/>
          <w:sz w:val="20"/>
        </w:rPr>
        <w:t>As a regular full-time employee, you are eligible to start participating in all Complete Solaria benefits programs effective your date of hire.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Time Off: </w:t>
      </w:r>
      <w:r>
        <w:rPr>
          <w:rFonts w:ascii="Times New Roman;Times;Serif" w:hAnsi="Times New Roman;Times;Serif"/>
          <w:b w:val="false"/>
          <w:i w:val="false"/>
          <w:caps w:val="false"/>
          <w:smallCaps w:val="false"/>
          <w:sz w:val="20"/>
        </w:rPr>
        <w:t>You will participate in our Discretionary Time Off program. The company does not track paid leave. You are free to manage your own paid time off, provided you coordinate this time off with the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with the Company is “at will.” This means that you or the Company may terminate your employment at any time, with or without cause. Although your job duties, title, responsibilities, reporting level, compensation, benefits, as well as the Company’s personnel policies and procedures, may be changed with or without notice at any time in the Company’s sole discretion, the “at will” nature of your employment may only be changed in an express agreement signed by you and an authorized representative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offer is contingent upon a relevant background and motor vehicle report screening. You will receive an email and/or text message requesting information and your authorization to run this background check from </w:t>
      </w:r>
      <w:r>
        <w:rPr>
          <w:rFonts w:ascii="Times New Roman;Times;Serif" w:hAnsi="Times New Roman;Times;Serif"/>
          <w:b/>
          <w:i w:val="false"/>
          <w:caps w:val="false"/>
          <w:smallCaps w:val="false"/>
          <w:sz w:val="20"/>
        </w:rPr>
        <w:t>VICTIG.</w:t>
      </w:r>
      <w:r>
        <w:rPr>
          <w:rFonts w:ascii="Times New Roman;Times;Serif" w:hAnsi="Times New Roman;Times;Serif"/>
          <w:b w:val="false"/>
          <w:i w:val="false"/>
          <w:caps w:val="false"/>
          <w:smallCaps w:val="false"/>
          <w:sz w:val="20"/>
        </w:rPr>
        <w:t xml:space="preserve"> In addition, you will be required to verify your right to work in the United States, as demonstrated by your completion of the Form I-9 upon hire and your submission of acceptable documentation verifying your identity and work authorization within three (3) days of starting employment.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Severance</w:t>
      </w:r>
      <w:r>
        <w:rPr>
          <w:rFonts w:ascii="Times New Roman;Times;Serif" w:hAnsi="Times New Roman;Times;Serif"/>
          <w:b/>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your compliance with the Preconditions (as defined below), then in the event your employment is terminated by the Company for reasons other than for Cause (as defined below), death, or Disability (as defined below), or you resign from your employment for Good Reason (as defined below) and provided such termination constitutes a “separation from service” (as defined under Treasury Regulation Section 1.409A-1(h), without regard to any alternative definition thereunder, a “</w:t>
      </w:r>
      <w:r>
        <w:rPr>
          <w:rFonts w:ascii="Times New Roman;Times;Serif" w:hAnsi="Times New Roman;Times;Serif"/>
          <w:b/>
          <w:i w:val="false"/>
          <w:caps w:val="false"/>
          <w:smallCaps w:val="false"/>
          <w:sz w:val="20"/>
        </w:rPr>
        <w:t>Separation from Service</w:t>
      </w:r>
      <w:r>
        <w:rPr>
          <w:rFonts w:ascii="Times New Roman;Times;Serif" w:hAnsi="Times New Roman;Times;Serif"/>
          <w:b w:val="false"/>
          <w:i w:val="false"/>
          <w:caps w:val="false"/>
          <w:smallCaps w:val="false"/>
          <w:sz w:val="20"/>
        </w:rPr>
        <w:t>”), then the Company shall provide you with the following severance benefits (collectively, the “</w:t>
      </w:r>
      <w:r>
        <w:rPr>
          <w:rFonts w:ascii="Times New Roman;Times;Serif" w:hAnsi="Times New Roman;Times;Serif"/>
          <w:b/>
          <w:i w:val="false"/>
          <w:caps w:val="false"/>
          <w:smallCaps w:val="false"/>
          <w:sz w:val="20"/>
        </w:rPr>
        <w:t>Severance Benefits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an amount equal to six (6) months of your then-current base salary, less applicable withholdings, paid over such six (6) month period, on the schedule described below (the “</w:t>
            </w:r>
            <w:r>
              <w:rPr>
                <w:b/>
              </w:rPr>
              <w:t>Salary Severance</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a lump sum amount equal to any earned but unpaid Annual Bonus from a previous fiscal year plus a pro rata portion of the Annual Bonus with respect to the fiscal year in which such Separation from Service occurs (but only to the extent such Annual Bonus would have been earned by you pursuant to the “Bonus” section above and the objectives, requirements, and standards set forth in the “Bonus” section above would have been fully satisfied, in each case based on actual performance as determined following the end of the applicable fiscal year) (the “</w:t>
            </w:r>
            <w:r>
              <w:rPr>
                <w:b/>
              </w:rPr>
              <w:t>Bonus Severance</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payments will begin or be made prior to the 60th day following your Separation from Service. On the 60th day following your Separation from Service, the Company will pay you in a lump sum the Salary Severance and Bonus Severance that you would have received on or prior to such date under the original schedule but for the delay while waiting for the 60th day in compliance with Code Section 409A and the effectiveness of the release, with the balance of the Salary Severance and other Severance Benefits being paid as originally scheduled.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are applicable for the purposes of this Offer Letter.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xml:space="preserve"> shall mean (i) an act of dishonesty made by you in connection with your responsibilities as an employee that has caused or is likely to cause material damage to the Company; (ii) your conviction of, or plea of nolo contendere to, a felony or any crime involving fraud, embezzlement or any other act of moral turpitude; (iii) your commission of any act of fraud, embezzlement, dishonesty or any other willful misconduct that has caused or is likely to cause material damage to the Company; (iv) your breach or disclosure of any confidentiality agreement or invention assignment agreement between you and the Company (or any affiliate of the Company) that has caused or is likely to cause material damage to the Company; (v) your willful failure to perform your employment duties as an employee (other than a failure resulting from your Disability) that has caused or is likely to cause material damage to the Company; or (vi) your willful breach of any of your obligations under any written agreement or covenant with the Company. In the event that the Company believes that Cause has arisen pursuant to the above (other than clause (ii) of this definition) termination shall become effective only after specific written notice thereof from the Company describing the Cause and a 30-day period in which to cure such failure, provided no such notice and cure period is required if the Company determines, in its sole discretion, that Cause is not reasonably curable.  The determination as to whether you are being terminated for Cause shall be made in good faith by the Company and shall be final and binding.  The foregoing definition does not in any way limit the Company’s ability to terminate your employment at any time.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that you have been unable to engage in any substantial gainful activity by reason of any medically determinable physical or mental impairment that can be expected to result in death or can be expected to last for a continuous period of not less than 12 months.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xml:space="preserve"> means your resignation from employment within 30 days following the “notice and cure period” described below following the occurrence of one or more of the following without your consent: (i) a material reduction in your duties, authorities or responsibilities,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 change in your position following a Change of Control shall not constitute Good Reason so long as you retain substantially the same authorities, duties and responsibilities of a division, subsidiary or business unit that constitutes substantially the same business of the Company following the Change of Control; (ii) a reduction in your base salary by more than 10% (other than in connection with similar decreases of other comparable employees of the Company); or (iii) a material change in the geographic location of your primary work facility or location; provided, that a relocation that is consensual or does not increase your average commute time by more than 1 hour from your then present location will not be considered a material change in geographic location.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the Company receives such notice during which such condition must not have been cured.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Preconditions</w:t>
      </w:r>
      <w:r>
        <w:rPr>
          <w:rFonts w:ascii="Times New Roman;Times;Serif" w:hAnsi="Times New Roman;Times;Serif"/>
          <w:b w:val="false"/>
          <w:i w:val="false"/>
          <w:caps w:val="false"/>
          <w:smallCaps w:val="false"/>
          <w:sz w:val="20"/>
        </w:rPr>
        <w:t>” to your receipt of any severance benefits under this Offer Letter are that you must continue to comply with your obligations under your Confidential Information and Inventions Assignment Agreement; (b) deliver to the Company an effective, general release of claims in favor of the Company in a form acceptable to the Company within 60 days following your termination date (or such shorter period as may be provided for in such general release of claims); and (c) if you are a member of the Board, you must resign from the Board, effective no later than the date of your termination date (or such other date as requested by the Board).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all of the severance benefits and other payments payable under this Offer Letter satisfy, to the greatest extent possible, the exemptions from the application of Code Section 409A provided under Treasury Regulations 1.409A-1(b)(4), 1.409A-1(b)(5) and 1.409A-1(b)(9), and this Offer Letter will be construed to the greatest extent possible as consistent with those provisions.  Notwithstanding any provision to the contrary in this letter,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u w:val="single"/>
        </w:rPr>
        <w:t>“</w:t>
      </w:r>
      <w:r>
        <w:rPr>
          <w:rFonts w:ascii="Times New Roman;Times;Serif" w:hAnsi="Times New Roman;Times;Serif"/>
          <w:b/>
          <w:i w:val="false"/>
          <w:caps w:val="false"/>
          <w:smallCaps w:val="false"/>
          <w:sz w:val="20"/>
          <w:u w:val="single"/>
        </w:rPr>
        <w:t>At Will” Employment</w:t>
      </w:r>
      <w:r>
        <w:rPr>
          <w:rFonts w:ascii="Times New Roman;Times;Serif" w:hAnsi="Times New Roman;Times;Serif"/>
          <w:b/>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with the Company is “at will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means that you or the Company may terminate your employment at any time, with or without cause. Although your job duties, title, responsibilities, reporting level, compensation, benefits, as well as the Company’s personnel policies and procedures, may be changed with or without notice at any time in the Company’s sole discretion, the “at will” nature of your employment may only be changed in an express agreement signed by you and an authorized representative of the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Conditions</w:t>
      </w:r>
      <w:r>
        <w:rPr>
          <w:rFonts w:ascii="Times New Roman;Times;Serif" w:hAnsi="Times New Roman;Times;Serif"/>
          <w:b/>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and any employment pursuant to this offer, is conditioned upon the verification of your right to work in the United States, as demonstrated by your completion of the Form I-9 upon hire and your submission of acceptable documentation (as noted on the Form I-9) verifying your identity and work authorization within three (3) days of starting employment.  If the Company informs you that you are required to complete a background check or reference check, this offer is contingent upon satisfactory clearance of such processes. You agree to assist as needed and to complete any documentation at the Company’s request to meet these conditions.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Continuing Obligations; Amendment</w:t>
      </w:r>
      <w:r>
        <w:rPr>
          <w:rFonts w:ascii="Times New Roman;Times;Serif" w:hAnsi="Times New Roman;Times;Serif"/>
          <w:b/>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you confirm that you are able to continue performing this job and carry out the work involved without breaching any legal restrictions on your activities, such as restrictions imposed by a current or former employer and that you are not involved in any situation that might create, or appear to create, a conflict of interest with respect to your loyalty or duties to the Company. You also confirm that you will inform the Company about any such restrictions and provide the Company with as much information as possible about such restrictions, including copies of any agreements between you and your current or former employer describing such restrictions on your activities.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  Changes in your employment terms, other than those changes expressly reserved to the Company’s discretion in this letter, require a written modification signed by a duly authorized officer of the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Enforcement; Arbitration</w:t>
      </w:r>
      <w:r>
        <w:rPr>
          <w:rFonts w:ascii="Times New Roman;Times;Serif" w:hAnsi="Times New Roman;Times;Serif"/>
          <w:b/>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aid the rapid and economical resolution of disputes that may arise in connection with your 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to the fullest extent permitted by law, by final, binding and confidential arbitration conducted by JAMS, Inc. (“</w:t>
      </w:r>
      <w:r>
        <w:rPr>
          <w:rFonts w:ascii="Times New Roman;Times;Serif" w:hAnsi="Times New Roman;Times;Serif"/>
          <w:b/>
          <w:i w:val="false"/>
          <w:caps w:val="false"/>
          <w:smallCaps w:val="false"/>
          <w:sz w:val="20"/>
        </w:rPr>
        <w:t>JAMS</w:t>
      </w:r>
      <w:r>
        <w:rPr>
          <w:rFonts w:ascii="Times New Roman;Times;Serif" w:hAnsi="Times New Roman;Times;Serif"/>
          <w:b w:val="false"/>
          <w:i w:val="false"/>
          <w:caps w:val="false"/>
          <w:smallCaps w:val="false"/>
          <w:sz w:val="20"/>
        </w:rPr>
        <w:t>”)  or its successor, under such arbitration service’s then applicable rules and procedures appropriate to the relief being sought (available upon request and also currently available at the following web address(es): (i) https://www.jamsadr.com/rules-employment-arbitration/ and (ii) https://www.jamsadr.com/rules-comprehensive-arbitration/) at a location closest to where you last worked for the Company or another mutually agreeable location. You acknowledge that by agreeing to this arbitration procedure, both you and the Company waive the right to resolve any such dispute through a trial by jury or judge.  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Times;Serif" w:hAnsi="Times New Roman;Times;Serif"/>
          <w:b/>
          <w:i w:val="false"/>
          <w:caps w:val="false"/>
          <w:smallCaps w:val="false"/>
          <w:sz w:val="20"/>
        </w:rPr>
        <w:t>Excluded Claims</w:t>
      </w:r>
      <w:r>
        <w:rPr>
          <w:rFonts w:ascii="Times New Roman;Times;Serif" w:hAnsi="Times New Roman;Times;Serif"/>
          <w:b w:val="false"/>
          <w:i w:val="false"/>
          <w:caps w:val="false"/>
          <w:smallCaps w:val="false"/>
          <w:sz w:val="20"/>
        </w:rPr>
        <w:t>”), including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You acknowledge that by agreeing to this arbitration procedure, both you and the Company waive all rights to have any dispute be brought, heard, administered, resolved, or arbitrated on a class, representative, or collective action basis.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arbitration administrative fees in excess of the administrative fees that you would be required to pay if the dispute were decided in a court of law.  Each party is responsible for its own attorneys’ fees, except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Offer Letter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indicate your agreement with these terms and accept this offer by signing and dating this Offer Letter. We look forward to your favorable reply and to the opportunity to work with you. Please feel free to contact Linda DeJulio, VP Quality and HR at 412-449-5395, if you have any questions regarding this offer.</w:t>
      </w:r>
    </w:p>
    <w:p>
      <w:pPr>
        <w:pStyle w:val="TextBody"/>
        <w:bidi w:val="0"/>
        <w:spacing w:before="0" w:after="0"/>
        <w:jc w:val="both"/>
        <w:rPr>
          <w:caps w:val="false"/>
          <w:smallCaps w:val="false"/>
        </w:rPr>
      </w:pPr>
      <w:r>
        <w:rPr>
          <w:caps w:val="false"/>
          <w:smallCaps w:val="false"/>
        </w:rPr>
        <w:t> </w:t>
      </w:r>
    </w:p>
    <w:tbl>
      <w:tblPr>
        <w:tblW w:w="1910" w:type="dxa"/>
        <w:jc w:val="left"/>
        <w:tblInd w:w="0" w:type="dxa"/>
        <w:tblLayout w:type="fixed"/>
        <w:tblCellMar>
          <w:top w:w="0" w:type="dxa"/>
          <w:left w:w="0" w:type="dxa"/>
          <w:bottom w:w="0" w:type="dxa"/>
          <w:right w:w="0" w:type="dxa"/>
        </w:tblCellMar>
      </w:tblPr>
      <w:tblGrid>
        <w:gridCol w:w="1835"/>
        <w:gridCol w:w="75"/>
      </w:tblGrid>
      <w:tr>
        <w:trPr/>
        <w:tc>
          <w:tcPr>
            <w:tcW w:w="1835" w:type="dxa"/>
            <w:tcBorders/>
            <w:vAlign w:val="center"/>
          </w:tcPr>
          <w:p>
            <w:pPr>
              <w:pStyle w:val="TableContents"/>
              <w:bidi w:val="0"/>
              <w:spacing w:before="0" w:after="283"/>
              <w:jc w:val="both"/>
              <w:rPr/>
            </w:pPr>
            <w:r>
              <w:rPr/>
              <w:t>Best Regards,</w:t>
            </w:r>
          </w:p>
        </w:tc>
        <w:tc>
          <w:tcPr>
            <w:tcW w:w="75" w:type="dxa"/>
            <w:tcBorders/>
            <w:vAlign w:val="center"/>
          </w:tcPr>
          <w:p>
            <w:pPr>
              <w:pStyle w:val="TableContents"/>
              <w:bidi w:val="0"/>
              <w:spacing w:before="0" w:after="283"/>
              <w:jc w:val="both"/>
              <w:rPr/>
            </w:pPr>
            <w:r>
              <w:rPr/>
              <w:t> </w:t>
            </w:r>
          </w:p>
        </w:tc>
      </w:tr>
      <w:tr>
        <w:trPr/>
        <w:tc>
          <w:tcPr>
            <w:tcW w:w="183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835" w:type="dxa"/>
            <w:tcBorders>
              <w:bottom w:val="single" w:sz="12" w:space="0" w:color="000000"/>
            </w:tcBorders>
            <w:tcMar>
              <w:bottom w:w="28" w:type="dxa"/>
            </w:tcMar>
            <w:vAlign w:val="center"/>
          </w:tcPr>
          <w:p>
            <w:pPr>
              <w:pStyle w:val="TableContents"/>
              <w:bidi w:val="0"/>
              <w:spacing w:before="0" w:after="283"/>
              <w:jc w:val="both"/>
              <w:rPr/>
            </w:pPr>
            <w:r>
              <w:rPr/>
              <w:t>/s/ Brian Wuebbels</w:t>
            </w:r>
          </w:p>
        </w:tc>
        <w:tc>
          <w:tcPr>
            <w:tcW w:w="75" w:type="dxa"/>
            <w:tcBorders/>
            <w:vAlign w:val="center"/>
          </w:tcPr>
          <w:p>
            <w:pPr>
              <w:pStyle w:val="TableContents"/>
              <w:bidi w:val="0"/>
              <w:spacing w:before="0" w:after="283"/>
              <w:jc w:val="both"/>
              <w:rPr/>
            </w:pPr>
            <w:r>
              <w:rPr/>
              <w:t> </w:t>
            </w:r>
          </w:p>
        </w:tc>
      </w:tr>
      <w:tr>
        <w:trPr/>
        <w:tc>
          <w:tcPr>
            <w:tcW w:w="1835" w:type="dxa"/>
            <w:tcBorders/>
            <w:vAlign w:val="center"/>
          </w:tcPr>
          <w:p>
            <w:pPr>
              <w:pStyle w:val="TableContents"/>
              <w:bidi w:val="0"/>
              <w:spacing w:before="0" w:after="283"/>
              <w:jc w:val="both"/>
              <w:rPr/>
            </w:pPr>
            <w:r>
              <w:rPr/>
              <w:t>Brian Wuebbels</w:t>
            </w:r>
          </w:p>
        </w:tc>
        <w:tc>
          <w:tcPr>
            <w:tcW w:w="75" w:type="dxa"/>
            <w:tcBorders/>
            <w:vAlign w:val="center"/>
          </w:tcPr>
          <w:p>
            <w:pPr>
              <w:pStyle w:val="TableContents"/>
              <w:bidi w:val="0"/>
              <w:spacing w:before="0" w:after="283"/>
              <w:jc w:val="both"/>
              <w:rPr/>
            </w:pPr>
            <w:r>
              <w:rPr/>
              <w:t> </w:t>
            </w:r>
          </w:p>
        </w:tc>
      </w:tr>
      <w:tr>
        <w:trPr/>
        <w:tc>
          <w:tcPr>
            <w:tcW w:w="1835" w:type="dxa"/>
            <w:tcBorders/>
            <w:vAlign w:val="center"/>
          </w:tcPr>
          <w:p>
            <w:pPr>
              <w:pStyle w:val="TableContents"/>
              <w:bidi w:val="0"/>
              <w:spacing w:before="0" w:after="283"/>
              <w:jc w:val="both"/>
              <w:rPr/>
            </w:pPr>
            <w:r>
              <w:rPr/>
              <w:t>COO</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107" w:right="0" w:hanging="0"/>
        <w:jc w:val="both"/>
        <w:rPr>
          <w:caps w:val="false"/>
          <w:smallCaps w:val="false"/>
        </w:rPr>
      </w:pPr>
      <w:r>
        <w:rPr>
          <w:caps w:val="false"/>
          <w:smallCaps w:val="false"/>
        </w:rPr>
        <w:t> </w:t>
      </w:r>
    </w:p>
    <w:tbl>
      <w:tblPr>
        <w:tblW w:w="4520" w:type="dxa"/>
        <w:jc w:val="left"/>
        <w:tblInd w:w="0" w:type="dxa"/>
        <w:tblLayout w:type="fixed"/>
        <w:tblCellMar>
          <w:top w:w="0" w:type="dxa"/>
          <w:left w:w="0" w:type="dxa"/>
          <w:bottom w:w="28" w:type="dxa"/>
          <w:right w:w="0" w:type="dxa"/>
        </w:tblCellMar>
      </w:tblPr>
      <w:tblGrid>
        <w:gridCol w:w="4445"/>
        <w:gridCol w:w="75"/>
      </w:tblGrid>
      <w:tr>
        <w:trPr/>
        <w:tc>
          <w:tcPr>
            <w:tcW w:w="4445" w:type="dxa"/>
            <w:tcBorders>
              <w:bottom w:val="single" w:sz="12" w:space="0" w:color="000000"/>
            </w:tcBorders>
            <w:vAlign w:val="center"/>
          </w:tcPr>
          <w:p>
            <w:pPr>
              <w:pStyle w:val="TableContents"/>
              <w:bidi w:val="0"/>
              <w:spacing w:before="0" w:after="283"/>
              <w:jc w:val="both"/>
              <w:rPr/>
            </w:pPr>
            <w:r>
              <w:rPr/>
              <w:t>/s/ Linda M. DeJulio</w:t>
            </w:r>
          </w:p>
        </w:tc>
        <w:tc>
          <w:tcPr>
            <w:tcW w:w="75" w:type="dxa"/>
            <w:tcBorders/>
            <w:tcMar>
              <w:bottom w:w="0" w:type="dxa"/>
            </w:tcMar>
            <w:vAlign w:val="center"/>
          </w:tcPr>
          <w:p>
            <w:pPr>
              <w:pStyle w:val="TableContents"/>
              <w:bidi w:val="0"/>
              <w:spacing w:before="0" w:after="283"/>
              <w:jc w:val="both"/>
              <w:rPr/>
            </w:pPr>
            <w:r>
              <w:rPr/>
              <w:t> </w:t>
            </w:r>
          </w:p>
        </w:tc>
      </w:tr>
      <w:tr>
        <w:trPr/>
        <w:tc>
          <w:tcPr>
            <w:tcW w:w="4445" w:type="dxa"/>
            <w:tcBorders/>
            <w:tcMar>
              <w:bottom w:w="0" w:type="dxa"/>
            </w:tcMar>
            <w:vAlign w:val="center"/>
          </w:tcPr>
          <w:p>
            <w:pPr>
              <w:pStyle w:val="TableContents"/>
              <w:bidi w:val="0"/>
              <w:spacing w:before="0" w:after="283"/>
              <w:jc w:val="both"/>
              <w:rPr/>
            </w:pPr>
            <w:r>
              <w:rPr/>
              <w:t>Linda DeJulio</w:t>
            </w:r>
          </w:p>
        </w:tc>
        <w:tc>
          <w:tcPr>
            <w:tcW w:w="75" w:type="dxa"/>
            <w:tcBorders/>
            <w:tcMar>
              <w:bottom w:w="0" w:type="dxa"/>
            </w:tcMar>
            <w:vAlign w:val="center"/>
          </w:tcPr>
          <w:p>
            <w:pPr>
              <w:pStyle w:val="TableContents"/>
              <w:bidi w:val="0"/>
              <w:spacing w:before="0" w:after="283"/>
              <w:jc w:val="both"/>
              <w:rPr/>
            </w:pPr>
            <w:r>
              <w:rPr/>
              <w:t> </w:t>
            </w:r>
          </w:p>
        </w:tc>
      </w:tr>
      <w:tr>
        <w:trPr/>
        <w:tc>
          <w:tcPr>
            <w:tcW w:w="4445" w:type="dxa"/>
            <w:tcBorders/>
            <w:tcMar>
              <w:bottom w:w="0" w:type="dxa"/>
            </w:tcMar>
            <w:vAlign w:val="center"/>
          </w:tcPr>
          <w:p>
            <w:pPr>
              <w:pStyle w:val="TableContents"/>
              <w:bidi w:val="0"/>
              <w:spacing w:before="0" w:after="283"/>
              <w:jc w:val="both"/>
              <w:rPr/>
            </w:pPr>
            <w:r>
              <w:rPr/>
              <w:t>Vice President, Quality and Human Resources</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07"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Acceptance of Offer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and understand all the terms of the offer set forth and I accept each of those terms. I further understand that this offer is the Company’s complete offer of employment to me, and this letter supersedes all prior and contemporaneous understandings, agreements, representations, and warranties, both written and oral, with respect to my employment.</w:t>
      </w:r>
    </w:p>
    <w:p>
      <w:pPr>
        <w:pStyle w:val="TextBody"/>
        <w:bidi w:val="0"/>
        <w:spacing w:before="0" w:after="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100"/>
        <w:gridCol w:w="1520"/>
        <w:gridCol w:w="75"/>
      </w:tblGrid>
      <w:tr>
        <w:trPr/>
        <w:tc>
          <w:tcPr>
            <w:tcW w:w="2620" w:type="dxa"/>
            <w:gridSpan w:val="2"/>
            <w:tcBorders/>
            <w:vAlign w:val="center"/>
          </w:tcPr>
          <w:p>
            <w:pPr>
              <w:pStyle w:val="TableContents"/>
              <w:bidi w:val="0"/>
              <w:spacing w:before="0" w:after="283"/>
              <w:jc w:val="left"/>
              <w:rPr/>
            </w:pPr>
            <w:r>
              <w:rPr/>
              <w:t>ACCEPTED:</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Signature </w:t>
            </w:r>
          </w:p>
        </w:tc>
        <w:tc>
          <w:tcPr>
            <w:tcW w:w="1520" w:type="dxa"/>
            <w:tcBorders>
              <w:bottom w:val="single" w:sz="12" w:space="0" w:color="000000"/>
            </w:tcBorders>
            <w:tcMar>
              <w:bottom w:w="28" w:type="dxa"/>
            </w:tcMar>
            <w:vAlign w:val="center"/>
          </w:tcPr>
          <w:p>
            <w:pPr>
              <w:pStyle w:val="TableContents"/>
              <w:bidi w:val="0"/>
              <w:spacing w:before="0" w:after="283"/>
              <w:jc w:val="left"/>
              <w:rPr/>
            </w:pPr>
            <w:r>
              <w:rPr/>
              <w:t>/s/ Daniel Foley</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Date:</w:t>
            </w:r>
          </w:p>
        </w:tc>
        <w:tc>
          <w:tcPr>
            <w:tcW w:w="1520" w:type="dxa"/>
            <w:tcBorders/>
            <w:vAlign w:val="center"/>
          </w:tcPr>
          <w:p>
            <w:pPr>
              <w:pStyle w:val="TableContents"/>
              <w:bidi w:val="0"/>
              <w:spacing w:before="0" w:after="283"/>
              <w:jc w:val="left"/>
              <w:rPr/>
            </w:pPr>
            <w:r>
              <w:rPr/>
              <w:t>6/6/2024</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Start Date: </w:t>
            </w:r>
          </w:p>
        </w:tc>
        <w:tc>
          <w:tcPr>
            <w:tcW w:w="1520" w:type="dxa"/>
            <w:tcBorders/>
            <w:vAlign w:val="center"/>
          </w:tcPr>
          <w:p>
            <w:pPr>
              <w:pStyle w:val="TableContents"/>
              <w:bidi w:val="0"/>
              <w:spacing w:before="0" w:after="283"/>
              <w:jc w:val="left"/>
              <w:rPr/>
            </w:pPr>
            <w:r>
              <w:rPr/>
              <w:t>7/1/2024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jc w:val="left"/>
        <w:rPr>
          <w:bdr w:val="single" w:sz="12" w:space="1" w:color="000000"/>
        </w:rPr>
      </w:pPr>
      <w:r>
        <w:rPr>
          <w:bdr w:val="single" w:sz="12" w:space="1" w:color="000000"/>
        </w:rPr>
        <w:t> </w:t>
      </w:r>
    </w:p>
    <w:p>
      <w:pPr>
        <w:pStyle w:val="TextBody"/>
        <w:bidi w:val="0"/>
        <w:jc w:val="right"/>
        <w:rPr>
          <w:b/>
        </w:rPr>
      </w:pPr>
      <w:bookmarkStart w:id="30" w:name="ea021055601ex31-1_complete.htm"/>
      <w:bookmarkStart w:id="31" w:name="ksea021055601ex311_complete"/>
      <w:bookmarkEnd w:id="30"/>
      <w:bookmarkEnd w:id="31"/>
      <w:r>
        <w:rPr>
          <w:b/>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Thurman J. Rodgers, certify that:</w:t>
      </w:r>
    </w:p>
    <w:p>
      <w:pPr>
        <w:pStyle w:val="TextBody"/>
        <w:bidi w:val="0"/>
        <w:spacing w:before="0" w:after="0"/>
        <w:ind w:left="0" w:right="0" w:hanging="0"/>
        <w:jc w:val="left"/>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20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370" w:type="dxa"/>
            <w:tcBorders/>
            <w:vAlign w:val="center"/>
          </w:tcPr>
          <w:p>
            <w:pPr>
              <w:pStyle w:val="TableContents"/>
              <w:bidi w:val="0"/>
              <w:spacing w:before="0" w:after="283"/>
              <w:jc w:val="both"/>
              <w:rPr/>
            </w:pPr>
            <w:r>
              <w:rPr/>
              <w:t>I have reviewed this quarterly report on Form 10-Q of Complete Solaria, Inc.;</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both"/>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both"/>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both"/>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mallCaps/>
              </w:rPr>
            </w:pPr>
            <w:r>
              <w:rPr>
                <w:smallCaps/>
              </w:rPr>
              <w:t>b)</w:t>
            </w:r>
          </w:p>
        </w:tc>
        <w:tc>
          <w:tcPr>
            <w:tcW w:w="999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both"/>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firstLine="28"/>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2195"/>
        <w:gridCol w:w="365"/>
        <w:gridCol w:w="4700"/>
      </w:tblGrid>
      <w:tr>
        <w:trPr/>
        <w:tc>
          <w:tcPr>
            <w:tcW w:w="2195" w:type="dxa"/>
            <w:tcBorders/>
            <w:vAlign w:val="center"/>
          </w:tcPr>
          <w:p>
            <w:pPr>
              <w:pStyle w:val="TableContents"/>
              <w:bidi w:val="0"/>
              <w:spacing w:before="0" w:after="283"/>
              <w:jc w:val="left"/>
              <w:rPr/>
            </w:pPr>
            <w:r>
              <w:rPr/>
              <w:t>Date: August 14, 2024</w:t>
            </w:r>
          </w:p>
        </w:tc>
        <w:tc>
          <w:tcPr>
            <w:tcW w:w="365" w:type="dxa"/>
            <w:tcBorders/>
            <w:vAlign w:val="center"/>
          </w:tcPr>
          <w:p>
            <w:pPr>
              <w:pStyle w:val="TableContents"/>
              <w:bidi w:val="0"/>
              <w:spacing w:before="0" w:after="283"/>
              <w:jc w:val="left"/>
              <w:rPr/>
            </w:pPr>
            <w:r>
              <w:rPr/>
              <w:t>By:</w:t>
            </w:r>
          </w:p>
        </w:tc>
        <w:tc>
          <w:tcPr>
            <w:tcW w:w="4700" w:type="dxa"/>
            <w:tcBorders>
              <w:bottom w:val="single" w:sz="12" w:space="0" w:color="000000"/>
            </w:tcBorders>
            <w:tcMar>
              <w:bottom w:w="28" w:type="dxa"/>
            </w:tcMar>
            <w:vAlign w:val="center"/>
          </w:tcPr>
          <w:p>
            <w:pPr>
              <w:pStyle w:val="TableContents"/>
              <w:bidi w:val="0"/>
              <w:spacing w:before="0" w:after="283"/>
              <w:jc w:val="left"/>
              <w:rPr/>
            </w:pPr>
            <w:r>
              <w:rPr/>
              <w:t>/s/ Thurman J. Rodgers       </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Thurman J. Rodgers</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Chief Executive Officer and Executive Chairman</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w:t>
            </w:r>
            <w:r>
              <w:rPr>
                <w:i/>
              </w:rPr>
              <w:t>Principal Executive Officer)</w:t>
            </w:r>
          </w:p>
        </w:tc>
      </w:tr>
    </w:tbl>
    <w:p>
      <w:pPr>
        <w:pStyle w:val="TextBody"/>
        <w:bidi w:val="0"/>
        <w:spacing w:before="0" w:after="0"/>
        <w:ind w:left="720" w:right="0" w:firstLine="28"/>
        <w:jc w:val="left"/>
        <w:rPr>
          <w:caps w:val="false"/>
          <w:smallCaps w:val="false"/>
        </w:rPr>
      </w:pPr>
      <w:r>
        <w:rPr>
          <w:caps w:val="false"/>
          <w:smallCaps w:val="false"/>
        </w:rPr>
        <w:t> </w:t>
      </w:r>
    </w:p>
    <w:p>
      <w:pPr>
        <w:pStyle w:val="TextBody"/>
        <w:bidi w:val="0"/>
        <w:spacing w:before="60" w:after="60"/>
        <w:ind w:left="60" w:right="60" w:hanging="0"/>
        <w:jc w:val="right"/>
        <w:rPr>
          <w:rFonts w:ascii="Times New Roman;Times;Serif" w:hAnsi="Times New Roman;Times;Serif"/>
          <w:b/>
          <w:i w:val="false"/>
          <w:caps w:val="false"/>
          <w:smallCaps w:val="false"/>
          <w:sz w:val="20"/>
        </w:rPr>
      </w:pPr>
      <w:bookmarkStart w:id="32" w:name="ea021055601ex31-2_complete.htm"/>
      <w:bookmarkStart w:id="33" w:name="ksea021055601ex312_complete"/>
      <w:bookmarkEnd w:id="32"/>
      <w:bookmarkEnd w:id="33"/>
      <w:r>
        <w:rPr>
          <w:rFonts w:ascii="Times New Roman;Times;Serif" w:hAnsi="Times New Roman;Times;Serif"/>
          <w:b/>
          <w:i w:val="false"/>
          <w:caps w:val="false"/>
          <w:smallCaps w:val="false"/>
          <w:sz w:val="20"/>
        </w:rPr>
        <w:t>Exhibit 31.2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Foley, certify that:</w:t>
      </w:r>
    </w:p>
    <w:p>
      <w:pPr>
        <w:pStyle w:val="TextBody"/>
        <w:bidi w:val="0"/>
        <w:spacing w:before="60" w:after="60"/>
        <w:ind w:left="60" w:right="6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9"/>
        <w:gridCol w:w="9886"/>
      </w:tblGrid>
      <w:tr>
        <w:trPr/>
        <w:tc>
          <w:tcPr>
            <w:tcW w:w="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86" w:type="dxa"/>
            <w:tcBorders/>
            <w:vAlign w:val="center"/>
          </w:tcPr>
          <w:p>
            <w:pPr>
              <w:pStyle w:val="TableContents"/>
              <w:bidi w:val="0"/>
              <w:spacing w:before="0" w:after="283"/>
              <w:jc w:val="left"/>
              <w:rPr/>
            </w:pPr>
            <w:r>
              <w:rPr/>
              <w:t>I have reviewed this quarterly report on Form 10-Q of Complete Solaria, Inc.;</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160"/>
        <w:gridCol w:w="23"/>
        <w:gridCol w:w="10022"/>
      </w:tblGrid>
      <w:tr>
        <w:trPr/>
        <w:tc>
          <w:tcPr>
            <w:tcW w:w="160" w:type="dxa"/>
            <w:tcBorders/>
            <w:vAlign w:val="center"/>
          </w:tcPr>
          <w:p>
            <w:pPr>
              <w:pStyle w:val="TableContents"/>
              <w:bidi w:val="0"/>
              <w:spacing w:before="0" w:after="283"/>
              <w:jc w:val="right"/>
              <w:rPr/>
            </w:pPr>
            <w:r>
              <w:rPr/>
              <w:t>a)</w:t>
            </w:r>
          </w:p>
        </w:tc>
        <w:tc>
          <w:tcPr>
            <w:tcW w:w="23" w:type="dxa"/>
            <w:tcBorders/>
            <w:vAlign w:val="center"/>
          </w:tcPr>
          <w:p>
            <w:pPr>
              <w:pStyle w:val="TableContents"/>
              <w:bidi w:val="0"/>
              <w:spacing w:before="0" w:after="283"/>
              <w:jc w:val="left"/>
              <w:rPr>
                <w:sz w:val="4"/>
                <w:szCs w:val="4"/>
              </w:rPr>
            </w:pPr>
            <w:r>
              <w:rPr>
                <w:sz w:val="4"/>
                <w:szCs w:val="4"/>
              </w:rPr>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190"/>
        <w:gridCol w:w="23"/>
        <w:gridCol w:w="9992"/>
      </w:tblGrid>
      <w:tr>
        <w:trPr/>
        <w:tc>
          <w:tcPr>
            <w:tcW w:w="190" w:type="dxa"/>
            <w:tcBorders/>
            <w:vAlign w:val="center"/>
          </w:tcPr>
          <w:p>
            <w:pPr>
              <w:pStyle w:val="TableContents"/>
              <w:bidi w:val="0"/>
              <w:spacing w:before="0" w:after="283"/>
              <w:jc w:val="right"/>
              <w:rPr>
                <w:smallCaps/>
              </w:rPr>
            </w:pPr>
            <w:r>
              <w:rPr>
                <w:smallCaps/>
              </w:rPr>
              <w:t>b)</w:t>
            </w:r>
          </w:p>
        </w:tc>
        <w:tc>
          <w:tcPr>
            <w:tcW w:w="23" w:type="dxa"/>
            <w:tcBorders/>
            <w:vAlign w:val="center"/>
          </w:tcPr>
          <w:p>
            <w:pPr>
              <w:pStyle w:val="TableContents"/>
              <w:bidi w:val="0"/>
              <w:spacing w:before="0" w:after="283"/>
              <w:jc w:val="left"/>
              <w:rPr>
                <w:sz w:val="4"/>
                <w:szCs w:val="4"/>
              </w:rPr>
            </w:pPr>
            <w:r>
              <w:rPr>
                <w:sz w:val="4"/>
                <w:szCs w:val="4"/>
              </w:rPr>
            </w:r>
          </w:p>
        </w:tc>
        <w:tc>
          <w:tcPr>
            <w:tcW w:w="999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167"/>
        <w:gridCol w:w="23"/>
        <w:gridCol w:w="10015"/>
      </w:tblGrid>
      <w:tr>
        <w:trPr/>
        <w:tc>
          <w:tcPr>
            <w:tcW w:w="167" w:type="dxa"/>
            <w:tcBorders/>
            <w:vAlign w:val="center"/>
          </w:tcPr>
          <w:p>
            <w:pPr>
              <w:pStyle w:val="TableContents"/>
              <w:bidi w:val="0"/>
              <w:spacing w:before="0" w:after="283"/>
              <w:jc w:val="right"/>
              <w:rPr/>
            </w:pPr>
            <w:r>
              <w:rPr/>
              <w:t>c)</w:t>
            </w:r>
          </w:p>
        </w:tc>
        <w:tc>
          <w:tcPr>
            <w:tcW w:w="23" w:type="dxa"/>
            <w:tcBorders/>
            <w:vAlign w:val="center"/>
          </w:tcPr>
          <w:p>
            <w:pPr>
              <w:pStyle w:val="TableContents"/>
              <w:bidi w:val="0"/>
              <w:spacing w:before="0" w:after="283"/>
              <w:jc w:val="left"/>
              <w:rPr>
                <w:sz w:val="4"/>
                <w:szCs w:val="4"/>
              </w:rPr>
            </w:pPr>
            <w:r>
              <w:rPr>
                <w:sz w:val="4"/>
                <w:szCs w:val="4"/>
              </w:rPr>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175"/>
        <w:gridCol w:w="23"/>
        <w:gridCol w:w="10007"/>
      </w:tblGrid>
      <w:tr>
        <w:trPr/>
        <w:tc>
          <w:tcPr>
            <w:tcW w:w="175" w:type="dxa"/>
            <w:tcBorders/>
            <w:vAlign w:val="center"/>
          </w:tcPr>
          <w:p>
            <w:pPr>
              <w:pStyle w:val="TableContents"/>
              <w:bidi w:val="0"/>
              <w:spacing w:before="0" w:after="283"/>
              <w:jc w:val="right"/>
              <w:rPr/>
            </w:pPr>
            <w:r>
              <w:rPr/>
              <w:t>d)</w:t>
            </w:r>
          </w:p>
        </w:tc>
        <w:tc>
          <w:tcPr>
            <w:tcW w:w="23" w:type="dxa"/>
            <w:tcBorders/>
            <w:vAlign w:val="center"/>
          </w:tcPr>
          <w:p>
            <w:pPr>
              <w:pStyle w:val="TableContents"/>
              <w:bidi w:val="0"/>
              <w:spacing w:before="0" w:after="283"/>
              <w:jc w:val="left"/>
              <w:rPr>
                <w:sz w:val="4"/>
                <w:szCs w:val="4"/>
              </w:rPr>
            </w:pPr>
            <w:r>
              <w:rPr>
                <w:sz w:val="4"/>
                <w:szCs w:val="4"/>
              </w:rPr>
            </w:r>
          </w:p>
        </w:tc>
        <w:tc>
          <w:tcPr>
            <w:tcW w:w="1000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8"/>
        <w:gridCol w:w="23"/>
        <w:gridCol w:w="10014"/>
      </w:tblGrid>
      <w:tr>
        <w:trPr/>
        <w:tc>
          <w:tcPr>
            <w:tcW w:w="168" w:type="dxa"/>
            <w:tcBorders/>
            <w:vAlign w:val="center"/>
          </w:tcPr>
          <w:p>
            <w:pPr>
              <w:pStyle w:val="TableContents"/>
              <w:bidi w:val="0"/>
              <w:spacing w:before="0" w:after="283"/>
              <w:jc w:val="right"/>
              <w:rPr/>
            </w:pPr>
            <w:r>
              <w:rPr/>
              <w:t>a)</w:t>
            </w:r>
          </w:p>
        </w:tc>
        <w:tc>
          <w:tcPr>
            <w:tcW w:w="23" w:type="dxa"/>
            <w:tcBorders/>
            <w:vAlign w:val="center"/>
          </w:tcPr>
          <w:p>
            <w:pPr>
              <w:pStyle w:val="TableContents"/>
              <w:bidi w:val="0"/>
              <w:spacing w:before="0" w:after="283"/>
              <w:jc w:val="left"/>
              <w:rPr>
                <w:sz w:val="4"/>
                <w:szCs w:val="4"/>
              </w:rPr>
            </w:pPr>
            <w:r>
              <w:rPr>
                <w:sz w:val="4"/>
                <w:szCs w:val="4"/>
              </w:rPr>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199"/>
        <w:gridCol w:w="23"/>
        <w:gridCol w:w="9983"/>
      </w:tblGrid>
      <w:tr>
        <w:trPr/>
        <w:tc>
          <w:tcPr>
            <w:tcW w:w="199" w:type="dxa"/>
            <w:tcBorders/>
            <w:vAlign w:val="center"/>
          </w:tcPr>
          <w:p>
            <w:pPr>
              <w:pStyle w:val="TableContents"/>
              <w:bidi w:val="0"/>
              <w:spacing w:before="0" w:after="283"/>
              <w:jc w:val="right"/>
              <w:rPr/>
            </w:pPr>
            <w:r>
              <w:rPr/>
              <w:t>b)</w:t>
            </w:r>
          </w:p>
        </w:tc>
        <w:tc>
          <w:tcPr>
            <w:tcW w:w="23" w:type="dxa"/>
            <w:tcBorders/>
            <w:vAlign w:val="center"/>
          </w:tcPr>
          <w:p>
            <w:pPr>
              <w:pStyle w:val="TableContents"/>
              <w:bidi w:val="0"/>
              <w:spacing w:before="0" w:after="283"/>
              <w:jc w:val="left"/>
              <w:rPr>
                <w:sz w:val="4"/>
                <w:szCs w:val="4"/>
              </w:rPr>
            </w:pPr>
            <w:r>
              <w:rPr>
                <w:sz w:val="4"/>
                <w:szCs w:val="4"/>
              </w:rPr>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tbl>
      <w:tblPr>
        <w:tblW w:w="8550" w:type="dxa"/>
        <w:jc w:val="left"/>
        <w:tblInd w:w="0" w:type="dxa"/>
        <w:tblLayout w:type="fixed"/>
        <w:tblCellMar>
          <w:top w:w="0" w:type="dxa"/>
          <w:left w:w="0" w:type="dxa"/>
          <w:bottom w:w="0" w:type="dxa"/>
          <w:right w:w="0" w:type="dxa"/>
        </w:tblCellMar>
      </w:tblPr>
      <w:tblGrid>
        <w:gridCol w:w="2195"/>
        <w:gridCol w:w="365"/>
        <w:gridCol w:w="5990"/>
      </w:tblGrid>
      <w:tr>
        <w:trPr/>
        <w:tc>
          <w:tcPr>
            <w:tcW w:w="2195" w:type="dxa"/>
            <w:tcBorders/>
            <w:vAlign w:val="center"/>
          </w:tcPr>
          <w:p>
            <w:pPr>
              <w:pStyle w:val="TableContents"/>
              <w:bidi w:val="0"/>
              <w:spacing w:before="0" w:after="283"/>
              <w:jc w:val="left"/>
              <w:rPr/>
            </w:pPr>
            <w:r>
              <w:rPr/>
              <w:t>Date: August 14, 2024</w:t>
            </w:r>
          </w:p>
        </w:tc>
        <w:tc>
          <w:tcPr>
            <w:tcW w:w="365" w:type="dxa"/>
            <w:tcBorders/>
            <w:vAlign w:val="center"/>
          </w:tcPr>
          <w:p>
            <w:pPr>
              <w:pStyle w:val="TableContents"/>
              <w:bidi w:val="0"/>
              <w:spacing w:before="0" w:after="283"/>
              <w:jc w:val="left"/>
              <w:rPr/>
            </w:pPr>
            <w:r>
              <w:rPr/>
              <w:t>By:</w:t>
            </w:r>
          </w:p>
        </w:tc>
        <w:tc>
          <w:tcPr>
            <w:tcW w:w="5990" w:type="dxa"/>
            <w:tcBorders>
              <w:bottom w:val="single" w:sz="12" w:space="0" w:color="000000"/>
            </w:tcBorders>
            <w:tcMar>
              <w:bottom w:w="28" w:type="dxa"/>
            </w:tcMar>
            <w:vAlign w:val="center"/>
          </w:tcPr>
          <w:p>
            <w:pPr>
              <w:pStyle w:val="TableContents"/>
              <w:bidi w:val="0"/>
              <w:spacing w:before="0" w:after="283"/>
              <w:jc w:val="left"/>
              <w:rPr/>
            </w:pPr>
            <w:r>
              <w:rPr/>
              <w:t>/s/ Daniel Foley       </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Foley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Chief Operating Officer</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i/>
              </w:rPr>
            </w:pPr>
            <w:r>
              <w:rPr>
                <w:i/>
              </w:rPr>
              <w:t>(Principal Financial Officer and Principal Accounting Officer)</w:t>
            </w:r>
          </w:p>
        </w:tc>
      </w:tr>
    </w:tbl>
    <w:p>
      <w:pPr>
        <w:pStyle w:val="TextBody"/>
        <w:bidi w:val="0"/>
        <w:spacing w:before="0" w:after="0"/>
        <w:ind w:left="720" w:right="0" w:firstLine="28"/>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021055601ex32-1_complete.htm"/>
      <w:bookmarkStart w:id="35" w:name="ksea021055601ex321_complete"/>
      <w:bookmarkEnd w:id="34"/>
      <w:bookmarkEnd w:id="35"/>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Complete Solaria, Inc. (the “Company”)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6"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1865"/>
        <w:gridCol w:w="4010"/>
      </w:tblGrid>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2024</w:t>
            </w:r>
          </w:p>
        </w:tc>
        <w:tc>
          <w:tcPr>
            <w:tcW w:w="4010" w:type="dxa"/>
            <w:tcBorders>
              <w:bottom w:val="single" w:sz="12" w:space="0" w:color="000000"/>
            </w:tcBorders>
            <w:tcMar>
              <w:bottom w:w="28" w:type="dxa"/>
            </w:tcMar>
            <w:vAlign w:val="center"/>
          </w:tcPr>
          <w:p>
            <w:pPr>
              <w:pStyle w:val="TableContents"/>
              <w:bidi w:val="0"/>
              <w:spacing w:before="0" w:after="283"/>
              <w:jc w:val="both"/>
              <w:rPr/>
            </w:pPr>
            <w:r>
              <w:rPr/>
              <w:t>/s/ Thurman J. Rodgers</w:t>
            </w:r>
          </w:p>
        </w:tc>
      </w:tr>
      <w:tr>
        <w:trPr/>
        <w:tc>
          <w:tcPr>
            <w:tcW w:w="1865" w:type="dxa"/>
            <w:tcBorders/>
            <w:vAlign w:val="center"/>
          </w:tcPr>
          <w:p>
            <w:pPr>
              <w:pStyle w:val="TableContents"/>
              <w:bidi w:val="0"/>
              <w:spacing w:before="0" w:after="283"/>
              <w:jc w:val="both"/>
              <w:rPr/>
            </w:pPr>
            <w:r>
              <w:rPr/>
              <w:t> </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Rodgers</w:t>
            </w:r>
          </w:p>
        </w:tc>
      </w:tr>
      <w:tr>
        <w:trPr/>
        <w:tc>
          <w:tcPr>
            <w:tcW w:w="1865" w:type="dxa"/>
            <w:tcBorders/>
            <w:vAlign w:val="center"/>
          </w:tcPr>
          <w:p>
            <w:pPr>
              <w:pStyle w:val="TableContents"/>
              <w:bidi w:val="0"/>
              <w:spacing w:before="0" w:after="283"/>
              <w:jc w:val="both"/>
              <w:rPr/>
            </w:pPr>
            <w:r>
              <w:rPr/>
              <w:t> </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Executive Chairman</w:t>
            </w:r>
          </w:p>
        </w:tc>
      </w:tr>
      <w:tr>
        <w:trPr/>
        <w:tc>
          <w:tcPr>
            <w:tcW w:w="186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OPERATING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Complete Solaria, Inc. (the “Company”)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60" w:after="60"/>
        <w:ind w:left="60" w:right="6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6"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60" w:after="60"/>
        <w:ind w:left="60" w:right="60" w:hanging="0"/>
        <w:jc w:val="both"/>
        <w:rPr>
          <w:caps w:val="false"/>
          <w:smallCaps w:val="false"/>
        </w:rPr>
      </w:pPr>
      <w:r>
        <w:rPr>
          <w:caps w:val="false"/>
          <w:smallCaps w:val="false"/>
        </w:rPr>
        <w:t> </w:t>
      </w:r>
    </w:p>
    <w:p>
      <w:pPr>
        <w:pStyle w:val="TextBody"/>
        <w:bidi w:val="0"/>
        <w:spacing w:before="60" w:after="60"/>
        <w:ind w:left="60" w:right="6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865"/>
        <w:gridCol w:w="5990"/>
      </w:tblGrid>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14, 2024</w:t>
            </w:r>
          </w:p>
        </w:tc>
        <w:tc>
          <w:tcPr>
            <w:tcW w:w="5990" w:type="dxa"/>
            <w:tcBorders>
              <w:bottom w:val="single" w:sz="12" w:space="0" w:color="000000"/>
            </w:tcBorders>
            <w:tcMar>
              <w:bottom w:w="28" w:type="dxa"/>
            </w:tcMar>
            <w:vAlign w:val="center"/>
          </w:tcPr>
          <w:p>
            <w:pPr>
              <w:pStyle w:val="TableContents"/>
              <w:bidi w:val="0"/>
              <w:spacing w:before="0" w:after="283"/>
              <w:jc w:val="both"/>
              <w:rPr/>
            </w:pPr>
            <w:r>
              <w:rPr/>
              <w:t>/s/ Daniel Foley</w:t>
            </w:r>
          </w:p>
        </w:tc>
      </w:tr>
      <w:tr>
        <w:trPr/>
        <w:tc>
          <w:tcPr>
            <w:tcW w:w="1865" w:type="dxa"/>
            <w:tcBorders/>
            <w:vAlign w:val="center"/>
          </w:tcPr>
          <w:p>
            <w:pPr>
              <w:pStyle w:val="TableContents"/>
              <w:bidi w:val="0"/>
              <w:spacing w:before="0" w:after="283"/>
              <w:jc w:val="both"/>
              <w:rPr/>
            </w:pPr>
            <w:r>
              <w:rPr/>
              <w:t> </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Foley</w:t>
            </w:r>
          </w:p>
        </w:tc>
      </w:tr>
      <w:tr>
        <w:trPr/>
        <w:tc>
          <w:tcPr>
            <w:tcW w:w="1865" w:type="dxa"/>
            <w:tcBorders/>
            <w:vAlign w:val="center"/>
          </w:tcPr>
          <w:p>
            <w:pPr>
              <w:pStyle w:val="TableContents"/>
              <w:bidi w:val="0"/>
              <w:spacing w:before="0" w:after="283"/>
              <w:jc w:val="both"/>
              <w:rPr/>
            </w:pPr>
            <w:r>
              <w:rPr/>
              <w:t> </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i/>
              </w:rPr>
            </w:pPr>
            <w:r>
              <w:rPr>
                <w:i/>
              </w:rPr>
              <w:t>(Principal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987/000119312523030704/d425844dex24.htm" TargetMode="External"/><Relationship Id="rId3" Type="http://schemas.openxmlformats.org/officeDocument/2006/relationships/hyperlink" Target="https://www.sec.gov/Archives/edgar/data/1838987/000119312523239699/d558159dex21.htm" TargetMode="External"/><Relationship Id="rId4" Type="http://schemas.openxmlformats.org/officeDocument/2006/relationships/hyperlink" Target="https://www.sec.gov/Archives/edgar/data/1838987/000119312523191334/d862117dex31.htm" TargetMode="External"/><Relationship Id="rId5" Type="http://schemas.openxmlformats.org/officeDocument/2006/relationships/hyperlink" Target="https://www.sec.gov/Archives/edgar/data/1838987/000119312523191334/d862117dex32.htm" TargetMode="External"/><Relationship Id="rId6" Type="http://schemas.openxmlformats.org/officeDocument/2006/relationships/hyperlink" Target="https://www.sec.gov/Archives/edgar/data/1838987/000119312523255093/d569645dex41.htm" TargetMode="External"/><Relationship Id="rId7" Type="http://schemas.openxmlformats.org/officeDocument/2006/relationships/hyperlink" Target="https://www.sec.gov/Archives/edgar/data/1838987/000119312523255093/d569645dex42.htm" TargetMode="External"/><Relationship Id="rId8" Type="http://schemas.openxmlformats.org/officeDocument/2006/relationships/hyperlink" Target="https://www.sec.gov/Archives/edgar/data/1838987/000119312523192359/d530739dex41.htm" TargetMode="External"/><Relationship Id="rId9" Type="http://schemas.openxmlformats.org/officeDocument/2006/relationships/hyperlink" Target="https://www.sec.gov/Archives/edgar/data/1838987/000095010321003441/dp147251_ex0401.htm" TargetMode="External"/><Relationship Id="rId10" Type="http://schemas.openxmlformats.org/officeDocument/2006/relationships/hyperlink" Target="https://www.sec.gov/Archives/edgar/data/1838987/000121390024014892/ea193922ex10-1_complete.htm" TargetMode="External"/><Relationship Id="rId11" Type="http://schemas.openxmlformats.org/officeDocument/2006/relationships/hyperlink" Target="https://www.sec.gov/Archives/edgar/data/1838987/000121390024039099/ea020516701ex10-1_complete.htm" TargetMode="External"/><Relationship Id="rId12" Type="http://schemas.openxmlformats.org/officeDocument/2006/relationships/hyperlink" Target="https://www.sec.gov/Archives/edgar/data/1838987/000121390024042914/ea020601801ex10-1_complete.htm" TargetMode="External"/><Relationship Id="rId13" Type="http://schemas.openxmlformats.org/officeDocument/2006/relationships/hyperlink" Target="https://www.sec.gov/Archives/edgar/data/1838987/000121390024042914/ea020601801ex10-2_complete.htm" TargetMode="External"/><Relationship Id="rId14" Type="http://schemas.openxmlformats.org/officeDocument/2006/relationships/hyperlink" Target="https://www.sec.gov/Archives/edgar/data/1838987/000121390024044730/ea020599101ex10-1_complete.htm" TargetMode="External"/><Relationship Id="rId15" Type="http://schemas.openxmlformats.org/officeDocument/2006/relationships/hyperlink" Target="https://www.sec.gov/Archives/edgar/data/1838987/000121390024054298/ea020820901ex10-1_complete.htm" TargetMode="External"/><Relationship Id="rId16" Type="http://schemas.openxmlformats.org/officeDocument/2006/relationships/hyperlink" Target="https://www.sec.gov/Archives/edgar/data/1838987/000121390024054756/ea020827201ex10-1_complete.htm" TargetMode="External"/><Relationship Id="rId17" Type="http://schemas.openxmlformats.org/officeDocument/2006/relationships/hyperlink" Target="https://www.sec.gov/Archives/edgar/data/1838987/000121390024055210/ea020839101ex10-1_complete.htm" TargetMode="External"/><Relationship Id="rId18" Type="http://schemas.openxmlformats.org/officeDocument/2006/relationships/hyperlink" Target="https://www.sec.gov/Archives/edgar/data/1838987/000121390024055210/ea020839101ex10-2_complete.htm" TargetMode="External"/><Relationship Id="rId19" Type="http://schemas.openxmlformats.org/officeDocument/2006/relationships/hyperlink" Target="https://www.sec.gov/Archives/edgar/data/1838987/000121390024059547/ea020897701ex10-1_complete.htm" TargetMode="External"/><Relationship Id="rId20" Type="http://schemas.openxmlformats.org/officeDocument/2006/relationships/hyperlink" Target="https://www.sec.gov/Archives/edgar/data/1838987/000121390024059547/ea020897701ex10-1_complete.htm" TargetMode="External"/><Relationship Id="rId21" Type="http://schemas.openxmlformats.org/officeDocument/2006/relationships/hyperlink" Target="https://www.sec.gov/Archives/edgar/data/1838987/000121390024059547/ea020897701ex10-1_complete.htm" TargetMode="External"/><Relationship Id="rId22" Type="http://schemas.openxmlformats.org/officeDocument/2006/relationships/hyperlink" Target="http://www.sec.gov/Archives/edgar/data/1838987/000121390024059870/ea020910501ex10-1_complete.htm" TargetMode="External"/><Relationship Id="rId23" Type="http://schemas.openxmlformats.org/officeDocument/2006/relationships/hyperlink" Target="https://www.sec.gov/ix?doc=/Archives/edgar/data/1838987/000121390024060176/ea0209183-8ka_complete.htm" TargetMode="External"/><Relationship Id="rId24" Type="http://schemas.openxmlformats.org/officeDocument/2006/relationships/hyperlink" Target="https://www.sec.gov/ix?doc=/Archives/edgar/data/1838987/000121390024060176/ea0209183-8ka_complete.htm" TargetMode="External"/><Relationship Id="rId25" Type="http://schemas.openxmlformats.org/officeDocument/2006/relationships/hyperlink" Target="https://www.sec.gov/Archives/edgar/data/1838987/000121390024062183/ea020939801ex10-1_complete.htm" TargetMode="External"/><Relationship Id="rId26" Type="http://schemas.openxmlformats.org/officeDocument/2006/relationships/hyperlink" Target="http://www.sec.gov/Archives/edgar/data/1838987/000101376224001581/ea021010801ex10-1_complete.htm" TargetMode="External"/><Relationship Id="rId27" Type="http://schemas.openxmlformats.org/officeDocument/2006/relationships/hyperlink" Target="https://www.sec.gov/Archives/edgar/data/1838987/000121390024062183/ea020939801ex10-2_complete.htm" TargetMode="External"/><Relationship Id="rId28" Type="http://schemas.openxmlformats.org/officeDocument/2006/relationships/hyperlink" Target="https://www.sec.gov/Archives/edgar/data/1838987/000121390024063080/ea020954501ex10-47_comp.htm" TargetMode="External"/><Relationship Id="rId29" Type="http://schemas.openxmlformats.org/officeDocument/2006/relationships/hyperlink" Target="http://www.sec.gov/Archives/edgar/data/1838987/000121390024065369/ea0210606ex10-1_complete.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67268</Words>
  <Characters>364096</Characters>
  <CharactersWithSpaces>433255</CharactersWithSpaces>
  <Paragraphs>9361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