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ind w:left="1340" w:hanging="214"/>
        <w:spacing w:after="0"/>
        <w:tabs>
          <w:tab w:leader="none" w:pos="13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9" w:lineRule="exact"/>
        <w:rPr>
          <w:rFonts w:ascii="MS PGothic" w:cs="MS PGothic" w:eastAsia="MS PGothic" w:hAnsi="MS PGothic"/>
          <w:sz w:val="18"/>
          <w:szCs w:val="18"/>
          <w:color w:val="auto"/>
        </w:rPr>
      </w:pPr>
    </w:p>
    <w:p>
      <w:pPr>
        <w:ind w:left="39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fiscal year ended December 28, 2025.</w:t>
      </w:r>
    </w:p>
    <w:p>
      <w:pPr>
        <w:spacing w:after="0" w:line="225" w:lineRule="exact"/>
        <w:rPr>
          <w:rFonts w:ascii="MS PGothic" w:cs="MS PGothic" w:eastAsia="MS PGothic" w:hAnsi="MS PGothic"/>
          <w:sz w:val="18"/>
          <w:szCs w:val="18"/>
          <w:color w:val="auto"/>
        </w:rPr>
      </w:pP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1"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3"/>
          </w:tcPr>
          <w:p>
            <w:pPr>
              <w:ind w:left="384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w:t>
            </w:r>
          </w:p>
        </w:tc>
      </w:tr>
      <w:tr>
        <w:trPr>
          <w:trHeight w:val="432"/>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001-40117‎</w:t>
            </w:r>
          </w:p>
        </w:tc>
      </w:tr>
      <w:tr>
        <w:trPr>
          <w:trHeight w:val="414"/>
        </w:trPr>
        <w:tc>
          <w:tcPr>
            <w:tcW w:w="6500" w:type="dxa"/>
            <w:vAlign w:val="bottom"/>
            <w:gridSpan w:val="3"/>
          </w:tcPr>
          <w:p>
            <w:pPr>
              <w:jc w:val="center"/>
              <w:ind w:left="4670"/>
              <w:spacing w:after="0"/>
              <w:rPr>
                <w:sz w:val="20"/>
                <w:szCs w:val="20"/>
                <w:color w:val="auto"/>
              </w:rPr>
            </w:pPr>
            <w:r>
              <w:rPr>
                <w:rFonts w:ascii="Times New Roman" w:cs="Times New Roman" w:eastAsia="Times New Roman" w:hAnsi="Times New Roman"/>
                <w:sz w:val="18"/>
                <w:szCs w:val="18"/>
                <w:b w:val="1"/>
                <w:bCs w:val="1"/>
                <w:color w:val="auto"/>
                <w:w w:val="99"/>
              </w:rPr>
              <w:t>SUNPOWER INC.</w:t>
            </w:r>
          </w:p>
        </w:tc>
        <w:tc>
          <w:tcPr>
            <w:tcW w:w="4740" w:type="dxa"/>
            <w:vAlign w:val="bottom"/>
          </w:tcPr>
          <w:p>
            <w:pPr>
              <w:spacing w:after="0"/>
              <w:rPr>
                <w:sz w:val="24"/>
                <w:szCs w:val="24"/>
                <w:color w:val="auto"/>
              </w:rPr>
            </w:pPr>
          </w:p>
        </w:tc>
      </w:tr>
      <w:tr>
        <w:trPr>
          <w:trHeight w:val="234"/>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9"/>
        </w:trPr>
        <w:tc>
          <w:tcPr>
            <w:tcW w:w="65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4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93-2279786</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74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5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7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65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1403 N. Research Way, Orem, UT 84097</w:t>
            </w:r>
          </w:p>
        </w:tc>
        <w:tc>
          <w:tcPr>
            <w:tcW w:w="474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84097</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74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(877)‎ 299-4943</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440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500" w:type="dxa"/>
            <w:vAlign w:val="bottom"/>
          </w:tcPr>
          <w:p>
            <w:pPr>
              <w:spacing w:after="0"/>
              <w:rPr>
                <w:sz w:val="20"/>
                <w:szCs w:val="20"/>
                <w:color w:val="auto"/>
              </w:rPr>
            </w:pPr>
          </w:p>
        </w:tc>
      </w:tr>
      <w:tr>
        <w:trPr>
          <w:trHeight w:val="439"/>
        </w:trPr>
        <w:tc>
          <w:tcPr>
            <w:tcW w:w="33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340" w:type="dxa"/>
            <w:vAlign w:val="bottom"/>
            <w:tcBorders>
              <w:top w:val="single" w:sz="8" w:color="auto"/>
            </w:tcBorders>
            <w:shd w:val="clear" w:color="auto" w:fill="CCEEFF"/>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$0.0001</w:t>
            </w: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SPWR</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500" w:type="dxa"/>
            <w:vAlign w:val="bottom"/>
            <w:tcBorders>
              <w:top w:val="single" w:sz="8" w:color="auto"/>
            </w:tcBorders>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334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per share</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500" w:type="dxa"/>
            <w:vAlign w:val="bottom"/>
            <w:shd w:val="clear" w:color="auto" w:fill="CCEEFF"/>
          </w:tcPr>
          <w:p>
            <w:pPr>
              <w:spacing w:after="0"/>
              <w:rPr>
                <w:sz w:val="20"/>
                <w:szCs w:val="20"/>
                <w:color w:val="auto"/>
              </w:rPr>
            </w:pPr>
          </w:p>
        </w:tc>
      </w:tr>
      <w:tr>
        <w:trPr>
          <w:trHeight w:val="216"/>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198"/>
        </w:trPr>
        <w:tc>
          <w:tcPr>
            <w:tcW w:w="3340" w:type="dxa"/>
            <w:vAlign w:val="bottom"/>
            <w:shd w:val="clear" w:color="auto" w:fill="CCEEFF"/>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rPr>
              <w:t>Redeemable warrants, each whole</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900" w:type="dxa"/>
            <w:vAlign w:val="bottom"/>
            <w:gridSpan w:val="3"/>
            <w:shd w:val="clear" w:color="auto" w:fill="CCEEFF"/>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6"/>
              </w:rPr>
              <w:t>SPWRW</w:t>
            </w:r>
          </w:p>
        </w:tc>
        <w:tc>
          <w:tcPr>
            <w:tcW w:w="350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16"/>
        </w:trPr>
        <w:tc>
          <w:tcPr>
            <w:tcW w:w="334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warrant exercisable for one common</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r>
      <w:tr>
        <w:trPr>
          <w:trHeight w:val="234"/>
        </w:trPr>
        <w:tc>
          <w:tcPr>
            <w:tcW w:w="334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stock</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500" w:type="dxa"/>
            <w:vAlign w:val="bottom"/>
            <w:shd w:val="clear" w:color="auto" w:fill="CCEEFF"/>
          </w:tcPr>
          <w:p>
            <w:pPr>
              <w:spacing w:after="0"/>
              <w:rPr>
                <w:sz w:val="20"/>
                <w:szCs w:val="20"/>
                <w:color w:val="auto"/>
              </w:rPr>
            </w:pPr>
          </w:p>
        </w:tc>
      </w:tr>
      <w:tr>
        <w:trPr>
          <w:trHeight w:val="410"/>
        </w:trPr>
        <w:tc>
          <w:tcPr>
            <w:tcW w:w="3340" w:type="dxa"/>
            <w:vAlign w:val="bottom"/>
          </w:tcPr>
          <w:p>
            <w:pPr>
              <w:spacing w:after="0"/>
              <w:rPr>
                <w:sz w:val="24"/>
                <w:szCs w:val="24"/>
                <w:color w:val="auto"/>
              </w:rPr>
            </w:pPr>
          </w:p>
        </w:tc>
        <w:tc>
          <w:tcPr>
            <w:tcW w:w="440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w:t>
            </w:r>
          </w:p>
        </w:tc>
        <w:tc>
          <w:tcPr>
            <w:tcW w:w="3500" w:type="dxa"/>
            <w:vAlign w:val="bottom"/>
          </w:tcPr>
          <w:p>
            <w:pPr>
              <w:spacing w:after="0"/>
              <w:rPr>
                <w:sz w:val="24"/>
                <w:szCs w:val="24"/>
                <w:color w:val="auto"/>
              </w:rPr>
            </w:pPr>
          </w:p>
        </w:tc>
      </w:tr>
      <w:tr>
        <w:trPr>
          <w:trHeight w:val="238"/>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500" w:type="dxa"/>
            <w:vAlign w:val="bottom"/>
          </w:tcPr>
          <w:p>
            <w:pPr>
              <w:spacing w:after="0"/>
              <w:rPr>
                <w:sz w:val="20"/>
                <w:szCs w:val="20"/>
                <w:color w:val="auto"/>
              </w:rPr>
            </w:pPr>
          </w:p>
        </w:tc>
      </w:tr>
    </w:tbl>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509" w:right="339" w:bottom="82"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market value of registrant’s voting and non-voting common stock held by non-affiliates of registrant on June 27, 2025, the last business day of the registrant’s most recently completed second fiscal quarter, was approximately $85.2 million, based upon the closing sale price of the registrant’s shares of common stock of $1.73 as reported on The Nasdaq Global Market. Shares of common stock held by each officer and Director have been excluded in that such persons may be deemed to be affiliates. This determination of affiliate status is not a conclusive determination for other purposes.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13, 2026, 126,652,769 shares of common stock, par value $0.0001 per share,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340" w:type="dxa"/>
            <w:vAlign w:val="bottom"/>
            <w:gridSpan w:val="11"/>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SUNPOWER INC. AND SUBSIDIARIES</w:t>
            </w:r>
          </w:p>
        </w:tc>
        <w:tc>
          <w:tcPr>
            <w:tcW w:w="90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9"/>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4"/>
                <w:szCs w:val="24"/>
                <w:color w:val="auto"/>
              </w:rPr>
            </w:pPr>
          </w:p>
        </w:tc>
      </w:tr>
      <w:tr>
        <w:trPr>
          <w:trHeight w:val="439"/>
        </w:trPr>
        <w:tc>
          <w:tcPr>
            <w:tcW w:w="6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PAGES</w:t>
            </w:r>
          </w:p>
        </w:tc>
      </w:tr>
      <w:tr>
        <w:trPr>
          <w:trHeight w:val="196"/>
        </w:trPr>
        <w:tc>
          <w:tcPr>
            <w:tcW w:w="640" w:type="dxa"/>
            <w:vAlign w:val="bottom"/>
            <w:tcBorders>
              <w:bottom w:val="single" w:sz="8" w:color="0000EE"/>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0000EE"/>
              </w:rPr>
              <w:t>PART I.</w:t>
            </w:r>
          </w:p>
        </w:tc>
        <w:tc>
          <w:tcPr>
            <w:tcW w:w="50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1</w:t>
            </w:r>
          </w:p>
        </w:tc>
      </w:tr>
      <w:tr>
        <w:trPr>
          <w:trHeight w:val="176"/>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2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Cybersecurity</w:t>
            </w:r>
          </w:p>
        </w:tc>
        <w:tc>
          <w:tcPr>
            <w:tcW w:w="8180" w:type="dxa"/>
            <w:vAlign w:val="bottom"/>
            <w:tcBorders>
              <w:bottom w:val="single" w:sz="8" w:color="CCEEFF"/>
            </w:tcBorders>
            <w:gridSpan w:val="1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5"/>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860" w:type="dxa"/>
            <w:vAlign w:val="bottom"/>
            <w:tcBorders>
              <w:bottom w:val="single" w:sz="8" w:color="CCEEFF"/>
            </w:tcBorders>
            <w:gridSpan w:val="1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5"/>
        </w:trPr>
        <w:tc>
          <w:tcPr>
            <w:tcW w:w="70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440" w:type="dxa"/>
            <w:vAlign w:val="bottom"/>
            <w:tcBorders>
              <w:top w:val="single" w:sz="8" w:color="CCEEFF"/>
            </w:tcBorders>
            <w:gridSpan w:val="3"/>
          </w:tcPr>
          <w:p>
            <w:pPr>
              <w:spacing w:after="0"/>
              <w:rPr>
                <w:sz w:val="15"/>
                <w:szCs w:val="15"/>
                <w:color w:val="auto"/>
              </w:rPr>
            </w:pPr>
          </w:p>
        </w:tc>
        <w:tc>
          <w:tcPr>
            <w:tcW w:w="9200" w:type="dxa"/>
            <w:vAlign w:val="bottom"/>
            <w:tcBorders>
              <w:top w:val="single" w:sz="8" w:color="CCEEFF"/>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Reserved</w:t>
            </w:r>
          </w:p>
        </w:tc>
        <w:tc>
          <w:tcPr>
            <w:tcW w:w="8520" w:type="dxa"/>
            <w:vAlign w:val="bottom"/>
            <w:tcBorders>
              <w:bottom w:val="single" w:sz="8" w:color="CCEEFF"/>
            </w:tcBorders>
            <w:gridSpan w:val="2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5"/>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2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2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5"/>
        </w:trPr>
        <w:tc>
          <w:tcPr>
            <w:tcW w:w="114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900" w:type="dxa"/>
            <w:vAlign w:val="bottom"/>
            <w:tcBorders>
              <w:top w:val="single" w:sz="8" w:color="CCEEFF"/>
            </w:tcBorders>
            <w:gridSpan w:val="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720" w:type="dxa"/>
            <w:vAlign w:val="bottom"/>
            <w:tcBorders>
              <w:bottom w:val="single" w:sz="8" w:color="CCEEFF"/>
            </w:tcBorders>
            <w:gridSpan w:val="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175"/>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2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7880" w:type="dxa"/>
            <w:vAlign w:val="bottom"/>
            <w:tcBorders>
              <w:bottom w:val="single" w:sz="8" w:color="CCEEFF"/>
            </w:tcBorders>
            <w:gridSpan w:val="1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6"/>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2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3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176"/>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2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2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2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74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175"/>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2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90</w:t>
            </w:r>
          </w:p>
        </w:tc>
      </w:tr>
      <w:tr>
        <w:trPr>
          <w:trHeight w:val="21"/>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175"/>
        </w:trPr>
        <w:tc>
          <w:tcPr>
            <w:tcW w:w="7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380" w:type="dxa"/>
            <w:vAlign w:val="bottom"/>
            <w:tcBorders>
              <w:top w:val="single" w:sz="8" w:color="CCEEFF"/>
            </w:tcBorders>
            <w:gridSpan w:val="2"/>
          </w:tcPr>
          <w:p>
            <w:pPr>
              <w:spacing w:after="0"/>
              <w:rPr>
                <w:sz w:val="15"/>
                <w:szCs w:val="15"/>
                <w:color w:val="auto"/>
              </w:rPr>
            </w:pPr>
          </w:p>
        </w:tc>
        <w:tc>
          <w:tcPr>
            <w:tcW w:w="9200" w:type="dxa"/>
            <w:vAlign w:val="bottom"/>
            <w:tcBorders>
              <w:top w:val="single" w:sz="8" w:color="CCEEFF"/>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2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175"/>
        </w:trPr>
        <w:tc>
          <w:tcPr>
            <w:tcW w:w="114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20"/>
        </w:trPr>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previously reported in Item 4.02 in the Company’s Form 8-K filed with the SEC on April 14, 2026, on April 13, 2026, authorized officers of the Company and the Audit Committee of the Board of Directors determined that the Company’s previously issued interim financial statements for the thirteen weeks ended March 30, 2025, the thirteen and twenty-six weeks ended June 29, 2025, and the thirteen and thirty-nine weeks ended September 28, 2025 (the “Prior Periods”) included in its Quarterly Reports on Form 10-Q for the quarters ended March 30, 2025, June 29, 2025, and September 28, 2025 (the “Prior Filings”) contain material errors and should no longer be relied upon and should be restated. These material errors relate to the recognition of revenue (and related cost of revenues, sales commissions, sales and marketing, and general and administrative expenses) and interest expense.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the Company has corrected these material misstatements in the annual results included in accompanying Annual Report, the Company has not completed its review of the impact of these material errors to each of the Prior Periods included in the Prior Filings. The Company intends to restate the Prior Periods included in the Prior Filings as soon as practicable by filing amended Quarterly Reports on Form 10-Q for the related periods.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determined that these material errors were the result of its previously reported material weaknesses in its internal control over financial reporting related to the Company’s control activities, information and communication, and monitoring activities, which continue to exist as of December 28, 2025. See Risk Factor “We have identified material weaknesses in our internal controls over financial reporting. As a result of these material weaknesses, we have identified material errors to our interim results for the thirteen weeks ended March 30, 2025, the thirteen and twenty-six weeks ended June 29, 2025, and the thirteen and thirty-nine weeks ended September 28, 2025 (the “Prior Periods”) and determined that the Prior Periods included in our Quarterly Reports on Form 10-Q for the quarters ended March 30, 2025, June 29, 2025, and September 28, 2025 should no longer be relied upon and should be restated. If we are unable to maintain effective internal controls over financial reporting and disclosure controls and procedures, the accuracy and timeliness of our financial and operating reporting may be adversely affected, and confidence in our operations and disclosures may be lost.”, contained in Item 1A to this Annual Report, and “Management’s Report on Internal Controls Over Financial Reporting” contained in Item 9A to this Annual Report for additional information related to the material weaknesses.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statements in this Annual Report on Form 10-K may constitute “forward-looking statements” for purposes of the federal securities laws.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Annual Report on Form 10-K may include, for example and without limitation, statements about:</w:t>
      </w:r>
    </w:p>
    <w:p>
      <w:pPr>
        <w:spacing w:after="0" w:line="189" w:lineRule="exact"/>
        <w:rPr>
          <w:sz w:val="20"/>
          <w:szCs w:val="20"/>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and indirect exposure to companies in the solar and renewable energy industries that are facing financial difficulties and potential bankruptcies;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 following the closing of business combinations including, without limitation, our recent acquisitions of the SunPower Businesses, Sunder Energy LLC (“Sunder”), Ambia Energy LLC (“Ambia”) and Cobalt Power Systems, Inc. (“Cobalt”);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chains and distribution channels, tariffs and trade barriers, export regulations, bank failures, geopolitical conflicts and other macroeconomic conditions on our business and operations, results of operations and financial position;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acquisitions, including our ability to integrate acquired businesses, to fund and meet the liquidity needs of the acquired businesses, to retain key employees of the acquired businesses, to take advantage of growth opportunities and to realize the expected benefits of such acquisitions;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changes to and developments relating to the regulations and policies applicable to our business, customers and the industry;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rebates, tax credits and other incentives;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impacting the demand for solar solutions from residential customers and small and medium-sized businesses, including changes resulting from the current political climate and also changes in the price of electricity from other sources, including traditional utilities;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volatility of interest rates;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following our recent acquisitions, including financial projections and business metrics, and our ability to manage our costs;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future operations, financial position, estimated revenues and losses, projected costs, prospects and plans;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the sufficiency of our cash, and sources and uses of cash, including cash required to service our current and future borrowings;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and future growth, including in connection with the integration of our acquisitions, and our ability to raise capital and refinance our existing debt;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expectations of new and current customers, and our ability to achieve market acceptance for our products and services, especially in light of the intense competition faced in our industry;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forecasts with respect to market opportunity and market growth;</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plans relating to cost control efforts (including headcount management and potential reductions) and expectations with respect to when we achieve breakeven operating income;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meet customers’ compliance and regulatory needs;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management;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brand and reputation, and our ability to maintain our relationships with key suppliers, installers and build partners;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industry;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financial conditions, inflationary pressures and the resulting impact on demand, and our ability to plan for and respond to the impact of those changes;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expansion plans and opportunities.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Actual events or results may differ from those expressed in forward-looking statements. You should not rely on forward-looking statements as predictions of future events. We have based the forward-looking statements in this Annual Report on Form 10-K primarily on our current expectations and projections about future events and trends that may affect our business, financial condition and operating results.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we cannot predict all risks and uncertainties that could impact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relate only to events as of the date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achieve the plans, intentions or expectations disclosed in our forward-looking statements, and you should not place undue reliance on our forward-looking statements. Our forward-looking statements do not reflect the potential impact of future acquisitions, mergers, dispositions, joint ventures, or investments.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ind w:left="3804"/>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324" w:right="20"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that may continue in the future; our management has identified conditions that raise substantial doubt about or ability to continue as a going concern; and we may not achieve profitability or generate positive cash flow.</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may cause dilution to existing stockholders and/or may restrict our operations or require us to relinquish proprietary rights.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5"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controls over financial reporting. As a result of these material weaknesses, we have identified material errors to our interim results for the thirteen weeks ended March 30, 2025, the thirteen and twenty-six weeks ended June 29, 2025, and the thirteen and thirty-nine weeks ended September 28, 2025 (the “Prior Periods”) and determined that the Prior Periods included in our Quarterly Reports on Form 10-Q for the quarters ended March 30, 2025, June 29, 2025, and September 28, 2025 should no longer be relied upon and should be restated.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spacing w:after="0" w:line="18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restatement of our previously issued quarterly financial statements.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prepare and timely file our periodic reports with the SEC limits our access to the public markets to raise debt or equity capital.</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in part on the availability of rebates, tax credits and other financial incentives. The OBBA has materially reduced the availability of these rebates, credits or incentives, which may adversely impact our business.</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 our domestic and international markets, as well as inflation concerns, instability of financial institutions, rising interest rates, and recessionary concerns may adversely affect our industry, business and financial results.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and may be unable to achieve or sustain profitability in the future.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both traditional energy companies and renewable energy companies.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depends on the widespread adoption of solar power technology.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the credit risk of customers and our finance partners, and payment delinquencies on accounts receivables.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access to or disclosure or theft of personal information we gather, store or use could harm our reputation and subject us to claims or litigation.</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the continuing contributions of key personnel, including Thurman J. Rodgers. If we are unable to attract and retain key employees and qualified personnel, our business and prospects could be harmed.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ability to grow may fluctuate from quarter to quarter and year to year, which could make future performance difficult to predict and could cause operating results for a particular period to fall below expectations.</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7" w:name="page8"/>
    <w:bookmarkEnd w:id="7"/>
    <w:p>
      <w:pPr>
        <w:jc w:val="both"/>
        <w:ind w:left="324" w:hanging="324"/>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executive officers and principal stockholders will continue to have significant influence over our company, which could limit your ability to influence the outcome of key transactions, including a change of control.</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meet all applicable requirements of Nasdaq and Nasdaq determines to delist our common stock, the delisting could adversely affect the market liquidity of our common stock and the market price of our common stock could decrease.</w:t>
      </w:r>
    </w:p>
    <w:p>
      <w:pPr>
        <w:spacing w:after="0" w:line="161" w:lineRule="exact"/>
        <w:rPr>
          <w:rFonts w:ascii="Times New Roman" w:cs="Times New Roman" w:eastAsia="Times New Roman" w:hAnsi="Times New Roman"/>
          <w:sz w:val="18"/>
          <w:szCs w:val="18"/>
          <w:color w:val="auto"/>
        </w:rPr>
      </w:pPr>
    </w:p>
    <w:p>
      <w:pPr>
        <w:jc w:val="both"/>
        <w:ind w:left="324" w:right="20" w:hanging="324"/>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repurchase up to 5,618,488 shares of common stock from the investors with whom we entered into Forward Purchase Agreements in connection with the closing of the Business Combination, which would reduce the amount of cash available to us to fund our growth plan.</w:t>
      </w:r>
    </w:p>
    <w:p>
      <w:pPr>
        <w:spacing w:after="0" w:line="17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outstanding debt requires a significant amount of cash, and we may not have sufficient cash flow from our business to pay our substantial debt.</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features of the Convertible Senior Notes and Yorkville Notes may adversely affect our financial condition and operating results.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(including potential sales of securities to White Lion pursuant to the White Lion Purchase Agreement and potential sales of securities to Yorkville pursuant to the Yorkville Purchase Agreement), or the perception of future sales, by us or our stockholders in the public market could cause the market price for the common stock to decline.</w:t>
      </w:r>
    </w:p>
    <w:p>
      <w:pPr>
        <w:spacing w:after="0" w:line="392"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mission is to deliver energy-efficient solutions to homeowners and small to medium-sized businesses that allow them to lower their energy bills while reducing their carbon footprint. SunPower Inc. or SunPower, has created a unique, end-to-end offering that delivers a best-in-class customer experience with a robust technology platform, financing solutions, and high-performance solar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SunPower Inc. (the “Company”) is the rebranded name of Complete Solaria, Inc. The rebranding was effective April 22, 2025 and became legally effective on October 16, 2025. We are headquartered in Orem, Utah.</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Complete Solaria, Inc. (“Complete Solaria”) was formed in November 2022 through the merger of Complete Solar Holding Corporation, a Delaware corporation (“Complete Solar”), and The Solaria Corporation, a Delaware corporation (such entity, “Solaria,” and such transaction, the “Business Combination”). Complete Solaria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We fulfill our customer contracts by engaging with local construction specialists and using our in-house installation experts. We manage the customer experience and complete all pre-construction activities prior to delivering build-ready projects including hardware, engineering plans, and building permits to our builder partners and in-house teams.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October 2023, we sold the solar panel assets of The Solaria Corporation, including intellectual property and customer contracts to Maxeon Solar Technologies, Ltd. (“Maxeon”) pursuant to the terms of an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expect to continue making acquisitions and entering into strategic partnerships as part of our long-term business strategy. For example, on September 24, 2025, we completed the purchase of all the membership interests of Sunder Energy, LLC (“Sunder”). Sunder provides a third-party solar energy sales force to initiate and execute contracts with customers throughout the United States. Sunder’s sales force works with solar installation companies in which Sunder acts as the agent for each transaction entered. Sunder earns revenue based on residential solar installation contracts for residential homeowners that are sold to installation companies in accordance with its contracts with those installation companies. Upon entering into a sales contract, the requisite performance obligation of Sunder is to assist the installation companies in the progress of the installation and obtain permission to operate. On November 21, 2025, we completed the purchase of all the membership interest of Ambia Energy, LLC (“Ambia”). Ambia is a residential solar energy system installer which operates in various markets throughout the United States. Ambia generates revenue from selling and installing solar energy systems or orchestrating the sale of a solar energy system which will be installed by a third party. On January 30, 2026, we completed the purchase of all of the equity interests of Cobalt Power Systems, Inc. (“Cobalt”). Cobalt is an installer of residential and commercial solar energy systems in the San Francisco Bay area. Cobalt generates revenue from the design and installation of solar power systems.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5, 2024, we entered into an Asset Purchase Agreement (the “APA”) among us and SunPower Corporation and its direct and indirect subsidiaries (collectively, the “SunPower Debtors”) providing for the sale and purchase of certain assets relating to the Blue Raven Solar business, New Homes Business and Non-Installing Dealer network previously operated by the SunPower Debtors (the “Acquired SunPower Assets”). The APA was entered into in connection with a voluntary petition filed by SunPower under Chapter 11 of the United States Code, 11 U.S.C.§§ 101-1532. The sale was approved on September 23, 2024, by the United States Bankruptcy Court for the District of Delaware. We completed the acquisition of the Acquired SunPower Assets effective September 30, 2024. The assets and businesses acquired by us under the APA are referred to as the “SunPower Businesses.” As part of the acquisition the Company acquired Albatross, an order-to-management proprietary software to manage our orders, fulfillment and customer service all in one central location.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acquisitions of Sunder, Ambia, Cobalt and SunPower Businesses are collectively referred to herein as “Acquisitions”.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Model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offer solar system sales and installation to residential homeowners and the new home builders’ communities. The Acquisitions will allow us to accelerate our revenue growth and expand our footprint to deliver solar system sales into regions where we might have not previously done business.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sell solar systems to homeowners, home builders and small to medium-sized commercial customers through third-party sales partners. As a result of our acquisition of Sunder, we operate a solar energy sales force to initiate and execute contracts with customers throughout the United States. We manage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we establish valuable customer relationships that can extend beyond the initial solar energy system purchase and provide us with opportunities to offer additional products and services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Innovation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inception, we have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we have built provides broad reach, and we believe it positions us for sustained and rapid growth through a capital-efficient business model. The network of our partners continues to expand today.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use salesforce.com to manage and fulfill orders which replaced our use of Albatross, the rights to which we acquired in connection with our acquisition of the SunPower Businesses. Albatross is a sales order platform which will be sunset later in 2026. Our acquisition of Sunder included Merdeka, a software platform which gives access from bookings to energization. We currently have this platform on view only and believe it has future potential as a differentiating option compared to our competition.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Differentiation and Operating Results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Delivering a differentiated customer experience is core to our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overall mission is to deliver energy-efficient solutions to homeowners, home builders and small to medium-sized businesses that allow them to lower their energy bills while reducing their carbon footprint. We want to pass our operational costs savings back to our customers by keeping costs low in an environment where labor costs are rising and interest rates remain uncertain. These operational costs savings are attributed to the workforce that was acquired as part of the SunPower Acquisition. We expanded our operations center that supports operations, order process, customer care and support, credit and collections, procurement, vendor management and accounting related functions, and have rationalized our headcount.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strategy focuses on providing our sales partners with the software tools, sales support, and ability to compete effectively with national providers. This turnkey solution makes it easy for anyone to sell solar.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 System Sales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Solar System Sales are full systems sold to homeowners, home builders and small to medium-sized commercial businesses through our sales partner channels. We and our builder partners fulfill and install the systems. We believe that we can increase revenue by executing the following approaches:</w:t>
      </w:r>
    </w:p>
    <w:p>
      <w:pPr>
        <w:spacing w:after="0" w:line="174" w:lineRule="exact"/>
        <w:rPr>
          <w:sz w:val="20"/>
          <w:szCs w:val="20"/>
          <w:color w:val="auto"/>
        </w:rPr>
      </w:pPr>
    </w:p>
    <w:p>
      <w:pPr>
        <w:jc w:val="both"/>
        <w:ind w:left="980" w:hanging="324"/>
        <w:spacing w:after="0" w:line="25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by expanding installation capacity and developing new geographic markets through our partner programs— </w:t>
      </w:r>
      <w:r>
        <w:rPr>
          <w:rFonts w:ascii="Times New Roman" w:cs="Times New Roman" w:eastAsia="Times New Roman" w:hAnsi="Times New Roman"/>
          <w:sz w:val="18"/>
          <w:szCs w:val="18"/>
          <w:color w:val="auto"/>
        </w:rPr>
        <w:t>Certain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become builder partners who install systems resulting from sales generated by our sales partners. By leveraging this network of skilled builders, in addition to our in-house installation experts, we aim to increase our installation capacity in traditional markets and expand our offering into new geographies throughout the U.S. We believe this will enable greater sales growth in existing markets and create new revenue in expansion markets.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revenue and margin by engaging national-scale sales partners</w:t>
      </w:r>
      <w:r>
        <w:rPr>
          <w:rFonts w:ascii="Times New Roman" w:cs="Times New Roman" w:eastAsia="Times New Roman" w:hAnsi="Times New Roman"/>
          <w:sz w:val="18"/>
          <w:szCs w:val="18"/>
          <w:color w:val="auto"/>
        </w:rPr>
        <w:t>—We expect to create a consistent offering with a single execution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for national-scale sales partners throughout their territories, including in territories where we do not currently operate. These national accounts have unique customer relationships that will facilitate meaningful sales opportunities and low acquisition cost to increase revenue and improve margin.</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and margin by executing on a battery storage opportunity </w:t>
      </w:r>
      <w:r>
        <w:rPr>
          <w:rFonts w:ascii="Times New Roman" w:cs="Times New Roman" w:eastAsia="Times New Roman" w:hAnsi="Times New Roman"/>
          <w:sz w:val="18"/>
          <w:szCs w:val="18"/>
          <w:color w:val="auto"/>
        </w:rPr>
        <w:t>– We have an opportunity to increase our revenue and margin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battery space through our partnership with Enphase. By providing homeowners with an option to include battery storage as part of their solar system install, we believe there will be a greater need for battery storage as the demand and costs of energy will increase.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strengths position us to drive the mass adoption of residential solar in a manner that maximizes the value of our growing customer base over the long term:</w:t>
      </w:r>
    </w:p>
    <w:p>
      <w:pPr>
        <w:spacing w:after="0" w:line="160" w:lineRule="exact"/>
        <w:rPr>
          <w:sz w:val="20"/>
          <w:szCs w:val="20"/>
          <w:color w:val="auto"/>
        </w:rPr>
      </w:pPr>
    </w:p>
    <w:p>
      <w:pPr>
        <w:jc w:val="both"/>
        <w:ind w:left="980" w:hanging="324"/>
        <w:spacing w:after="0" w:line="26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Platform of Services and Tools</w:t>
      </w:r>
      <w:r>
        <w:rPr>
          <w:rFonts w:ascii="Times New Roman" w:cs="Times New Roman" w:eastAsia="Times New Roman" w:hAnsi="Times New Roman"/>
          <w:sz w:val="18"/>
          <w:szCs w:val="18"/>
          <w:color w:val="auto"/>
        </w:rPr>
        <w:t>: A diversified and multi-pronged customer acquisition approach. This infrastructure underpins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enjoy broad customer reach with a low system-wide cost structure and positions us for expansion to every market where distributed solar energy generation can offer homeowners savings versus traditional utility retail power.</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84"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Differentiated Customer Experience</w:t>
      </w:r>
      <w:r>
        <w:rPr>
          <w:rFonts w:ascii="Times New Roman" w:cs="Times New Roman" w:eastAsia="Times New Roman" w:hAnsi="Times New Roman"/>
          <w:sz w:val="18"/>
          <w:szCs w:val="18"/>
          <w:color w:val="auto"/>
        </w:rPr>
        <w:t>: We offer a unique customer experience through various methods: customer-friendly solar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features, tailored designs and customizable pricing for each homeowner, a highly consultative sales process, and a focus on customer savings.</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Access to customers through third-party sales channels: </w:t>
      </w:r>
      <w:r>
        <w:rPr>
          <w:rFonts w:ascii="Times New Roman" w:cs="Times New Roman" w:eastAsia="Times New Roman" w:hAnsi="Times New Roman"/>
          <w:sz w:val="18"/>
          <w:szCs w:val="18"/>
          <w:color w:val="auto"/>
        </w:rPr>
        <w:t>The turn-key solar product offering, best-in-class customer service, and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footprint support third-party sales channels and strategic national partnerships. We provide solutions for sales channels seeking to expand their geographic reach and strengthen their relationships with their own customers.</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Skilled labor workforce: </w:t>
      </w:r>
      <w:r>
        <w:rPr>
          <w:rFonts w:ascii="Times New Roman" w:cs="Times New Roman" w:eastAsia="Times New Roman" w:hAnsi="Times New Roman"/>
          <w:sz w:val="18"/>
          <w:szCs w:val="18"/>
          <w:color w:val="auto"/>
        </w:rPr>
        <w:t>We invest in safety first and ensure that our labor workforce is not only proficient in construction and energy but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 communication, problem-solving and customer service skills. This allows them not only to make decisions quickly onsite but allows them to be empowered to service our customers on the spot and timely.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Customer Service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 System Sales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made significant investments to create a platform of services and tools that addresses customer origination, system design and installation, and general customer support. Before a sales representative conducts a consultation, homeowners are pre-qualified based on a preliminary evaluation that considers a homeowner’s credit, home ownership, electricity usage and suitability of the roof based on age, condition, shading and pitch. Once a homeowner is pre-qualified, all necessary data is collected, and a proposal is generated for the homeowner. If a homeowner is interested in moving forward, a customer contract is generated for electronic execution. This contract then undergoes a final review before it is countersigned. Homeowners financing their purchase via a loan, lease or power purchase agreement submit applications to financial institutions and, upon credit approval, execute financing agreements between the homeowner and the financier.</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Once an agreement is fully executed, a site audit is performed at the home to inspect the condition of the roof, electrical equipment, and shading. Following this audit are a final system design plan and an application for any required building permits. The plans are reviewed to ensure they conform to the executed contract or to process a change order if required. A second production estimate is generated at that time and if the expected energy production exceeds or falls below the original estimate by certain thresholds, the homeowner agreement is modified accordingly. To reduce installation costs and operational risk, there are defined design and installation quality standards designed to ensure that homeowners receive a quality product, regardless of who installs the system.</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After the solar panels are installed, the customer care team follows up with the homeowner with a survey on their experience. If a system requires maintenance, we or a dedicated service-only contractor will visit the customer’s home and perform any necessary repairs or maintenance at no additional cost to the customer.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main components of a residential solar energy system are the solar modules, inverters, and racking systems. We also offer battery storage and car chargers where it can benefit our customers. We generally purchase components from select distributors, which are then shipped to build partners for installation. There is a running list of approved suppliers in the event any of the sources for modules, inverters or other components become unavailable. If we fail to develop, maintain, and expand relationships with these or other suppliers, the ability to meet anticipated demand for solar energy systems may be adversely affected, or at higher costs or delayed. If one or more of the suppliers ceases or reduces production due to its financial condition, acquisition by a competitor or otherwise, it may be difficult to identify alternate suppliers quickly or to qualify alternative products on commercially reasonable terms, and the ability to satisfy this demand may be adversely affected.</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screen all suppliers and components based on expected cost, reliability, warranty coverage, ease of installation, etc. We typically enter into master contract arrangements with major suppliers that define the general terms and conditions of purchases, including warranties, product specifications, indemnities, delivery and other customary terms. The declining cost of solar modules and the raw materials necessary to manufacture them have been a key driver in the prices charged for electricity and homeowner adoption of solar energy. If solar module and raw material prices do not continue to decline at the same rate as they have over the past several years, the resulting prices could slow growth and cause financial results to suffer. If we are required to pay higher prices for supplies, accept less favorable terms, or purchase solar modules or other system components from alternative, higher-priced sources, financial results may be adversely affected.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and our build partners are responsible for and source the other products related to solar energy systems, such as fasteners, wiring and electrical fittings. From time-to-time, we procure these other products related to solar energy systems for our own installation business. We manage inventory through just-in-time delivery, at local warehouses, and as segregated inventory at build partners.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main components of a residential solar module are the solar cells. Our solar modules are generally manufactured by third-party select manufacturers and are purchased from distributors.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primary competitors are the traditional utilities that supply electricity to potential customers. We compete with these traditional utilities primarily based on price (cents per kilowatt hour), predictability of future prices (by providing pre-determined annual price escalations) and the ease by which homeowners can switch to electricity generated by solar energy systems. Based on these factors, we compete favorably with many traditional utilities.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compete for homeowner customers with other solar sales and installation companies and with solar companies with business models that are like ours. Our main competitors can be grouped broadly into (a) national, vertically integrated companies with established brands and proprietary consumer financing products; (b) small, local solar contractors who operate with relatively low fixed overhead expenses but who may lack systems, tools, and sophisticated product offerings; and (c) sales aggregators who engage with third-party sales companies to generate installation contracts. We compete favorably with these companies, with (a) better customer experience and better sales partner experience than the national vertically integrated companies; (b) better pricing and broader customer offerings than smaller local solar contractors; and (c) a better build partner experience than sales aggregators.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face competition from purely finance-driven organizations that acquire homeowner customers and then subcontract out the installation of solar energy systems, installation businesses that seek financing from external parties, large construction companies and utilities and sophisticated electrical and roofing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seek to protect our intellectual property rights by relying on federal, state and common law rights in the U.S. and other countries, as well as contractual restrictions. We generally enter into confidentiality and invention assignment agreements with employees and contractors, and confidentiality agreements with other third parties, to limit access to, and disclosure and use of, confidential information and proprietary technology. In addition to these contractual arrangements, we also rely on a combination of trademarks, trade dress, domain names, copyrights, and trade secrets to help protect the brand and other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 and Incentives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Governments have used different public policy mechanisms to accelerate the adoption and use of solar power. Examples of customer-focused financial mechanisms include capital cost rebates, performance-based incentives, feed-in tariffs, tax credits, renewable portfolio standards, net metering, and carbon regulations. Some of these government mandates and economic incentives are scheduled to be reduced or to expire or could be eliminated. Capital cost rebates provide funds to customers based on the cost and size of a customer’s solar power system. Performance-based incentives provide funding to a customer based on the energy produced by their solar power system. Feed-in tariffs pay customers for solar power system generation based on energy produced at a rate generally guaranteed for a period of time. Tax credits reduce a customer’s taxes at the time the taxes are due. Renewable portfolio standards mandate that a certain percentage of electricity delivered to customers comes from eligible renewable energy resources. Net metering allows customers to deliver to the electric grid any excess electricity produced by their on-site solar power systems and to be credited for that excess electricity at or near the full retail price of electricity. Carbon regulations, including cap-and-trade and carbon pricing programs, increase the cost of fossil fuels, which release climate-altering carbon dioxide and other greenhouse gas emissions during combustion.</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mechanisms described above, there are various incentives for homeowners and businesses to adopt solar power in The Inflation Reduction Act of 2022 (the “IRA”). On July 4, 2025, the One Big Beautiful Bill Act (the “OBBBA”) was enacted and significantly modified this framework by accelerating the phase-out or termination of certain federal tax incentives and introducing additional eligibility requirements and compliance obligations. In particular, the OBBBA accelerates the termination of the clean electricity investment tax credit and production tax credit for applicable solar facilities, generally limiting availability to projects that begin construction by July 4, 2026 or are placed in service by December 31, 2027, and terminates the residential clean energy credit for property installed after December 31, 2025. The OBBBA also introduces additional restrictions relating to certain foreign entities of concern (“FEOC”) and supply chain sourcing, which may affect project eligibility and increase compliance costs.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in Europe, the European Commission has mandated that its member states adopt integrated national climate and energy plans to increase their renewable energy targets to be achieved by 2030, which could benefit the deployment of solar. However, the U.S. and European Union, among others, have imposed tariffs or other import duties on solar products, or are evaluating the imposition of such duties on solar panels, solar cells, polysilicon, and other components. These import duties may offset the incentives described above and increase the price of our solar products.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28, 2025, we had 785 employees on a full-time basis. We also engage independent contractors and consultants. No employees are covered by collective bargaining agreements. There have not been any work stoppages.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identifying, recruiting, retaining, training, and integrating our existing and new employees. The principal purposes of our equity incentive plans are to attract, retain and motivate personnel through the granting of equity-based awards, increasing stockholder value and the success of our Company by motivating such individuals to perform to the best of their abilities and achieve SunPower’s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corporate headquarters and executive offices are located in Orem, Utah.</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lease all the facilities and own no real property. We believe that our current facilities are adequate to meet ongoing needs. If additional space is required, we believe that we will be able to obtain additional facilities on commercially reasonable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Corporate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were originally known as Freedom Acquisition I Corp (“FACT”). We are engaged in solar system sales and associated commerce. On July 18, 2023, Complete Solaria, FACT, and certain other entities consummated the transactions contemplated under that certain amended and restated Business Combination Agreement, dated as of May 26, 2023, following the approval at the special meeting of the stockholders of FACT held July 11, 2023. In connection with the closing of the Business Combination, we changed our name from Freedom Acquisition I Corp. to Complete Solaria, Inc.</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offices are located at 1403 N. Research Way, Orem UT 84097, and our telephone number is (877) 299-4943.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Company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file or furnish periodic reports and amendments thereto, including our Annual Reports on Form 10-K, our Quarterly Reports on Form 10-Q and Current Reports on Form 8-K, proxy statements and other information with the Securities and Exchange Commission (“SEC”). In addition, the SEC maintains a website (www.sec.gov) that contains reports, proxy and information statements, and other information regarding issuers that file electronically. Our internet address is https://us.sunpower.com. Through our internet website, we make available, free of charge, our Annual Report on Form 10-K, quarterly reports on Form 10-Q, current reports on Form 8-K, and all amendments to those reports as soon as reasonably practicable after such reports have been filed with or furnished to the SEC. The information on our website is not a part of this Annual Report on Form 10-K.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of the other information contained in this Annual Report on Form 10-K, including our consolidated financial statements and related notes appearing in Part II, Item 8 of this Annual Report on Form 10-K and in the section titled “Management’s Discussion and Analysis of Financial Condition and Results of Operations,” before deciding to invest in our securities. If any of the events or developments described below were to occur, our business, prospects, operating results and financial condition could suffer materially, the trading price of our securities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You should not interpret our disclosure of any of the following risks to imply that such risks have not already materialized.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Businesses and Industry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that may continue in the future; our management has identified conditions that raise substantial doubt about our ability to continue as a going concern; and we may not achieve profitability or generate positive cash flow.</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Since our inception, we have incurred losses and negative cash flows from operations. We incurred a net loss from continuing operations of $40.6 million in the fiscal year ended December 28, 2025, and have an accumulated deficit of $456.7 million. We have accrued expenses and other current liabilities of $56.6 million, current debt of $24.3 million, and notes payable and derivative liabilities, net of current portion of $155.3 million, as of December 28, 2025, as well as other current and long-term liabilities (including the $9.5 million liability we recorded relating to a litigation matter with Siemens). We had cash and cash equivalents, excluding restricted cash, of $9.6 million as of December 28, 2025, which was held for working capital expenditures. These conditions raise substantial doubt about our ability to continue as a going concern. Our ability to continue as a going concern requires that we obtain sufficient funding, either through external financial transactions or cash flows generated from operations, to meet our obligations and finance our operations.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not able to secure adequate additional funding, either through external financial transactions or cash flows generated from operations, when needed, we will need to reevaluate our operating plan and may be forced to make reductions in spending, extend payment terms with suppliers, liquidate assets where possible, or suspend or curtail planned programs or cease operations entirely. These actions could materially impact our business, results of operations and future prospects. There can be no assurance that in the event we require additional financing, such financing will be available on terms that are favorable, or at all.</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not achieve profitability or positive cash flow for a number of reasons, including declines in revenue, as well as increases in costs of our products, U.S. and global macroeconomic trends, including with respect to the impact of U.S. trade tariffs and the imposition of additional tariffs applicable to our industry or our products. In addition, we may be unable to identify further cost savings opportunities below present levels that would not adversely impact the functioning of our existing operations needed to meet customer and regulatory requirements. If we fail to generate sufficient revenue to support our operations, we may not be able to achieve profitability or generate sufficient cash flow to meet our financial obligations and our liquidity position will be negatively impacted. See “Management’s Discussion and Analysis of Financial Condition and Results of Operations - Liquidity and Capital Resources” and “Notes to Consolidated Financial Statements – (1) Organization – (c) Liquidity and Going Concern” for a further discussion of the other factors that may impact our liquidity position.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Failure to generate sufficient cash flows from operations, raise additional capital or reduce certain discretionary spending would have a material adverse effect on our ability to achieve our intended business objectives.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operations have consumed significant amounts of cash since inception. We expect to incur significant operating expenses as we continue to grow our business, including expenses incurred in connection with acquisitions and the further integration of acquired businesses, including the SunPower Businesses, Sunder, Ambia and Cobalt. We anticipate that our operating losses and negative operating cash flows will continue into the foreseeable future.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had cash and cash equivalents, excluding restricted cash, of $9.6 million as of December 28, 2025. Our cash position raises substantial doubt regarding our ability to continue as a going concern for 12 months after the consolidated financial statements issuance. Further, we cannot guarantee that our business will generate sufficient cash flow from operations to fund our operations or liquidity needs. Over time, we expect that we will need to raise additional funds through the issuance of additional equity, equity-related or debt securities or through obtaining credit from financial institutions to fund, together with our principal sources of liquidity, any significant unplanned or accelerated expenses and new strategic investments.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will require substantial additional capital to continue operations. Such additional capital might not be available when we need it and our actual cash requirements might be greater than anticipated. Additionally, the ability to raise additional financing depends on numerous factors that are outside our control, including general economic and market conditions, interest rates, the health of financial institutions, investors’ and lenders’ assessments of our prospects and the prospects of the solar industry in general. We cannot be certain that additional capital will be available on attractive terms, if at all, when needed, which could be dilutive to stockholders, and our financial condition, results of operations, business and prospects could be materially and adversely affected. If the financial markets become difficult or costly to access, including due to rising interest rates, inflation, fluctuations in exchange rates or other changes in geopolitical or economic conditions, including, without limitation, with respect to tariffs and trade policies, our ability to raise additional capital may be negatively impacted. Our failure to raise capital in the future would have a negative impact on our ability to expand our business.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funds may cause dilution to existing stockholders and/or may restrict our operations or require us to relinquish proprietary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To the extent that we raise additional capital by issuing equity, convertible debt or other convertible securities, our existing stockholders may experience substantial dilution, and the terms of these issued securities may include liquidation or other preferences that adversely affect the rights of our existing common stockholders. For example, we may issue debt or equity securities under our shelf registration statement, through our at-the-market offering facility, through our existing equity line of credit with White Lion, through our standby equity purchase facility with Yorkville or we may issue additional debt or equity securities in private transactions. Any agreements for future debt or preferred equity financings, if available, may involve covenants limiting or restricting our ability to take specific actions, such as raising additional capital, incurring additional debt, making capital expenditures or declaring dividends. Our ability to use our at-the-market offering facility or shelf registration statement are currently constrained by the size of our non-affiliate market capitalization, our trading volume and other factors, and there can be no assurance regarding the price at which we will be able to sell such shares, and any sales of our common stock under our at-the-market offering facility, and any offerings we might complete under our shelf registration statement, may be at prices that result in additional dilution to our existing stockholders. Further, as a result of our current ineligibility to use Form S-3, we currently cannot use our at-the-market offering facility or conduct securities offerings using our shelf registration statement. If we incur additional debt, the debt holders, together with holders of our outstanding Convertible Senior Notes and the Yorkville Notes (each as defined below), would have rights senior to holders of common stock to make claims on our assets, and the terms of any future debt could restrict our operations, including our ability to pay dividends on our common stock.</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controls over financial reporting. As a result of these material weaknesses, we identified material errors to our interim results for the thirteen weeks ended March 30, 2025, the thirteen and twenty-six weeks ended June 29, 2025, and the thirteen and thirty-nine weeks ended September 28, 2025 (the “Prior Periods”) and we have determined that the Prior Periods included in our Quarterly Reports on Form 10-Q for the quarters ended March 30, 2025, June 29, 2025, and September 28, 2025 should no longer be relied upon and should be restated.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and audit of our financial statements for the year ended December 28, 2025, our management identified material weaknesses in our internal control over financial reporting. A material weakness is a deficiency, or a combination of deficiencies, in internal control over financial reporting, such that a reasonable possibility exists that a material misstatement of annual or interim financial statements would not be prevented or detected on a timely basis. The material weaknesses are as follows: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did not maintain controls to execute the criteria established in the COSO Framework for (i) the control environment, (ii) control activities, (iii) information and communication, and (iv) monitoring activities.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Each of the control deficiencies identified below constitute a material weakness, either individually or in the aggregate.</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Control Environment</w:t>
      </w:r>
      <w:r>
        <w:rPr>
          <w:rFonts w:ascii="Times New Roman" w:cs="Times New Roman" w:eastAsia="Times New Roman" w:hAnsi="Times New Roman"/>
          <w:sz w:val="18"/>
          <w:szCs w:val="18"/>
          <w:color w:val="auto"/>
        </w:rPr>
        <w:t>. Our Company did not maintain an effective control environment and identified the following material weakness: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lacked appropriate policies and resources to develop and operate effective internal control over financial reporting and a lack of appropriate and consistent IT policies given the significant volume of financially relevant IT changes, which contributed to our Company’s inability to properly analyze, record and disclose accounting matters timely and accurately.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xml:space="preserve">Control Activities. </w:t>
      </w:r>
      <w:r>
        <w:rPr>
          <w:rFonts w:ascii="Times New Roman" w:cs="Times New Roman" w:eastAsia="Times New Roman" w:hAnsi="Times New Roman"/>
          <w:sz w:val="18"/>
          <w:szCs w:val="18"/>
          <w:color w:val="auto"/>
        </w:rPr>
        <w:t>Our Company did not design and implement effective control activities and identified the following material weakness:</w:t>
      </w:r>
    </w:p>
    <w:p>
      <w:pPr>
        <w:spacing w:after="0" w:line="227"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design and operation of certain control activities due to significant personnel changes throughout fiscal 2025. Control deficiencies, which aggregate to a material weakness, occurred within substantially all areas of financial reporting.</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Information and Communication. </w:t>
      </w:r>
      <w:r>
        <w:rPr>
          <w:rFonts w:ascii="Times New Roman" w:cs="Times New Roman" w:eastAsia="Times New Roman" w:hAnsi="Times New Roman"/>
          <w:sz w:val="18"/>
          <w:szCs w:val="18"/>
          <w:color w:val="auto"/>
        </w:rPr>
        <w:t>Our Company did not design and implement effective information and communication activities and 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material weaknesses</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jc w:val="both"/>
        <w:ind w:left="980" w:hanging="324"/>
        <w:spacing w:after="0" w:line="258"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 did not design and maintain effective general information technology controls over logical access and program change management for our key information systems used to support the financial reporting process. Specifically, management did not maintain effective controls to ensure proper segregation of duties related to user administration and other privileged access functions and in implementing program changes in information systems. Due to the pervasive nature of these deficiencies, business process controls that are dependent upon information from these systems were also not effective.</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 did not have adequate processes and controls for communicating information among the accounting, finance, operations, and legal departments, necessary to support the proper functioning of internal controls.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Monitoring Activities. </w:t>
      </w:r>
      <w:r>
        <w:rPr>
          <w:rFonts w:ascii="Times New Roman" w:cs="Times New Roman" w:eastAsia="Times New Roman" w:hAnsi="Times New Roman"/>
          <w:sz w:val="18"/>
          <w:szCs w:val="18"/>
          <w:color w:val="auto"/>
        </w:rPr>
        <w:t>Our Company did not design and implement effective monitoring activities and identified the following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weaknesses: (i) failure to adequately monitor compliance with accounting policies, procedures and controls related to substantially all areas of financial reporting; and (ii) failure to properly select, develop and perform ongoing evaluations of the components of internal controls (including the monitoring of service providers’ control environments).</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material weaknesses described in the paragraphs above contributed to material accounting errors identified and corrected during the audit of our financial statements. Additionally, in connection with the preparation of our audited financial statements for the year ended December, 28, 2025, and as a result of these material weaknesses, we identified material errors to our interim results for the thirteen weeks ended March 30, 2025, the thirteen and twenty-six weeks ended June 29, 2025, and the thirteen and thirty-nine weeks ended September 28, 2025 (the “Prior Periods”) and we determined that the Prior Periods included in our Quarterly Reports on Form 10-Q for the quarters ended March 30, 2025, June 29, 2025, and September 28, 2025 (the “Prior Filings”) should no longer be relied upon and should be restated. As a result, the Company will restate the financial statements included in the Prior Filings. If we fail to adequately remediate these material weaknesses, there could be material misstatements that may not be prevented or detected.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taken certain steps, such as recruiting additional personnel, in addition to utilizing third-party consultants and specialists, to supplement our internal resources, to enhance our internal control environment and plan to take additional steps to remediate the material weaknesses. Although we plan to complete this remediation process as quickly as possible, we cannot estimate how long it will take. We cannot provide assurance that the measures we have taken to date, and may take in the future, will be sufficient to remediate the control deficiencies that led to our material weakness in internal control over financial reporting or that such measures will prevent or avoid potential future material weaknesses.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not able to maintain effective internal control over financial reporting and Disclosure Controls and procedures,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(and which would limit our ability to use Form S-3 and make impact the availability of Rule 144), restatements of financial statements or other corrective disclosures, an inability to access commercial lending markets, defaults under convertible notes and outstanding loans and other agreements, or other material adverse effects on our business, reputation, results of operations, financial condition or liquidity.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restatement of our previously issued quarterly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our determination that the Prior Filings should no longer be relied upon and should be restated, we face a number of additional risks and uncertainties, which may affect investor confidence in the accuracy of our financial disclosures and may raise reputation issues for our business. For example, we may face potential litigation or other disputes, which may include claims relating to federal and state securities laws, contractual claims and other claims arising from the restatement of the Prior Filings and the material weaknesses in our internal control over financial reporting and the preparation of our financial statements. As we undertake such restatements of the Prior Filings, we may discover additional errors in the Prior Filings. We cannot ensure that all of the risks and challenges described above will be eliminated or that general reputational harm will not persist. If one or more of the foregoing risks or challenges persist, our business, operations and financial condition are likely to be materially and adversely affected.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prepare and timely file our periodic reports with the SEC limits our access to the public markets to raise debt or equity capital.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did not file our Annual Report on Form 10-K for the fiscal year ended December 29, 2024 within the timeframe required by the SEC, our Quarterly Report on Form 10Q for the quarter ended September 28, 2025 or the amendment required to our Current Report originally filed on September 26, 2025 relating to the Sunder acquisition. Accordingly, 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 status as a current filer. Our inability to use Form S-3 may significantly impair our ability to raise necessary capital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spacing w:after="0" w:line="18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tariffs, or trade disputes could significantly and adversely affect our business, revenues, margins, results of operations, and cash flows.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7, 2018, safeguard tariffs on imported solar cells and modules (“</w:t>
      </w:r>
      <w:r>
        <w:rPr>
          <w:rFonts w:ascii="Times New Roman" w:cs="Times New Roman" w:eastAsia="Times New Roman" w:hAnsi="Times New Roman"/>
          <w:sz w:val="18"/>
          <w:szCs w:val="18"/>
          <w:b w:val="1"/>
          <w:bCs w:val="1"/>
          <w:color w:val="auto"/>
        </w:rPr>
        <w:t>CSPV</w:t>
      </w:r>
      <w:r>
        <w:rPr>
          <w:rFonts w:ascii="Times New Roman" w:cs="Times New Roman" w:eastAsia="Times New Roman" w:hAnsi="Times New Roman"/>
          <w:sz w:val="18"/>
          <w:szCs w:val="18"/>
          <w:color w:val="auto"/>
        </w:rPr>
        <w:t>”) went into effect pursuant to Proclamation 9693, which approved recommendations to provide relief to U.S. manufacturers and impose safeguard tariffs on imported solar cells and modules, based on the investigations, findings, and recommendations of the U.S. International Trade Commission (the “</w:t>
      </w:r>
      <w:r>
        <w:rPr>
          <w:rFonts w:ascii="Times New Roman" w:cs="Times New Roman" w:eastAsia="Times New Roman" w:hAnsi="Times New Roman"/>
          <w:sz w:val="18"/>
          <w:szCs w:val="18"/>
          <w:b w:val="1"/>
          <w:bCs w:val="1"/>
          <w:color w:val="auto"/>
        </w:rPr>
        <w:t>International Trade Commission</w:t>
      </w:r>
      <w:r>
        <w:rPr>
          <w:rFonts w:ascii="Times New Roman" w:cs="Times New Roman" w:eastAsia="Times New Roman" w:hAnsi="Times New Roman"/>
          <w:sz w:val="18"/>
          <w:szCs w:val="18"/>
          <w:color w:val="auto"/>
        </w:rPr>
        <w:t>”). On February 4, 2022, then President Biden issued Proclamation 10339 extending the existing safeguard measures on U.S. imports of CSPV products by an additional four years until February 6, 2026. Prior to the termination of the safeguard tariffs, modules were subject to a tariff rate of approximately 15%. Cells were subjected to a tariff-rate quota, under which the first 5 GW of cell imports each year was exempt from tariffs, and cells imported after the 5 GW quota was reached were subject to the same approximately 15% tariff as modules in the first year, with the same 0.25% decline in each of the three subsequent years. The tariff-free cell quota applied globally, without any allocation by country or region.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solar cells and modules based on interdigitated back contact technology were excluded from these safeguard tariffs, our solar products based on other technologies continue were subject to the safeguard tariffs until February 6,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Solar cells and panels from various countries continue to be subject to U.S. antidumping, and countervailing duty (AD/CVD) actions in the United States. The U.S. Department of Commerce (the “</w:t>
      </w:r>
      <w:r>
        <w:rPr>
          <w:rFonts w:ascii="Times New Roman" w:cs="Times New Roman" w:eastAsia="Times New Roman" w:hAnsi="Times New Roman"/>
          <w:sz w:val="18"/>
          <w:szCs w:val="18"/>
          <w:b w:val="1"/>
          <w:bCs w:val="1"/>
          <w:color w:val="auto"/>
        </w:rPr>
        <w:t>Department of Commerce</w:t>
      </w:r>
      <w:r>
        <w:rPr>
          <w:rFonts w:ascii="Times New Roman" w:cs="Times New Roman" w:eastAsia="Times New Roman" w:hAnsi="Times New Roman"/>
          <w:sz w:val="18"/>
          <w:szCs w:val="18"/>
          <w:color w:val="auto"/>
        </w:rPr>
        <w:t>”) maintains antidumping and countervailing duty orders on solar cells as well as panels produced in China. In 2022, the Department of Commerce found that solar product producers in Cambodia, Malaysia, Thailand, and Vietnam were circumventing the China AD/CVD actions. As a result, imports of solar products from these countries may be treated as if they are of Chinese origin and therefore subject to the aforementioned antidumping and countervailing duty orders. On June 6, 2022, then President Biden issued an Executive Order allowing U.S. solar installers to import solar modules and cells from Cambodia, Malaysia, Thailand and Vietnam free from certain duties for 24 months, along with other incentives designed to accelerate U.S. domestic production of clean energy technologies. This moratorium ended in June 2024 and China-wide AD/CVD action now applies to imports from those countries that contain Chinese-origin inputs. Additionally, on December 29, 2023, Auxin and Concept Clean Energy, Inc. filed suit in the U.S. Court of International Trade challenging the legal basis for the moratorium and implementing regulations. In August 2025 the Court of International Trade found the moratorium on the collection of AD/CVD duties to be unlawful and ordered retroactive collection of duties that should have been paid during that period. The retroactive collection of duties was stayed pending appeal. On February 9, 2026, the U.S. government withdrew its appeal of that decision, but other parties continue to pursue the appeal. In addition, on May 15, 2024 the Department of Commerce and the U.S. International Trade Commission initiated antidumping and countervailing duty investigations of CSPV products from Cambodia, Malaysia, Thailand, and Vietnam. Both the Department of Commerce and the U.S. International Trade Commission made affirmative findings for all countries. On June 24, 2025, the Department of Commerce imposed antidumping and countervailing duty orders on CSPV products from all four countries. Duty rates range zero to over 100% antidumping duties and approximately 15% to over 3000% countervailing duties depending on the company and country. Antidumping and countervailing duties are assessed retroactively and thus final assessment of duties on imports made after June 2025 will be determined in future proceedings by the Department of Commerce.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high AD/CVD duty rates, together with uncertainty surrounding the implications of existing tariffs affecting the U.S. solar market and potential trade tensions between the U.S. and other countries has caused and is likely to cause further market volatility, price fluctuations, supply shortages, and project delays, any of which could harm our business, and the pursuit of mitigating actions may divert substantial resources from other projects.</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Further, the Uyghur Forced Labor Prevention Act may inhibit importation of certain solar modules or components. In addition, the imposition of tariffs is likely to result in a wide range of impacts to the U.S. solar industry and the global manufacturing market, as well as our business in particular. Such tariffs could materially increase the price of our solar products and result in significant additional costs to the Company, its resellers, and the resellers’ customers, which could cause a significant reduction in demand for our solar power products and greatly reduce our competitive advantage.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the availability of rebates, tax credits and other financial incentives. The OBBA has materially reduced the availability of these rebates, credits or incentives, which may adversely impact our business.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U.S. federal, state and local government bodies provide incentives to end users, distributors, system integrators and manufacturers of solar energy systems to promote solar electricity in the form of rebates, tax credits and other financial incentives such as system performance payments, payments for renewable energy credits associated with renewable energy generation and the exclusion of solar energy systems from property tax assessments. These incentives enable us to lower the price charged to customers for energy and for solar energy systems. However, these incentives may expire on a particular date, end when the allocated funding is exhausted or be reduced or terminated as solar energy adoption rates increase. These reductions or terminations often occur without warning.</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IRA extended and modified prior law applicable to U.S. federal tax credits that are available with respect to solar energy systems. Under the IRA, the following tax credits were generally available: (i) a production tax credit under Code Section 45 (for facilities that began construction before January 1, 2025) and Code Section 45Y (for facilities that were place in service after December 31, 2024) (the “PTC”)with respect to electricity produced from certain qualifying facilities, (ii) an investment tax credit under Code Section 48 (for facilities that begin construction before January 1, 2025) and Code Section 48E (for facilities that are placed in service after December 31, 2024) (the “ITC”) in connection with the installation of certain solar facilities and energy storage technology, and (iii) a residential clean energy credit (the “Section 25D Credit”) in connection with the installation of qualifying property that uses solar energy to generate electricity for residential use.</w:t>
      </w:r>
    </w:p>
    <w:p>
      <w:pPr>
        <w:spacing w:after="0" w:line="18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On July 4, 2025, the “OBBBA was enacted and significantly modified the IRA’s clean energy incentive framework by accelerating the termination of certain credits and adding new eligibility restrictions and compliance burdens. The OBBBA effectively repealed, on an accelerated timeline, key federal tax incentives for solar projects by curtailing eligibility for the clean electricity PTC and ITC for applicable solar facilities placed in service after December 31, 2027 (subject to grandfathering for projects that begin construction by July 4, 2026) and by terminating the Section 25D Credit after 2025.</w:t>
      </w:r>
    </w:p>
    <w:p>
      <w:pPr>
        <w:spacing w:after="0" w:line="1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the PTC, solar energy projects that began construction before January 1, 2025 generally remain eligible for the PTC under Section 45 (as amended by the IRA) and generally are not subject to the accelerated phaseouts or other limitations introduced by the OBBBA. The PTC available to a taxpayer in 2024 and prior taxable years under Code Section 45 generally is equal to a certain rate multiplied by the kilowatt hours of electricity produced by the taxpayer from solar energy at a facility owned by it and sold to an unrelated party during that taxable year. The base rates for the PTC under Code Section 45 is 0.3 cents (adjusted for inflation). This rate is increased to 1.5 cents (adjusted for inflation) for projects that (i) have a maximum net output of less than one megawatt (measured in alternating current), (ii) begin construction before January 29, 2023, and (iii) meet certain prevailing wage and apprenticeship requirements. It also may be increased for projects that include a certain percentage of components produced in the U.S. and projects that are located in certain energy communities, in each case subject to applicable requirements and IRS guidance.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PTC under Code Section 45Y, the successor to Code Section 45 that is applicable for facilities placed in service after December 31, 2024, generally is similar to the PTC under Code Section 45 but includes certain different terms and qualification requirements. The PTC amount under Code Section 45Y generally is equal to the PTC outlined above for Code Section 45, including the availability of the same increased credit rates under the same circumstances. The PTC under Code Section 45Y applies to kilowatt hours of electricity produced at a “qualified facility,” which generally is a facility, such as a solar energy facility, that generates electricity and has a greenhouse gas emission rate that is not greater than zero.</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OBBBA, solar facilities that begin construction after July 4, 2026 (one year after enactment of the OBBBA) are ineligible for the Code Section 45Y credit if placed in service after December 31, 2027. Facilities that begin construction prior to July 4, 2026 are not subject to this accelerated placed-in-service deadline. In addition, IRS guidance interpreting these OBBBA termination provisions imposes more stringent “beginning of construction” requirements, increasing the risk that projects may fail to qualify if development timelines slip or if the taxpayer cannot satisfy the applicable standards. Moreover, the OBBBA denies the Code Section 45Y for certain leased residential solar water heating property (while generally excluding leased solar electric generating property from that denial). A facility is not eligible for the PTC under Code Section 45Y if a tax credit already is allowed with respect to the facility under Code Section 45, 48 or 48E (or certain other tax credit provisions) for the taxable year or any prior taxable year.</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the ITC, solar energy projects that began construction before January 1, 2025 generally remain eligible for the ITC under Section 48 and are not subject to the accelerated phaseouts or other limitations introduced by the OBBBA. The ITC available under Code Section 48E is the successor provision of Code Section 48 and is applicable for investments in facilities placed in service after December 31, 2024. The ITC under Code Section 48E generally is similar to the ITC outlined above under Code Section 48 in structure, including generally providing for the same increased credit rates under the same circumstances. The ITC under Code Section 48E applies to investments in a “qualified facility” and “energy storage technology”. A “qualified facility” for these purposes generally is the same as described above for the PTC under Code Section 45Y and “energy storage technology” is defined by reference to such term in Code Section 48.</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Similar to Section 45Y, solar facilities that begin construction after July 4, 2026 (one year after enactment) are ineligible for the Section 48E credit if placed in service after December 31, 2027. This placed-in-service deadline would not apply to energy storage technology. Moreover, the OBBBA denies the Code Section 48E for certain leased residential solar water heating property (while generally excluding leased solar electric generating property from that denial). The ITC under Code Section 48E is subject to recapture if the Internal Revenue Service determines that the greenhouse gas emissions rate for the facility exceeds a certain threshold. A facility is not eligible for the ITC under Code Section 48E if a tax credit already is allowed with respect to the facility under Code Section 45, 45Y or 48 (or certain other tax credit provisions) for the taxable year or any prior taxable year.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IRA, the Section 25D Credit available to a taxpayer is equal to the “applicable percentage” of expenditures for property that uses solar energy to generate electricity for use in a dwelling unit located in the U.S. and used as a residence by the taxpayer. The applicable percentage is 26% for such systems that are placed in service before January 1, 2022 and 30% for such systems that are placed in service after December 31, 2021. As modified by the OBBBA, the Section 25D Credit terminated with respect to expenditures made after December 31, 2025, and an expenditure generally is treated as made when the original installation of the property is completed (or, in certain cases, when construction or reconstruction is completed and the taxpayer’s original use of the structure begins). The unavailability of the Section 25D Credit for systems when installation is completed after December 31, 2025 likely will impact the prices of our solar energy systems and overall value proposition our solar systems provide to customers.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OBBBA also introduces additional restrictions relating to certain FEOC and supply chain sourcing, which may affect project eligibility and increase compliance costs. On February 12, 2026, the U.S. Treasury Department and Internal Revenue Service released IRS Notice 2026-15, which provides additional guidance regarding the prohibited foreign entity (“PFE”) rules under the OBBBA. In particular, this notice establishes interim safe harbors for determining whether a project receives material assistance from a PFE, including guidance on calculation of the Material Assistance Cost Ratio. While this guidance reduces certain uncertainties, it is interim in nature, and further rulemaking, including a notice of proposed rulemaking and final regulations expected later in 2026, may modify or replace this framework. Such future guidance could impose more restrictive requirements or additional compliance burdens, which may increase our costs and adversely affect our ability, or our customers’ ability, to qualify for applicable tax credits. If we or our customers are unable to satisfy the PFE or related eligibility requirements, it could materially and adversely affect our revenues, results of operations, cash flows and the overall demand for our products.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OBBBA has materially reduced the governmental incentives available to participants in the solar industry, which is likely to adversely affect the results of our operations and our ability to compete in this industry by increasing the cost of capital, causing us to increase the prices of our energy and solar energy systems and reduce the size of our addressable market. Even where incentives remain available, evolving statutory requirements and administrative guidance may create uncertainty, increase compliance costs, and delay or reduce tax credit financing, which could disrupt project timelines and harm our liquidity.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the U.S. federal tax credits discussed above have complex legal and operational requirements, including with respect to “beginning of construction” and placed-in-service requirements. There also may be uncertainty as to how such requirements promulgated under the IRA or the OBBBA are interpreted. If Internal Revenue Service guidance regarding implementation of the IRA or the OBBBA is viewed by investors as unclear, tax credit financing may be delayed or downsized, harming our ability to secure financing for customers. Our failure to either (i) interpret the new requirements under the IRA and the OBBBA regarding among other things, timing of construction, prevailing wage, apprenticeship, domestic content, siting in an “energy community,” accurately or (ii) adequately update our supply-chain, manufacturing, installation, and record-keeping processes to meet such requirements, may result a partial or full reduction in the related U.S. federal tax benefit, and our customers, financiers and shareholders may require us to indemnify them for certain of such reductions.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these companies will make our common stock less attractive to investors.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apply to other public companies that are not emerging growth companies, including:</w:t>
      </w:r>
    </w:p>
    <w:p>
      <w:pPr>
        <w:spacing w:after="0" w:line="176" w:lineRule="exact"/>
        <w:rPr>
          <w:sz w:val="20"/>
          <w:szCs w:val="20"/>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regarding mandatory audit firm rotation or a supplement to the auditor’s report providing additional information about the audit and the financial statements;</w:t>
      </w:r>
    </w:p>
    <w:p>
      <w:pPr>
        <w:spacing w:after="0" w:line="17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be different from companies that comply with the new or revised accounting pronouncements as of public company effective dates.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at least $1.235 billion in total annual gross revenues;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as defined in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which generally would allow us to continue to take advantage of many of the same exemptions from disclosure requirements, including providing only two years of audited financial statements, not being required to comply with the auditor attestation requirements of Section 404 of the Sarbanes-Oxley Act and reduced disclosure obligations regarding executive compensation our periodic reports and proxy statements, unless we are also an accelerated filer, in which case different requirements will apply.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If some investors find our common stock less attractive as a result, there may be a less active trading market for our securities and the trading price of our securities may be more volatile.</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conditions in our domestic and international markets, as well as inflation concerns, instability of financial institutions, rising interest rates, and recessionary concerns may adversely affect our industry, business and financial results.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depends on the overall demand for our solar energy products and on the economic health and willingness of our customers and potential customers to purchase our products and services. As a result of macroeconomic or market uncertainty, including inflation concerns, rising interest rates, recessionary concerns, and geopolitical conflicts, customers may decide to delay purchasing our products and services or not purchase at all. In addition, a number of the risks associated with our business, which are disclosed in these risk factors, may increase in likelihood, magnitude or duration, and we may face new risks that we have not yet identified.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past, unfavorable macroeconomic and market conditions have resulted in sustained periods of decreased demand. Macroeconomic and market conditions could be adversely affected by a variety of political, economic or other factors in the U.S. and international markets, which could, in turn, adversely affect spending levels of installers and end users and could create volatility or deteriorating conditions in the markets in which we operate. Macroeconomic uncertainty or weakness could result in:</w:t>
      </w:r>
    </w:p>
    <w:p>
      <w:pPr>
        <w:spacing w:after="0" w:line="180" w:lineRule="exact"/>
        <w:rPr>
          <w:sz w:val="20"/>
          <w:szCs w:val="20"/>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demand for our products as a result of constraints on spending for solar energy systems by our customers and/or a reduction in government subsidies for renewable energy investments;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 competition for our products that may adversely affect revenue, gross margin and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any disadvantageous trade regulations and import duties and tariffs;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ability to forecast operating results and make decisions about budgeting, planning and future investments;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popularity of solar energy as a green energy solution;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financial difficulties faced by our suppliers or other partners, including impacts to material costs, sales, liquidity levels, ability to continue investing in their businesses, ability to import or export goods, ability to meet development commitments and manufacturing capability;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overhead and production costs as a percentage of revenue.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Reductions in customer spending in response to unfavorable or uncertain macroeconomic and market conditions, globally or in a particular region where we operate, would adversely affect our business, results of operations and financial condition.</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Existing regulations and policies, including trade policies and tariffs, and changes to these regulations and policies, including changes to trade policies and tariffs, may present technical, regulatory, and economic barriers to the purchase and use of solar power products, which may significantly reduce demand for our products and services.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market for electric generation products is heavily influenced by federal, state and local government laws, geopolitical forces (such as trade policies and tariffs), regulations and policies concerning the electric utility industry in the U.S. and abroad, as well as policies promulgated by electric utilities. These regulations and policies often relate to electricity pricing and technical interconnection of customer-owned electricity generation, and trade and policy changes that make solar power less competitive with other power sources could deter investment in the research and development of alternative energy sources as well as customer purchases of solar power technology, which could in turn result in a significant reduction in the demand for our solar power products. The market for electric generation equipment is also influenced by geopolitics, trade and local content laws, policies and tariffs, regulations and policies that can discourage growth and competition in the solar industry and create economic barriers to the purchase of solar power products, thus reducing demand for our solar products. In addition, on-grid applications depend on access to the grid, which is also regulated by government entities. We anticipate that our solar power products and our installation will continue to be subject to oversight and regulation in accordance with federal, state, local and foreign regulations relating to construction, safety, environmental protection, utility interconnection and metering, trade, and related matters. It is difficult to track the requirements of individual states or local jurisdictions and design equipment to comply with the varying standards. In addition, the U.S. and European Union, among others, have imposed tariffs or are in the process of evaluating the imposition of tariffs on solar panels, solar cells, polysilicon, and potentially other components. These and any other tariffs or similar taxes or duties may increase the price of our solar products and adversely affect our cost reduction roadmap, which could harm our results of operations and financial condition. We cannot predict what actions may be taken by the United States or other countries with respect to trade policies and tariffs or with respect to other policies and incentives that impact the solar industry, or that promote other forms of energy production over the solar industry. Any new regulations or policies pertaining our solar power products may result in significant additional expenses for our customers, which could cause a significant reduction in demand for our solar power products.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net metering and related policies to offer competitive pricing to customers in many of our current markets and changes to net metering policies may significantly reduce demand for electricity from residential solar energy systems.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metering is one of several key policies that have enabled the growth of distributed generation solar energy systems in the U.S., providing significant value to customers for electricity generated by their residential solar energy systems but not directly consumed on-site. Net metering allows a homeowner to pay his or her local electric utility for power usage net of production from the solar energy system or other distributed generation source. Homeowners receive a credit for the energy an interconnected solar energy system generates in excess of that needed by the home to offset energy purchases from the centralized utility made at times when the solar energy system is not generating sufficient energy to meet the customer’s demand. In many markets, this credit is equal to the residential retail rate for electricity and in other markets, such as Hawaii and Nevada, the rate is less than the retail rate and may be set, for example, as a percentage of the retail rate or based upon a valuation of the excess electricity. In some states and utility territories, customers are also reimbursed by the centralized electric utility for net excess generation on a periodic basis.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metering programs have been subject to legislative and regulatory scrutiny in some states and territories including, but not limited to, California, New Jersey, Arizona, Nevada, Connecticut, Florida, Maine, Kentucky, Puerto Rico and Guam. These jurisdictions, by statute, regulation, administrative order or a combination thereof, have recently adopted or are considering new restrictions and additional changes to net metering programs either on a state-wide basis or within specific utility territories. Many of these measures were introduced and supported by centralized electric utilities. These measures vary by jurisdiction and may include a reduction in the rates or value of the credits customers are paid or receive for the power they deliver back to the electrical grid, caps or limits on the aggregate installed capacity of generation in a state or utility territory eligible for net metering, expiration dates for and phasing out of net metering programs, replacement of net metering programs with alternative programs that may provide less compensation and limits on the capacity size of individual distributed generation systems that can qualify for net metering. Net metering and related policies concerning distributed generation also received attention from federal legislators and regulators.</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California, the California Public Utilities Commission (“</w:t>
      </w:r>
      <w:r>
        <w:rPr>
          <w:rFonts w:ascii="Times New Roman" w:cs="Times New Roman" w:eastAsia="Times New Roman" w:hAnsi="Times New Roman"/>
          <w:sz w:val="18"/>
          <w:szCs w:val="18"/>
          <w:b w:val="1"/>
          <w:bCs w:val="1"/>
          <w:color w:val="auto"/>
        </w:rPr>
        <w:t>CPUC</w:t>
      </w:r>
      <w:r>
        <w:rPr>
          <w:rFonts w:ascii="Times New Roman" w:cs="Times New Roman" w:eastAsia="Times New Roman" w:hAnsi="Times New Roman"/>
          <w:sz w:val="18"/>
          <w:szCs w:val="18"/>
          <w:color w:val="auto"/>
        </w:rPr>
        <w:t>”) issued an order in 2016 retaining retail-based net metering credits for residential customers of California’s major utilities as part of Net Energy Metering 2.0 (“</w:t>
      </w:r>
      <w:r>
        <w:rPr>
          <w:rFonts w:ascii="Times New Roman" w:cs="Times New Roman" w:eastAsia="Times New Roman" w:hAnsi="Times New Roman"/>
          <w:sz w:val="18"/>
          <w:szCs w:val="18"/>
          <w:b w:val="1"/>
          <w:bCs w:val="1"/>
          <w:color w:val="auto"/>
        </w:rPr>
        <w:t>NEM 2.0</w:t>
      </w:r>
      <w:r>
        <w:rPr>
          <w:rFonts w:ascii="Times New Roman" w:cs="Times New Roman" w:eastAsia="Times New Roman" w:hAnsi="Times New Roman"/>
          <w:sz w:val="18"/>
          <w:szCs w:val="18"/>
          <w:color w:val="auto"/>
        </w:rPr>
        <w:t>”). Under NEM 2.0, new distributed generation customers receive the retail rate for electricity exported to the grid, less certain non-by passable fees. Customers under NEM 2.0 also are subject to interconnection charges and time-of-use rates. Existing customers who receive service under the prior net metering program, as well as new customers under the NEM 2.0 program, currently are permitted to remain covered by them on a legacy basis for a period of 20 years. On September 3, 2020, the CPUC opened a new proceeding to review its current net metering policies and to develop Net Energy Metering 3.0 (“</w:t>
      </w:r>
      <w:r>
        <w:rPr>
          <w:rFonts w:ascii="Times New Roman" w:cs="Times New Roman" w:eastAsia="Times New Roman" w:hAnsi="Times New Roman"/>
          <w:sz w:val="18"/>
          <w:szCs w:val="18"/>
          <w:b w:val="1"/>
          <w:bCs w:val="1"/>
          <w:color w:val="auto"/>
        </w:rPr>
        <w:t>NEM 3.0</w:t>
      </w:r>
      <w:r>
        <w:rPr>
          <w:rFonts w:ascii="Times New Roman" w:cs="Times New Roman" w:eastAsia="Times New Roman" w:hAnsi="Times New Roman"/>
          <w:sz w:val="18"/>
          <w:szCs w:val="18"/>
          <w:color w:val="auto"/>
        </w:rPr>
        <w:t>”), also referred to by the CPUC as the NEM 2.0 successor tariff. NEM 3.0 was finalized on December 15, 2022 and includes several changes from previous net metering plans. The changes instituted by NEM 3.0 impacted the amount that homeowners with solar power will be able to recuperate when selling excess energy back to the utility grid. With NEM 3.0, the value of the credits for net exports are tied to the state’s Distributed Energy Resources Avoided Cost Calculator Documentation (“</w:t>
      </w:r>
      <w:r>
        <w:rPr>
          <w:rFonts w:ascii="Times New Roman" w:cs="Times New Roman" w:eastAsia="Times New Roman" w:hAnsi="Times New Roman"/>
          <w:sz w:val="18"/>
          <w:szCs w:val="18"/>
          <w:b w:val="1"/>
          <w:bCs w:val="1"/>
          <w:color w:val="auto"/>
        </w:rPr>
        <w:t>ACC</w:t>
      </w:r>
      <w:r>
        <w:rPr>
          <w:rFonts w:ascii="Times New Roman" w:cs="Times New Roman" w:eastAsia="Times New Roman" w:hAnsi="Times New Roman"/>
          <w:sz w:val="18"/>
          <w:szCs w:val="18"/>
          <w:color w:val="auto"/>
        </w:rPr>
        <w:t>”). Another significant change with NEM 3.0 relates to the netting period: the time period over which the utilities measure the clean energy being imported or exported. In general, longer netting periods have typically been advantageous for solar power customers because production can offset any consumption. NEM 3.0 will instead measure energy using instantaneous netting, which means interval netting approximately every 15 minutes. This will lead to more NEM customers’ electricity registering as exports, now valued at the new, lower ACC value. Overall, the institution on NEM 3.0 has resulted in a smaller market for residential solar systems and it is not certain that market conditions will improve or that NEM 3.0 will be amended or replaced with a more solar-friendly rate structure. Other states may adopt policies similar to NEM 3.0 that cause deterioration to other residential solar markets.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shortage, delay or component price change from these suppliers or delays and price increases associated with the product transport logistics could result in sales and installation delays, cancellations and loss of market share.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purchase solar panels, inverters and other system components from a number of suppliers for certain components; however, we may be susceptible to quality issues, shortages and price changes. If we fail to develop, maintain and expand relationships with existing or new suppliers, we may be unable to adequately meet anticipated demand for our solar energy systems or may only be able to offer our systems at higher costs or after delays. If one or more of the suppliers that we rely upon to meet anticipated demand ceases or reduces production, we may be unable to satisfy this demand due to an inability to quickly identify alternate suppliers or to qualify alternative products on commercially reasonable terms.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particular, there are a limited number of inverter and battery suppliers. Once we design a system for use with a particular inverter or battery, if that type of inverter or battery is not readily available at an anticipated price, we may incur additional delay and expense to redesign the system and source alternative inventory.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production of solar panels involves the use of numerous raw materials and components. Several of these have experienced periods of limited availability, particularly polysilicon, as well as indium, cadmium telluride, aluminum and copper. The manufacturing infrastructure for some of these raw materials and components has a long lead time, requires significant capital investment and relies on the continued availability of key commodity materials, potentially resulting in an inability to meet demand for these components. The prices for these raw materials and components fluctuate depending on global market conditions and demand and we may experience rapid increases in costs or sustained periods of limited supplies.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Despite efforts to obtain components from multiple sources whenever possible, many suppliers may be single-source suppliers of certain components. If we cannot maintain long-term supply agreements or identify and qualify multiple sources for components, access to supplies at satisfactory prices, volumes and quality levels may be harmed. We may also experience delivery delays of components from suppliers in various global locations. In addition, while there are alternative suppliers and service providers that we could enter into agreements with to replace our suppliers on commercially reasonable terms, we may be unable to establish alternate supply relationships or obtain or engineer replacement components in the short term, or at all, at favorable prices or costs. Qualifying alternate suppliers or developing our own replacements for certain components may be time-consuming and costly and may force us to make modifications to our product designs.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need to purchase supplies globally and our continued international expansion further subjects us to risks relating to currency fluctuations. Any decline in the exchange rate of the U.S. dollar compared to the functional currency of component suppliers could increase component prices. In addition, the state of the financial markets could limit suppliers’ ability to raise capital if they are required to expand their production to meet our needs or satisfy our operating capital requirements. Changes in economic and business conditions, wars, governmental changes and other factors beyond our control or which we do not presently anticipate, could also affect suppliers’ solvency and ability to deliver components on a timely basis. Any of these shortages, delays or price changes could limit our growth, cause cancellations or adversely affect profitability and the ability to compete in the markets in which we operate effectively.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 substantially focuses on solar service agreements and transactions with residential customers.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substantially focuses on solar service agreements and transactions with residential customers. Our energy system sales to homeowners utilize power purchase agreements (“</w:t>
      </w:r>
      <w:r>
        <w:rPr>
          <w:rFonts w:ascii="Times New Roman" w:cs="Times New Roman" w:eastAsia="Times New Roman" w:hAnsi="Times New Roman"/>
          <w:sz w:val="18"/>
          <w:szCs w:val="18"/>
          <w:b w:val="1"/>
          <w:bCs w:val="1"/>
          <w:color w:val="auto"/>
        </w:rPr>
        <w:t>PPAs</w:t>
      </w:r>
      <w:r>
        <w:rPr>
          <w:rFonts w:ascii="Times New Roman" w:cs="Times New Roman" w:eastAsia="Times New Roman" w:hAnsi="Times New Roman"/>
          <w:sz w:val="18"/>
          <w:szCs w:val="18"/>
          <w:color w:val="auto"/>
        </w:rPr>
        <w:t>”), leases, loans and other products and services. We currently offer PPAs and leases through Goodleap LLC, LightReach, EverBright, LLC, Dividend Solar Loan Company and other financial institutions. If we were unable to arrange new or alternative financing methods for PPAs and leases on favorable terms, our business, financial condition, results of operations, and prospects could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operations and growth effectively, we may be unable to execute our business plan, maintain high levels of customer service or adequately address competitive challenges.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experienced significant growth in recent periods (including through the integration of acquired companies) as measured by our number of customers, and we intend to continue efforts to expand our business within existing and new markets. This growth (including these integration activities) has placed, and any future growth may place, a strain on management, operational and financial infrastructure. Our growth requires our management to devote a significant amount of time and effort to maintain and expand relationships with customers, dealers and other third parties, attract new customers and dealers, arrange financing for growth and manage expansion into additional markets.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current and planned operations, personnel, information technology and other systems and procedures might need to be revised to support future growth and may require us to make additional unanticipated investments in its infrastructure. Our success and ability to further scale our business will depend, in part, on our ability to manage these changes in a cost-effective and efficient manner.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cannot manage operations and growth, we may be unable to meet expectations regarding growth, opportunity and financial targets,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our operations and growth could adversely impact our reputation, business, financial condition, cash flows and results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and may be unable to achieve or sustain profitability in the future.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incurred net losses in the past, including a net loss from continuing operations of $44.3 million in the fiscal year ended December 28, 2025, and we have an accumulated deficit of $456.7 million as of December 28, 2025. Additionally, as of December 28, 2025, we had current indebtedness of $24.3 million and long-term indebtedness, including derivative liabilities, net of current of $155.3 million. We will continue to incur net losses as spending increases to finance the expansion of operations, installation, engineering, administrative, sales and marketing staffs, spending increases on brand awareness and other sales and marketing initiatives and implement internal systems and infrastructure to support the Company’s growth. We do not know whether revenue will grow rapidly enough to absorb these costs, and our limited operating history makes it difficult to assess the extent of these expenses or their impact on results of operations. Our ability to achieve profitability depends on a number of factors, including but not limited to:</w:t>
      </w:r>
    </w:p>
    <w:p>
      <w:pPr>
        <w:spacing w:after="0" w:line="189"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the customer base;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or further lowering the cost of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cost of components for our solar service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and maintaining our sales partner network;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direct-to-consumer and New Homes business to scale;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operating costs by lowering customer acquisition costs and optimizing our design and installation processes and supply chain logistics.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 if we do achieve profitability, we may be unable to sustain or increase profitability in the future.</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material drop in the retail price of utility-generated electricity or electricity from other sources could adversely impact our ability to attract customers, which would harm our business, financial condition, and results of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a homeowner’s decision to buy solar energy from us is primarily driven by a desire to lower electricity costs. Decreases in the retail prices of electricity from utilities or other energy sources would harm our ability to offer competitive pricing and could harm its business. The price of electricity from utilities could decrease as a result of:</w:t>
      </w:r>
    </w:p>
    <w:p>
      <w:pPr>
        <w:spacing w:after="0" w:line="176" w:lineRule="exact"/>
        <w:rPr>
          <w:sz w:val="20"/>
          <w:szCs w:val="20"/>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a significant number of new power generation plants, including nuclear, coal, natural gas or renewable energy technologies;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additional electric transmission and distribution lines;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price of natural gas or other natural resources as a result of new drilling techniques or other technological developments, a relaxation of associated regulatory standards, or broader economic or policy developments;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conservation technologies and public initiatives to reduce electricity consumption;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subsidies impacting electricity prices, including in connection with electricity generation and transmission;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energy technologies that provide less expensive energy.</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reduction in utility electricity prices would make the purchase of our solar service offerings less attractive. If the retail price of energy available from utilities were to decrease due to any of these or other reasons, we would be at a competitive disadvantage. As a result, we may be unable to attract new homeowners and growth would be limited.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both traditional energy companies and renewable energy companies.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solar energy and renewable energy industries are both highly competitive and continually evolving as participants strive to distinguish themselves within their markets and compete with large utilities. Our primary competitors are the traditional utilities that supply energy to potential customers. We compete with these utilities primarily based on price, predictability of price and the ease by which customers can switch to electricity generated by our solar energy systems. If we cannot offer compelling value to its customers based on these factors, then our business will not grow. Utilities generally have substantially greater financial, technical, operational and other resources than us. As a result of their greater size, these competitors may be able to devote more resources to the research, development, promotion and sale of their products or respond more quickly to evolving industry standards and changes in market conditions than we can. Utilities could also offer other value added products and services that could help them compete with us even if the cost of electricity they offer is higher than ours. In addition, utilities’ diversified generation portfolios may allow utilities to sell electricity more cheaply than electricity generated by our solar energy systems.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depends on the widespread adoption of solar power technology.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distributed residential solar energy market is at a relatively early stage of development compared to fossil fuel-based electricity generation. If additional demand for distributed residential solar energy systems fails to develop sufficiently or takes longer to develop than we anticipate, the Company may be unable to originate additional solar service agreements and related solar energy systems and energy storage systems to grow the business. In addition, demand for solar energy systems and energy storage systems in our targeted markets may not develop to the extent it anticipates. As a result, we may need to successfully broaden our customer base through origination of solar service agreements and related solar energy systems and energy storage systems within its current markets or in new markets we may enter.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Many factors may affect the demand for solar energy systems, including, but not limited to, the following:</w:t>
      </w:r>
    </w:p>
    <w:p>
      <w:pPr>
        <w:spacing w:after="0" w:line="225" w:lineRule="exact"/>
        <w:rPr>
          <w:sz w:val="20"/>
          <w:szCs w:val="20"/>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substance and magnitude of solar support programs including government targets, subsidies, incentives, renewable portfolio standards and residential net metering rules;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pricing of other conventional and non-renewable energy sources, such as natural gas, coal, oil and other fossil fuels, wind, utility-scale solar, nuclear, geothermal and biomass;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reliability and availability of energy generated by solar energy systems compared to conventional and other non-solar renewable energy sources;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performance of energy storage technology, the ability to implement such technology for use in conjunction with solar energy systems and the cost competitiveness such technology provides to customers as compared to costs for those customers reliant on the conventional electrical grid;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level of interest rates.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residential solar energy industry is constantly evolving, which makes it difficult to evaluate our prospects. We cannot be certain if historical growth rates reflect future opportunities or its anticipated growth will be realized. The failure of distributed residential solar energy to achieve, or its being significantly delayed in achieving, widespread adoption could have a material adverse effect on our business, financial condition and results of operations.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seasonal trends, poor weather, labor shortages, and construction cycles.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subject to significant industry-specific seasonal fluctuations. In the U.S., many customers make purchasing decisions towards the end of the year in order to take advantage of tax credits and residential solar sales tend to decline during the winter months. In addition, sales in the new home development market are often tied to construction market demands, which tend to follow national trends in construction, including declining sales during cold weather months.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terrorist activities, political unrest, economic volatility, and other outbreaks could disrupt our delivery and operations, which could materially and adversely affect our business, financial condition,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Global pandemics or fear of spread of contagious diseases, such as Ebola virus disease (EVD), coronavirus disease 2019 (COVID-19), Middle East respiratory syndrome (MERS), severe acute respiratory syndrome (SARS), H1N1 flu, H7N9 flu, avian flu and monkeypox, as well as hurricanes, earthquakes, tsunamis, or other natural disasters could disrupt our business operations, reduce or restrict operations and services, incur significant costs to protect its employees and facilities, or result in regional or global economic distress, which may materially and adversely affect business, financial condition, and results of operations. Actual or threatened war, terrorist activities, political unrest, civil strife, future disruptions in access to bank deposits or lending commitments due to bank failures and other geopolitical uncertainty could have a similar adverse effect on our business, financial condition, and results of operations. On February 24, 2022, the Russian Federation launched an invasion of Ukraine that has had an immediate impact on the global economy resulting in higher energy prices and higher prices for certain raw materials and goods and services which in turn is contributing to higher inflation in the U.S. and other countries across the globe with significant disruption to financial markets. Any one or more of these events may impede our operation and delivery efforts and adversely affect sales results, or even for a prolonged period of time, which could materially and adversely affect our business, financial condition, and results of operations. We cannot predict the full effects the supply chain constraints will have on our business, cash flows, liquidity, financial condition and results of operations at this time due to numerous uncertainties.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 of customers and our finance partners, and payment delinquencies on accounts receivables.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Defaults by customers and the financial institutions that fund some of our customers’ solar systems have not been material to date, but we expect that the risk of customer defaults or financial partner defaults may increase as we grow our business. For example, Sunnova Energy International, Inc. (“Sunnova”), a major provider of financing for solar systems, announced that substantial doubt exists regarding its ability to continue as a going concern. While the Company does not use Sunnova for any of its customer financing, if any of our financing partners experience liquidity concerns or stop funding projects, we may incur significant losses or project delays. If any of our customers are unable to make milestone payments on systems purchased in cash, our revenue and costs could be adversely affected. If economic conditions worsen, certain of our customers or finance partners may face liquidity concerns and may be unable to satisfy their payment obligations to us on a timely basis or at all, which could have a material adverse effect on our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past or future acquisitions, including the transactions under the asset purchase agreement with the SunPower Debtors, the Sunder Acquisition, the Ambia Acquisition, and the Cobalt Acquisition and integration of these acquisitions may disrupt our business.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2022, we acquired The Solaria Corporation (“Solaria”), after which Complete Solar was renamed “Complete Solaria, Inc.” In October 2023, we subsequently sold solar panel assets of Solaria, including intellectual property and customer contracts, to Maxeon Solar Technologies, Ltd., which resulted in an impairment loss of $147.5 million and loss on disposal of $1.8 million. On September 30, 2024, we completed the acquisition of the Acquired SunPower Assets under the APA with the SunPower Debtors, which resulted in our acquisition of the SunPower Businesses and a significant expansion of our business operations and headcount. On September 21, 2025, we entered into an agreement to acquire Sunder and completed the Sunder Acquisition effective September 24, 2025. On November 21, 2025, we entered into an agreement to acquire Ambia and completed the Ambia Acquisition on November 21, 2025. We completed the acquisition of Cobalt on February 2, 2026. In the future, we may acquire additional companies, project pipelines, products, or technologies, or enter into joint ventures or other strategic initiatives. Our ability as an organization to integrate acquisitions is unproven. We may not realize the anticipated benefits of our acquisitions or any other future acquisition or the acquisition may be viewed negatively by customers, financial markets or investors.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acquisition has numerous risks, including, but not limited to, the following:</w:t>
      </w:r>
    </w:p>
    <w:p>
      <w:pPr>
        <w:spacing w:after="0" w:line="225"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assimilating the operations and personnel of the acquired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effectively integrating the acquired technologies or products with current products and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controls, procedures and policies during the transition and integration;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ongoing business and distraction of management and employees from other opportunities and challenges due to integration issues;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acquired company’s accounting, management information and other administrative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technical and managerial personnel of the acquired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customers, vendors, and other business partners of the acquired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financial and strategic goals for the acquired and combined businesses;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acquisition-related costs or amortization costs for acquired intangible assets that could impact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due diligence processes to identify significant issues with product quality, legal and financial liabilities, among other things;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assert that internal controls over financial reporting are effective;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obtain in a timely manner, approvals from governmental authorities, which could delay or prevent such acquisitions.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rebuild trust with home builders due to the bankruptcy of the SunPower Debtors.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advantageous financing arrangements with financiers in order to pass the saving on to customers.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file claims against other parties for infringing its intellectual property that may be costly and may not be resolved in 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favor.</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protect our intellectual property rights and to maintain competitive advantage, we have filed, and may continue to file, suits against parties we believe infringe or misappropriate our intellectual property. Intellectual property litigation is expensive and time-consuming, could divert management’s attention from our business, and could have a material adverse effect on our business, operating results, or financial condition, and our enforcement efforts may not be successful. In addition, the validity of our patents may be challenged in such litigation. Our participation in intellectual property enforcement actions may negatively impact our financial results.</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technology or improvements in distributed solar energy generation and related technologies or components may materially adversely affect demand for our offerings.</w:t>
      </w:r>
    </w:p>
    <w:p>
      <w:pPr>
        <w:spacing w:after="0" w:line="15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Significant developments in technology, such as advances in distributed solar power generation, energy storage solutions such as batteries, energy storage management systems, the widespread use or adoption of fuel cells for residential or commercial properties or improvements in other forms of distributed or centralized power production may materially and adversely affect demand for our offerings and otherwise affect our business. Future technological advancements may result in reduced prices to consumers or more efficient solar energy systems than those available today, either of which may result in current customer dissatisfaction. We may not be able to adopt these new technologies as quickly as its competitors or on a cost-effective basis.</w:t>
      </w:r>
    </w:p>
    <w:p>
      <w:pPr>
        <w:spacing w:after="0" w:line="1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recent technological advancements may impact our business in ways not currently anticipated. Any failure by us to adopt or have access to new or enhanced technologies or processes, or to react to changes in existing technologies, could result in product obsolescence or the loss of competitiveness of and decreased consumer interest in its solar energy services, which could have a material adverse effect on its business, financial condition and results of operations.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data protection laws. Many of these laws and regulations are subject to change and uncertain interpretation and could result in claims, increased cost of operations or otherwise harm its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Consumer personal privacy and data security have become significant issues and the subject of rapidly evolving regulation in the U.S. Furthermore, federal, state and local government bodies or agencies have in the past adopted, and may in the future adopt, more laws and regulations affecting data privacy. For example, the state of California enacted the California Consumer Privacy Act of 2018 (“</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and California voters recently approved the California Privacy Rights Act (“</w:t>
      </w:r>
      <w:r>
        <w:rPr>
          <w:rFonts w:ascii="Times New Roman" w:cs="Times New Roman" w:eastAsia="Times New Roman" w:hAnsi="Times New Roman"/>
          <w:sz w:val="18"/>
          <w:szCs w:val="18"/>
          <w:b w:val="1"/>
          <w:bCs w:val="1"/>
          <w:color w:val="auto"/>
        </w:rPr>
        <w:t>CPRA</w:t>
      </w:r>
      <w:r>
        <w:rPr>
          <w:rFonts w:ascii="Times New Roman" w:cs="Times New Roman" w:eastAsia="Times New Roman" w:hAnsi="Times New Roman"/>
          <w:sz w:val="18"/>
          <w:szCs w:val="18"/>
          <w:color w:val="auto"/>
        </w:rPr>
        <w:t>”). The CCPA creates individual privacy rights for consumers and places increased privacy and security obligations on entities handling the personal data of consumers or households. The CCPA went into effect in January 2020 and it requires covered companies to provide new disclosures to California consumers, provides such consumers, business-to-business contacts and employees new ways to opt-out of certain sales of personal information, and allows for a new private right of action for data breaches. The CPRA modifies the CCPA and imposes additional data protection obligations on companies doing business in California, including additional consumer rights processes and opt outs for certain uses of sensitive data. The CCPA and the CPRA may significantly impact the Company’s business activities and require substantial compliance costs that adversely affect its business, operating results, prospects and financial condition. To date, we have not experienced substantial compliance costs in connection with fulfilling the requirements under the CCPA or CPRA. However, we cannot be certain that compliance costs will not increase in the future with respect to the CCPA and CPRA or any other recently passed consumer privacy regulation.</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Outside the U.S., an increasing number of laws, regulations, and industry standards may govern data privacy and security. For example, the European Union’s General Data Protection Regulation (“</w:t>
      </w:r>
      <w:r>
        <w:rPr>
          <w:rFonts w:ascii="Times New Roman" w:cs="Times New Roman" w:eastAsia="Times New Roman" w:hAnsi="Times New Roman"/>
          <w:sz w:val="18"/>
          <w:szCs w:val="18"/>
          <w:b w:val="1"/>
          <w:bCs w:val="1"/>
          <w:color w:val="auto"/>
        </w:rPr>
        <w:t>EU GDPR</w:t>
      </w:r>
      <w:r>
        <w:rPr>
          <w:rFonts w:ascii="Times New Roman" w:cs="Times New Roman" w:eastAsia="Times New Roman" w:hAnsi="Times New Roman"/>
          <w:sz w:val="18"/>
          <w:szCs w:val="18"/>
          <w:color w:val="auto"/>
        </w:rPr>
        <w:t>”) and the United Kingdom’s GDPR (“</w:t>
      </w:r>
      <w:r>
        <w:rPr>
          <w:rFonts w:ascii="Times New Roman" w:cs="Times New Roman" w:eastAsia="Times New Roman" w:hAnsi="Times New Roman"/>
          <w:sz w:val="18"/>
          <w:szCs w:val="18"/>
          <w:b w:val="1"/>
          <w:bCs w:val="1"/>
          <w:color w:val="auto"/>
        </w:rPr>
        <w:t>UK GDPR</w:t>
      </w:r>
      <w:r>
        <w:rPr>
          <w:rFonts w:ascii="Times New Roman" w:cs="Times New Roman" w:eastAsia="Times New Roman" w:hAnsi="Times New Roman"/>
          <w:sz w:val="18"/>
          <w:szCs w:val="18"/>
          <w:color w:val="auto"/>
        </w:rPr>
        <w:t>”)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Non-compliance with the UK GDPR may result in substantially similar adverse consequences to those in relation to the EU GDPR, including monetary penalties of up to £17.5 million or 4% of worldwide revenue, whichever is higher.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w:t>
      </w:r>
      <w:r>
        <w:rPr>
          <w:rFonts w:ascii="Times New Roman" w:cs="Times New Roman" w:eastAsia="Times New Roman" w:hAnsi="Times New Roman"/>
          <w:sz w:val="18"/>
          <w:szCs w:val="18"/>
          <w:b w:val="1"/>
          <w:bCs w:val="1"/>
          <w:color w:val="auto"/>
        </w:rPr>
        <w:t>EEA</w:t>
      </w:r>
      <w:r>
        <w:rPr>
          <w:rFonts w:ascii="Times New Roman" w:cs="Times New Roman" w:eastAsia="Times New Roman" w:hAnsi="Times New Roman"/>
          <w:sz w:val="18"/>
          <w:szCs w:val="18"/>
          <w:color w:val="auto"/>
        </w:rPr>
        <w:t>”) and the United Kingdom have significantly restricted the transfer of personal data to the U.S. and other countries whose privacy laws it believes are not adequate. Other jurisdictions may adopt similarly stringent interpretations of their data localization and cross- border data transfer laws. Although there are currently various mechanisms that may be used to transfer personal data from the EEA and UK to the U.S. in compliance with law, such as the EEA and UK’s standard contractual clauses, these mechanisms are subject to legal challenges, and there is no assurance that the Company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its operations, the need to relocate part of or all of its business or data processing activities to other jurisdictions at significant expense, increased exposure to regulatory actions, substantial fines and penalties, the inability to transfer data and work with partners, vendors and other third parties, and injunctions against its processing or transferring of personal data necessary to operate its business. Some European regulators have ordered certain companies to suspend or permanently cease certain transfers out of Europe for allegedly violating the EU GDPR’s cross-border data transfer limitations.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our business may limit the use and adoption of, and reduce the overall demand for, its solutions. If we are not able to adjust to changing laws, regulations and standards related to privacy or security, our business may be harmed.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receive, store and use personal information of customers, including names, addresses, e-mail addresses, and other housing and energy use information. We also store information of dealers, including employee, financial and operational information. We rely on the availability of data collected from customers and dealers in order to manage our business and market our offerings. We take certain steps in an effort to protect the security, integrity and confidentiality of the personal information collected, stored or transmitted, but there is no guarantee inadvertent or unauthorized use or disclosure will not occur or third parties will not gain unauthorized access to this information despite our efforts. Although we take precautions to provide for disaster recovery, our ability to recover systems or data may be expensive and may interfere with normal operations. Also, although we obtain assurances from such third parties that they will use reasonable safeguards to secure their systems, we may be adversely affected by unavailability of their systems or unauthorized use or disclosure or its data maintained in such systems. Because techniques used to obtain unauthorized access or sabotage systems change frequently and generally are not identified until they are launched against a target, our suppliers or vendors and our dealers may be unable to anticipate these techniques or to implement adequate preventative or mitigation measures.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Cyberattacks in particular are becoming more sophisticated and include, but are not limited to, malicious software, attempts to gain unauthorized access to data and other electronic security breaches that could lead to disruptions in critical systems, disruption of customers’ operations, loss or damage to data delivery systems, unauthorized release of confidential or otherwise protected information, corruption of data and increased costs to prevent, respond to or mitigate cybersecurity events. In addition, certain cyber incidents, such as advanced persistent threats, may remain undetected for an extended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Unauthorized use, disclosure of or access to any personal information maintained by us or on the behalf of us, whether through breach of our systems, breach of the systems of our suppliers, vendors or dealers by an unauthorized party or through employee or contractor error, theft or misuse or otherwise, could harm our business. If any such unauthorized use, disclosure of or access to such personal information were to occur, our operations could be seriously disrupted and we could be subject to demands, claims and litigation by private parties and investigations, related actions and penalties by regulatory authorities.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could incur significant costs in notifying affected persons and entities and otherwise complying with the multitude of federal, state and local laws and regulations relating to the unauthorized access to, use of or disclosure of personal information. Finally, any perceived or actual unauthorized access to, use of or disclosure of such information could harm our reputation, substantially impair our business, financial condition and results of operations. While we currently maintain cybersecurity insurance, such insurance may not be sufficient to cover against claims, and we cannot be certain that cyber insurance will continue to be available on economically reasonable terms, or at all, or that any insurer will not deny coverage as to any future claim.</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laws and regulations relating to interactions by the Company or its dealers with current or prospective residential customers, it could result in negative publicity, claims, investigations and litigation and adversely affect financial performance.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substantially focuses on home improvement contracts for the installation of solar systems for residential customers. We offer leases, loans and other products and services directly to consumers and through sales partners in our dealer networks, who utilize sales people employed by or engaged as third-party service providers of such contractors. We and our dealers must comply with numerous federal, state and local laws and regulations that govern matters relating to interactions with residential consumers, including those pertaining to consumer protection, marketing and sales, privacy and data security, consumer financial and credit transactions, mortgages and refinancings, home improvement contracts, warranties and various means of customer solicitation, including under the laws described below in “</w:t>
      </w:r>
      <w:r>
        <w:rPr>
          <w:rFonts w:ascii="Times New Roman" w:cs="Times New Roman" w:eastAsia="Times New Roman" w:hAnsi="Times New Roman"/>
          <w:sz w:val="18"/>
          <w:szCs w:val="18"/>
          <w:i w:val="1"/>
          <w:iCs w:val="1"/>
          <w:color w:val="auto"/>
        </w:rPr>
        <w:t>As sales to residential customers have grown, we have increasingly become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substantial financing and consumer protection laws and regulations.</w:t>
      </w:r>
      <w:r>
        <w:rPr>
          <w:rFonts w:ascii="Times New Roman" w:cs="Times New Roman" w:eastAsia="Times New Roman" w:hAnsi="Times New Roman"/>
          <w:sz w:val="18"/>
          <w:szCs w:val="18"/>
          <w:color w:val="auto"/>
        </w:rPr>
        <w:t>” These laws and regulations are dynamic and subject to potentially differing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interpretations and various federal, state and local legislative and regulatory bodies may initiate investigations, expand current laws or regulations, or enact new laws and regulations regarding these matters. Changes in these laws or regulations or their interpretation could dramatically affect how we and our dealers do business, acquire customers and manage and use information collected from and about current and prospective customers and the costs associated therewith. We and our dealers strive to comply with all applicable laws and regulations relating to interactions with residential customers. It is possible, however, that these requirements may be interpreted and applied in a manner inconsistent from one jurisdiction to another and may conflict with other rules or our practices or the practices of our dealers.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require dealers to meet consumer compliance requirements, we do not control dealers and their suppliers or their business practices. Accordingly, we cannot guarantee they follow ethical business practices such as fair wage practices and compliance with environmental, safety and other local laws. A lack of demonstrated compliance could lead us to seek alternative dealers or suppliers, which could increase costs and have a negative effect on business and prospects for growth. Violation of labor or other laws by our dealers or suppliers or the divergence of a dealer or supplier’s labor or other practices from those generally accepted as ethical in the U.S. or other markets in which the Company does or intends to do business could also attract negative publicity and harm the business.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have been included in lawsuits brought by the consumer customers of certain contractors in our networks, citing claims based on the sales practices of these contractors. We cannot be sure that a court of law would not determine that we are liable for the actions of the contractors in our networks or that a regulator or state attorney general’s office may hold us accountable for violations of consumer protection or other applicable laws by. Our risk mitigation processes may not be sufficient to mitigate financial harm associated with violations of applicable law by our contractors or ensure that any such contractor is able to satisfy its indemnification obligations to us. Any significant judgment against us could expose it to broader liabilities, a need to adjust our distribution channels for products and services or otherwise change our business model and could adversely impact the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introducing new services and product offerings.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intend to introduce new offerings of services and products to both new and existing customers in the future, including home automation products and additional home technology solutions. We may be unsuccessful in significantly broadening our customer base through the addition of these services and products within current markets or in new markets the Company may enter. Additionally, we may not be successful in generating substantial revenue from any additional services and products introduced in the future and may decline to initiate new product and service offerings.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Damage to our brand and reputation or change or loss of use of our brand could harm our business and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depend significantly on our reputation for high-quality products, excellent customer service and the brand name “SunPower” to attract new customers and grow our business. If we fail to continue to deliver solar energy systems or energy storage systems within the planned timelines, if our offerings do not perform as anticipated or if we damage any of our customers’ properties or delays or cancels projects, our brand and reputation could be significantly impaired. Future technological improvements may allow the company to offer lower prices or offer new technology to new customers; however, technical limitations in our current solar energy systems and energy storage systems may prevent us from offering such lower prices or new technology to existing customers.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given the sheer number of interactions our personnel or dealers operating on our behalf have with customers and potential customers, it is inevitable that some customers’ and potential customers’ interactions with us or dealers operating on our behalf will be perceived as less than satisfactory. This has led to instances of customer complaints, some of which have affected our digital footprint on rating websites and social media platforms. If we cannot manage hiring and training processes to avoid or minimize these issues to the extent possible, our reputation may be harmed and our ability to attract new customers would suffer.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if we were to no longer use, lose the right to continue to use or if others use the “SunPower” brand, we could lose recognition in the marketplace among customers, suppliers and dealers, which could affect our business, financial condition, results of operations and would require financial and other investment and management attention in new branding, which may not be as successful.</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continuing contributions of key personnel, including Thurman J. Rodgers. If we are unable to attract and retain key employees and qualified personnel, our business and prospects could be harmed.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heavily on the services of our key executive officers and other key employees, in particular Thurman J. Rodgers, and the loss of services of any principal member of the management team or other key employees could adversely affect our operations. There have been, and from time to time there may continue to be, changes in our management team resulting from the hiring or departure of executives and key employees, or the transition of executives within our business, which could disrupt our business. For example, during 2024, 2025 and early 2026, we had turnover in key positions, including our Chief Executive Officer and our Chief Financial Officer. As a result of the SunPower Acquisition, the Sunder Acquisition, the Ambia Acquisition and the Cobalt Acquisition, we also appointed new employees to key positions and restructured our management reporting lines. Such changes in our executive management team or workforce may be disruptive to our business, divert management’s attention, result in a loss of knowledge and negatively impact employee morale. If we encounter further turnover or difficulties associated with the transition or departure of our executive officers and key employees, or if we are unsuccessful in recruiting new personnel or in retaining and motivating existing personnel, our operations may be disrupted, which could harm our business.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investing significant resources in developing new members of management as we complete our restructuring and strategic transformation, including as a result of the SunPower Acquisition. We also anticipate that over time we will need to hire a number of highly skilled technical, sales, marketing, administrative, and accounting personnel. The competition for qualified personnel is intense in this industry. We may not be successful in attracting and retaining sufficient numbers of qualified personnel to support its anticipated growth. We cannot guarantee that any employee will remain employed with us for any definite period of time since all employees, including key executive officers, serve at-will and may terminate their employment at any time for any reason.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Labor is subject to external factors that are beyond our control, including our industry’s highly competitive market for skilled workers and leaders, cost inflation, and workforce participation rates. As we build our brand and become more well known and grow globally, there is increased risk that competitors or other companies will seek to hire our personnel. The failure to attract, integrate, train, motivate and retain these personnel could seriously harm our business and prospects.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dealers or suppliers fail to hire and retain sufficient employees and service providers in key functions, our growth and ability to timely complete customer projects and successfully manage customer accounts would be constrained.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support growth, we and our dealers need to hire, train, deploy, manage and retain a substantial number of skilled employees, engineers, installers, electricians and sales and project finance specialists. Competition for qualified personnel in this industry has increased substantially, particularly for skilled personnel involved in the installation of solar energy systems. We and our dealers also compete with the homebuilding and construction industries for skilled labor. These industries are cyclical and when participants in these industries seek to hire additional workers, it puts upward pressure on us and our dealers’ labor costs. Companies with whom our dealers compete to hire installers may offer compensation or incentive plans that certain installers may view as more favorable. As a result, our dealers may be unable to attract or retain qualified and skilled installation personnel. The further unionization of the industry’s labor force or the homebuilding and construction industries’ labor forces could also increase our dealers’ labor costs.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Shortages of skilled labor could significantly delay a project or otherwise increase dealers’ costs. Further, we need to continue to increase the training of the customer service team to provide high-end account management and service to homeowners before, during and following the point of installation of its solar energy systems. Identifying and recruiting qualified personnel and training them requires significant time, expense and attention. It can take several months before a new customer service team member is fully trained and productive at the standards established by us. If we are unable to hire, develop and retain talented customer service or other personnel, we may not be able to grow our business.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ability to grow may fluctuate from quarter to quarter and year to year, which could make future performance difficult to predict and could cause operating results for a particular period to fall below expectations.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and its ability to grow are difficult to predict and may fluctuate significantly. We have experienced seasonal and quarterly fluctuations in the past and expect to experience such fluctuations in the future. In addition to the other risks described in this “Risk Factors” section, the following factors could cause operating results to fluctuate:</w:t>
      </w:r>
    </w:p>
    <w:p>
      <w:pPr>
        <w:spacing w:after="0" w:line="176"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or initiation of any governmental rebates or incentives;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fluctuations in customer demand for our solar energy services, solar energy systems and energy storage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dealers’ ability to complete installations in a timely manner;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dealers’ ability to gain interconnection permission for an installed solar energy system from the relevant utility;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terms and costs of suitable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of sales and potential decreases in value of Solar Renewable Energy Certificates;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its operations and the amount and timing of expenditures related to this expansion;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capital-raising activities or commitments;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terms or those of competitors, including centralized electric utilities;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competitors’ businesses, technology or the competitive landscape;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weather or meteorological conditions.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these or other reasons, the results of any prior quarterly or annual periods should not be relied upon as indications of our future performance.</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obtain insurance on the terms of any available insurance coverage could be materially adversely affected by international, national, state or local events or company-specific events, as well as the financial condition of insurers.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insurance policies cover legal and contractual liabilities arising out of bodily injury, personal injury or property damage to third parties and are subject to policy limits.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However, such policies do not cover all potential losses and coverage is not always available in the insurance market on commercially reasonable terms. In addition, we may have disagreements with insurers on the amount of recoverable damages and the insurance proceeds received for any loss of, or any damage to, any of our assets may be claimed by lenders under financing arrangements or otherwise may not be sufficient to restore the loss or damage without a negative impact on its results of operations. Furthermore, the receipt of insurance proceeds may be delayed, requiring us to use cash or incur financing costs in the interim. To the extent our experiences covered losses under its insurance policies, the limit of our coverage for potential losses may be decreased or the insurance rates it has to pay increased. Furthermore, the losses insured through commercial insurance are subject to the credit risk of those insurance companies. While we believe our commercial insurance providers are currently creditworthy, we cannot assure such insurance companies will remain so in the future.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not be able to maintain or obtain insurance of the type and amount desired at reasonable rates. The insurance coverage obtained may contain large deductibles or fail to cover certain risks or all potential losses. In addition, our insurance policies are subject to annual review by insurers and may not be renewed on similar or favorable terms, including coverage, deductibles or premiums, or at all. If a significant accident or event occurs for which we are not fully insured or the Company suffers losses due to one or more of its insurance carriers defaulting on their obligations or contesting their coverage obligations, it could have a material adverse effect on our business, financial condition and results of operations.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requires the use and storage of confidential and proprietary information, intellectual property, commercial banking information, personal information concerning customers, employees, and business partners, and corporate information concerning internal processes and business functions. Malicious attacks to gain access to such information affects many companies across various industries, including ours.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 appropriate, we use encryption and authentication technologies to secure the transmission and storage of data. These security measures may be compromised as a result of third-party security breaches, employee error, malfeasance, faulty password management, or other irregularity or malicious effort, and result in persons obtaining unauthorized access to data.</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devote resources to network security, data encryption, and other security measures to protect our systems and data, but these security measures cannot provide absolute security. Because the techniques used to obtain unauthorized access, disable or degrade service, or sabotage systems change frequently, target end users through phishing and other malicious techniques, and/or may be difficult to detect for long periods of time, we may be unable to anticipate these techniques or implement adequate preventative measures. As a result, we may experience a breach of our systems in the future that reduces our ability to protect sensitive data. In addition, hardware, software, or applications we develop or procure from third parties may contain defects in design or manufacture or other problems that could unexpectedly compromise information security. Unauthorized parties may also attempt to gain access to our systems or facilities through fraud, trickery or other forms of deceiving team members, contractors and temporary staff. If we experience, or are perceived to have experienced, a significant data security breach, fail to detect and appropriately respond to a significant data security breach, or fail to implement disclosure controls and procedures that provide for timely disclosure of data security breaches deemed material to our business, including corrections or updates to previous disclosures, we could be exposed to a risk of loss, increased insurance costs, remediation and prospective prevention costs, damage to our reputation and brand, litigation and possible liability, or government enforcement actions, any of which could detrimentally affect our business, results of operations, and financial condition.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also share information with contractors and third-party providers to conduct business. While we generally review and typically request or require such contractors and third-party providers to implement security measures, such as encryption and authentication technologies to secure the transmission and storage of data, those third-party providers may experience a significant data security breach, which may also detrimentally affect our business, results of operations, and financial condition as discussed above. See also under this section, “</w:t>
      </w:r>
      <w:r>
        <w:rPr>
          <w:rFonts w:ascii="Times New Roman" w:cs="Times New Roman" w:eastAsia="Times New Roman" w:hAnsi="Times New Roman"/>
          <w:sz w:val="18"/>
          <w:szCs w:val="18"/>
          <w:i w:val="1"/>
          <w:iCs w:val="1"/>
          <w:color w:val="auto"/>
        </w:rPr>
        <w:t>We may be required to file claims against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 for infringing its intellectual property that may be costly and may not be resolved in our favor</w:t>
      </w:r>
      <w:r>
        <w:rPr>
          <w:rFonts w:ascii="Times New Roman" w:cs="Times New Roman" w:eastAsia="Times New Roman" w:hAnsi="Times New Roman"/>
          <w:sz w:val="18"/>
          <w:szCs w:val="18"/>
          <w:color w:val="auto"/>
        </w:rPr>
        <w:t>.” We rely substantially upon trade secret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restrictions to protect our proprietary rights, and, if these rights are not sufficiently protected, our ability to compete and generate revenue could suffer.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 sales to residential customers have grown, we have increasingly become subject to consumer protection laws and regulations.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we continue to seek to expand our retail customer base, our activities with customers are subject to consumer protection laws that may not be applicable to other businesses, such as federal truth-in-lending, consumer leasing, telephone and digital marketing, and equal credit opportunity laws and regulations, as well as state and local finance laws and regulations. Claims arising out of actual or alleged violations of law may be asserted against us by individuals or governmental entities and may expose the Company to significant damages or other penalties, including fines. In addition, our affiliations with third-party dealers may subject the Company to alleged liability in connection with actual or alleged violations of law by such dealers, whether or not actually attributable to us, which may expose us to significant damages and penalties, and we may incur substantial expenses in defending against legal actions related to third-party dealers, whether or not ultimately found liable.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competitive environment in which we operate often requires the undertaking of customer obligations, which may turn out to be costlier than anticipated and, in turn, materially and adversely affect our business, results of operations and financial condition.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often required, at the request of our end customer, to undertake certain obligations such as:</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output performance warranties;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maintenance.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Such customer obligations involve complex accounting analyses and judgments regarding the timing of revenue and expense recognition, and in certain situations these factors may require us to defer revenue or profit recognition until projects are completed or until contingencies are resolved, which could adversely affect revenues and profits in a particular period.</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construction, cost overruns, delays, regulatory compliance and other contingencies, any of which could have a material adverse effect on its business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licensed contractor in certain communities that we service and are ultimately responsible as the contracting party for every solar energy system installation. A significant portion of our business depends on obtaining and maintaining required licenses in various jurisdictions. All such licenses are subject to audit by the relevant government agency. Our failure to obtain or maintain required licenses could result in the termination of certain of our contracts. For example, we hold a license with California’s Contractors State License Board (the “</w:t>
      </w:r>
      <w:r>
        <w:rPr>
          <w:rFonts w:ascii="Times New Roman" w:cs="Times New Roman" w:eastAsia="Times New Roman" w:hAnsi="Times New Roman"/>
          <w:sz w:val="18"/>
          <w:szCs w:val="18"/>
          <w:b w:val="1"/>
          <w:bCs w:val="1"/>
          <w:color w:val="auto"/>
        </w:rPr>
        <w:t>CSLB</w:t>
      </w:r>
      <w:r>
        <w:rPr>
          <w:rFonts w:ascii="Times New Roman" w:cs="Times New Roman" w:eastAsia="Times New Roman" w:hAnsi="Times New Roman"/>
          <w:sz w:val="18"/>
          <w:szCs w:val="18"/>
          <w:color w:val="auto"/>
        </w:rPr>
        <w:t>”) and that license is currently under probation with the CSLB. If we fail to comply with the CSLB’s law and regulations, it could result in termination of certain of our contracts, monetary penalties, extension of the license probation period or revocation of its license in California. In addition, we may be liable, either directly or through its solar partners, to homeowners for any damage we cause to them, their home, belongings or property during the installation of our systems. For example, we either directly or through its solar partners, frequently penetrate homeowners’ roofs during the installation process and may incur liability for the failure to adequately weatherproof such penetrations following the completion of construction. In addition, because the solar energy systems we or our solar partners deploy are high voltage energy systems, we may incur liability for failing to comply with electrical standards and manufacturer recommendations.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we or our installation partners may face construction delays or cost overruns, which may adversely affect our or our sales partners’ ability to ramp up the volume of installation in accordance with our plans. Such delays or overruns may occur as a result of a variety of factors, such as labor shortages, defects in materials and workmanship, adverse weather conditions, transportation constraints, construction change orders, site changes, labor issues and other unforeseen difficulties, any of which could lead to increased cancellation rates, reputational harm and other adverse effects.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installation of solar energy systems, energy storage systems, and other energy-related products requiring building modifications are subject to oversight and regulation in accordance with national, state, and local laws and ordinances relating to building, fire, and electrical codes, safety, environmental protection, utility interconnection and metering, and related matters. We also rely on certain employees to maintain professional licenses in many of the jurisdictions in which we operate, and the failure to employ properly licensed personnel could adversely affect our licensing status in those jurisdictions. It is difficult and costly to track the requirements of every individual authority having jurisdiction over our installations and to design solar energy systems to comply with these varying standards. Any new government regulations or utility policies pertaining to our systems may result in significant additional expenses to homeowners and us and, as a result, could cause a significant reduction in demand for solar service offerings.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have a variety of stringent quality standards that the Company applies in the selection of its solar partners, we do not control our suppliers and solar partners or their business practices. Accordingly, we cannot guarantee that they follow our standards or ethical business practices, such as fair wage practices and compliance with environmental, safety and other local laws. A lack of demonstrated compliance could lead us to seek alternative suppliers or contractors, which could increase costs and result in delayed delivery or installation of our products, product shortages or other disruptions of its operations. Violation of labor or other laws by our suppliers and solar partners or the divergence of a supplier’s or solar partners’ labor or other practices from those generally accepted as ethical in the U.S. or other markets in which we do business could also attract negative publicity and harm our business, brand and reputation in the market.</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occupational safety and health requirements and best practices can be costly, and noncompliance with such requirements may result in potentially significant penalties, operational delays and adverse publicity.</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installation and ongoing operations and maintenance of solar energy systems and energy storage systems requires individuals hired by us, our dealers, or third-party contractors, potentially including employees, to work at heights with complicated and potentially dangerous electrical systems. The evaluation and modification of buildings as part of the installation process requires these individuals to work in locations that may contain potentially dangerous levels of asbestos, lead, mold or other materials known or believed to be hazardous to human health. There is substantial risk of serious injury or death if proper safety procedures are not followed. Our operations are subject to regulation by the Occupational Safety and Health Administration (“</w:t>
      </w:r>
      <w:r>
        <w:rPr>
          <w:rFonts w:ascii="Times New Roman" w:cs="Times New Roman" w:eastAsia="Times New Roman" w:hAnsi="Times New Roman"/>
          <w:sz w:val="18"/>
          <w:szCs w:val="18"/>
          <w:b w:val="1"/>
          <w:bCs w:val="1"/>
          <w:color w:val="auto"/>
        </w:rPr>
        <w:t>OSHA</w:t>
      </w:r>
      <w:r>
        <w:rPr>
          <w:rFonts w:ascii="Times New Roman" w:cs="Times New Roman" w:eastAsia="Times New Roman" w:hAnsi="Times New Roman"/>
          <w:sz w:val="18"/>
          <w:szCs w:val="18"/>
          <w:color w:val="auto"/>
        </w:rPr>
        <w:t>”) and the Department of Transportation (“</w:t>
      </w:r>
      <w:r>
        <w:rPr>
          <w:rFonts w:ascii="Times New Roman" w:cs="Times New Roman" w:eastAsia="Times New Roman" w:hAnsi="Times New Roman"/>
          <w:sz w:val="18"/>
          <w:szCs w:val="18"/>
          <w:b w:val="1"/>
          <w:bCs w:val="1"/>
          <w:color w:val="auto"/>
        </w:rPr>
        <w:t>DOT</w:t>
      </w:r>
      <w:r>
        <w:rPr>
          <w:rFonts w:ascii="Times New Roman" w:cs="Times New Roman" w:eastAsia="Times New Roman" w:hAnsi="Times New Roman"/>
          <w:sz w:val="18"/>
          <w:szCs w:val="18"/>
          <w:color w:val="auto"/>
        </w:rPr>
        <w:t>”) and equivalent state and local laws. Changes to OSHA or DOT requirements, or stricter interpretation or enforcement of existing laws or regulations, could result in increased costs. If we fail to comply with applicable OSHA or DOT regulations, even if no work-related serious injury or death occurs, we may be subject to civil or criminal enforcement and be required to pay substantial penalties, incur significant capital expenditures or suspend or limit operations. Because individuals hired by us or on our behalf to perform installation and ongoing operations and maintenance of the Company’s solar energy systems and energy storage systems, including its dealers and third-party contractors, are compensated on a per project basis, they are incentivized to work more quickly than installers compensated on an hourly basis. While we have not experienced a high level of injuries to date, this incentive structure may result in higher injury rates than others in the industry and could accordingly expose the Company to increased liability. Individuals hired by or on behalf of us may have workplace accidents and receive citations from OSHA regulators for alleged safety violations, resulting in fines. Any such accidents, citations, violations, injuries or failure to comply with industry best practices may subject us to adverse publicity, damage its reputation and competitive position and adversely affect the business.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benefited from the declining cost of solar energy system components, but it may be harmed if the cost of such components stabilizes or increases in the future.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has benefited from the declining cost of solar energy system components and to the extent such costs stabilize, decline at a slower rate or increase, our future growth rate may be negatively impacted. The declining cost of solar energy system components and the raw materials necessary to manufacture them has been a key driver in the price of our solar energy systems, and the prices charged for electricity and customer adoption of solar energy. Solar energy system component and raw material prices may not continue to decline at the same rate as they have over the past several years or at all. In addition, growth in the solar industry and the resulting increase in demand for solar energy system components and the raw materials necessary to manufacture them may also put upward pressure on prices. An increase of solar energy system components and raw materials prices could slow growth and cause business and results of operations to suffer. Further, the cost of solar energy system components and raw materials has increased and could increase in the future due to tariff penalties, duties, the loss of or changes in economic governmental incentives or other factors.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 against us could result in adverse publicity and potentially significant monetary damages.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possible our solar energy systems or energy storage systems could injure customers or other third parties or our solar energy systems or energy storage systems could cause property damage as a result of product malfunctions, defects, improper installation, fire or other causes. Any product liability claim we face could be expensive to defend and may divert management’s attention. The successful assertion of product liability claims against us could result in potentially significant monetary damages, potential increases in insurance expenses, penalties or fines, subject the Company to adverse publicity, damage our reputation and competitive position and adversely affect sales of solar energy systems or energy storage systems. In addition, product liability claims, injuries, defects or other problems experienced by other companies in the residential solar industry could lead to unfavorable market conditions to the industry as a whole and may have an adverse effect on our ability to expand its portfolio of solar service agreements and related solar energy systems and energy storage systems, thus affecting our business, financial condition and results of operations.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warranty costs may exceed the warranty reserve.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warranties that cover parts performance and labor to purchasers of our solar modules. We also have legacy warranty and performance obligations from our former business manufacturing solar panels. We maintain a warranty reserve on our financial statements, and our warranty claims may exceed the warranty reserve. Any significant warranty expenses could adversely affect our financial condition and results of operations. Significant warranty problems could impair our reputation which could result in lower revenue and a lower gross margin.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involved in claims and legal proceedings that arise from normal business activities. In addition, from time to time, third parties have asserted and may in the future assert claims against us. We evaluate all claims, lawsuits and investigations with respect to their potential merits, our potential defenses and counter claims, settlement or litigation potential and the expected effect on us. In the event that we are involved in significant disputes, including the legal claims noted below, or are the subject of a formal action by a regulatory agency, we could be exposed to costly and time-consuming legal proceedings that could result in any number of outcomes. Although outcomes of such actions vary, any claims, proceedings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some other harm to the business. In any of these cases, our business, financial condition or results of operations could be negatively impacted. We make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 Depending on the nature and timing of any such controversy, an unfavorable resolution of a matter could materially affect our future business, financial condition or results of operations, or all of the foregoing, in a particular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See “Item 8. Financial Statements and Supplementary Data - Notes to Consolidated Financial Statements - </w:t>
      </w:r>
      <w:r>
        <w:rPr>
          <w:rFonts w:ascii="Times New Roman" w:cs="Times New Roman" w:eastAsia="Times New Roman" w:hAnsi="Times New Roman"/>
          <w:sz w:val="18"/>
          <w:szCs w:val="18"/>
          <w:b w:val="1"/>
          <w:bCs w:val="1"/>
          <w:color w:val="auto"/>
        </w:rPr>
        <w:t>Note 12 -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Contingencies</w:t>
      </w:r>
      <w:r>
        <w:rPr>
          <w:rFonts w:ascii="Times New Roman" w:cs="Times New Roman" w:eastAsia="Times New Roman" w:hAnsi="Times New Roman"/>
          <w:sz w:val="18"/>
          <w:szCs w:val="18"/>
          <w:color w:val="auto"/>
        </w:rPr>
        <w:t>” for a further discussion of the legal claims summarized therein.</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other information provided in Note 12, on February 22, 2024, the court in the case issued an order against certain subsidiaries of the Company which awarded Siemens approximately $6.9 million. On March 15, 2024, Siemens filed a motion seeking to recover $2.67 million for attorneys’ fees, expenses, and pre-and post-judgment interest. The Company opposed Siemens’ motion for attorneys’ fees, expenses, and pre- and post-judgment interest on April 5, 2024. On June 17, 2024, the court entered a final order which awarded Siemens a total of $2.0 million in attorneys’ fees and costs. We have appealed these judgments. On August 19, 2024, Siemens applied for the enforcement to a sister state judgment in the Superior Court of Alameda, California and the court entered a judgement in favor of Siemens. On December 9, 2024, Siemens moved to amend the judgment to add the Company as a judgement debtor. Our subsidiaries opposed the Siemens motion. The court heard the motion by submission on April 3, 2025, but has not yet issued a ruling. The Company recognized $6.9 million as a legal loss related to this litigation in 2023, and in 2024, the Company recorded an additional accrual for $2.0 million for attorneys’ fees, expenses, and pre-judgment interest, in accrued expenses and other current liabilities within its consolidated balance sheet as of December 29, 2024. This legal loss was recognized in fiscal 2024 in loss from discontinued operations, net of tax on the consolidated statements of operations and comprehensive loss. The Company had liability of $6.9 million recorded as a legal loss related to this litigation, excluding amounts for attorneys’ fees and costs, in accrued expenses and other current liabilities within its consolidated balance sheet at December 29, 2024. On December 4, 2025, the Company entered into a Settlement Agreement with Siemens Government Technologies, Inc. and Siemens Industry, Inc. to resolve a case in the Circuit Court of Fairfax County, Virginia and other related cases as well as to resolve potential claims related to Siemens’ Atwater Wastewater Treatment Plant. In exchange for full releases, the Company agreed to pay Siemens $9.5 million spread across four payments to be made at the end of each calendar quarter during fiscal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The settlement payment to Siemens is secured by a first-priority continuing security interest in $9.5 million of Company collateral. This security interest is reduced on a one-to-one basis as the settlement payments are made.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directors and officers.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A number of those requirements will require us to carry out activities we had not done previously.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issues in complying with those requirements are identified (for example, if we or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the SunPower Board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certain other tax attributes may be limited.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both current and future unused net operating loss (“</w:t>
      </w:r>
      <w:r>
        <w:rPr>
          <w:rFonts w:ascii="Times New Roman" w:cs="Times New Roman" w:eastAsia="Times New Roman" w:hAnsi="Times New Roman"/>
          <w:sz w:val="18"/>
          <w:szCs w:val="18"/>
          <w:b w:val="1"/>
          <w:bCs w:val="1"/>
          <w:color w:val="auto"/>
        </w:rPr>
        <w:t>NOL</w:t>
      </w:r>
      <w:r>
        <w:rPr>
          <w:rFonts w:ascii="Times New Roman" w:cs="Times New Roman" w:eastAsia="Times New Roman" w:hAnsi="Times New Roman"/>
          <w:sz w:val="18"/>
          <w:szCs w:val="18"/>
          <w:color w:val="auto"/>
        </w:rPr>
        <w:t>”) carryforwards and other tax attributes may be subject to limitation under Sections 382 and 383 of the Internal Revenue Code of 1986, as amended (the “Code”), if a corporation undergoes an “ownership change,” generally defined as a greater than 50 percentage point change (by value) in equity ownership by certain stockholders over a three-year period. The Business Combination may have resulted in an ownership change for us and, accordingly, our NOL carryforwards and certain other tax attributes may be subject to limitations (or disallowance) on their use after the Business Combination. Our NOL carryforwards may also be subject to limitation as a result of prior shifts in equity ownership.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Other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executive officers and principal stockholders will continue to have significant influence over our company, which could limit your ability to influence the outcome of key transactions, including a change of control.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Directors, executive officers and each of our 5% stockholders and their affiliates, in the aggregate, beneficially own approximately 30% of the outstanding shares of our common stock, based on the number of shares outstanding as of April 1, 2026 (including all convertible securities and securities that such holders have the right to acquire within 60 days following April 1, 2026). As a result, these stockholders, if acting together, will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of our company, could deprive our stockholders of an opportunity to receive a premium for their common stock as part of a sale of our company and might ultimately affect the market price of our common stock.</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and you could lose all or part of your investment.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Fluctuations in the price of our securities could contribute to the loss of all or part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Factors affecting the trading price of our securities:</w:t>
      </w:r>
    </w:p>
    <w:p>
      <w:pPr>
        <w:spacing w:after="0" w:line="225"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securities available for public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executive officers or significant stockholders or the perception that such sales could occur;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securities is influenced by the research and reports that industry or securities analysts may publish about us, our business, our market, or our competitors. If any of the analysts who currently cover us change their recommendation regarding our stock adversely, or provide more favorable relative recommendations about our competitors, the price of our securities would likely decline. If any analyst who currently cover us were to cease coverage of us or fail to regularly publish reports on us, we could lose visibility in the financial markets, which could cause our stock price or trading volume to decline. If we obtain additional coverage and any new analyst issues, an adverse or misleading opinion regarding us, our business model, our intellectual property or our stock performance, or if our operating results fail to meet the expectations of analysts, our stock price could decline.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continue, which would adversely affect the liquidity and price of our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price of our securities may fluctuate significantly due to general market and economic conditions and an active trading market for our securities may not be sustained. In addition, the price of our securities can vary due to general economic conditions and forecasts, our general business condition and the release of our financial reports.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all applicable requirements of Nasdaq and Nasdaq determines to delist our common stock, the delisting could adversely affect the market liquidity of our common stock and the market price of our common stock could decrease.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maintain compliance with the requirements for listing our common stock on Nasdaq. On April 28, 2025, we received a letter from the Listing Qualifications staff of Nasdaq (the “Nasdaq Staff”) indicating that, as a result of our delay in filing the Company’s Annual Report on Form 10-K for the year ended December 29, 2024 (the “2024 Form 10-K”), we were not in compliance with the timely filing requirements for continued listing under Nasdaq Listing Rule 5250(c)(1). The Nasdaq letter had no immediate effect on the listing or trading of our common stock or warrants. The Nasdaq listing rules require Nasdaq-listed companies to timely file all required periodic reports with the SEC. The Nasdaq letter stated that, under Nasdaq rules, the Company had 60 calendar days to submit a plan to regain compliance with Nasdaq’s continued listing requirements. We filed our 2024 Form 10-K on April 30, 2025. Subsequently, on November 19, 2025, we received a from the Nasdaq staff indicating that, as a result of our delay in filing the Company’s Quarterly Report on Form 10-Q for the quarter ended September 28, 2025 (the “Q3 Form 10-Q”), we were not in compliance with the timely filing requirements for continued listing under Nasdaq Listing Rule 5250(c)(1). The Nasdaq letter relating to our Q3 Form 10-Q had no immediate effect on the listing or trading of our common stock or warrants. The Nasdaq letter stated that, under Nasdaq rules, the Company had 60 calendar days to submit a plan to regain compliance with Nasdaq’s continued listing requirements. We filed the Q3 Form 10-Q on December 19, 2025.</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Nasdaq delists our securities from trading on its exchange for failure to meet the listing standards, we and our stockholders could face significant material adverse consequences including:</w:t>
      </w:r>
    </w:p>
    <w:p>
      <w:pPr>
        <w:spacing w:after="0" w:line="162"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possibly resulting in a reduced level of trading activity in the secondary trading market for our common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 a decreased ability to issue additional securities or obtain additional financing in the future.</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shareholders could cause the price of our common stock to decline.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provisions of the Delaware General Corporation Law may delay or prevent an acquisition by a third party that could otherwise be in the interests of shareholders.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several provisions that may make it more difficult or expensive for a third party to acquire control of us without the approval of our board. These provisions, which may delay, prevent or deter a merger, acquisition, tender offer, proxy contest, or other transaction that stockholders may consider favorable, include the following:</w:t>
      </w:r>
    </w:p>
    <w:p>
      <w:pPr>
        <w:spacing w:after="0" w:line="176"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director nominations;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stockholders’ ability to call special meetings of stockholders and to take action by written consent;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business combinations with interested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by such acquirer.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provisions of our Certificate of Incorporation and Proposed Bylaws could discourage potential takeover attempts and reduce the price that investors might be willing to pay for the shares of our common stock in the future, which could reduce the market price of our common stock.</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 of our Certificate of Incorporation requiring exclusive venue in the Court of Chancery in the State of Delaware and the federal district courts of the U.S. for certain types of lawsuits may have the effect of discouraging lawsuits against directors and officers.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unless otherwise consented to by us in writing, the Court of Chancery of the State of Delaware (or, if the Court of Chancery does not have jurisdiction, another State court in Delaware or the federal district court for the District of Delaware) will, to the fullest extent permitted by law, be the sole and exclusive forum for the following types of actions or proceedings:</w:t>
      </w:r>
    </w:p>
    <w:p>
      <w:pPr>
        <w:spacing w:after="0" w:line="176"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us;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duty (including any fiduciary duty) owed by any of our current or former Directors, officers, stockholders, employees or agents to us or our stockholders;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current or former Directors, officers, stockholders, employees or agents relating to any provision of the Delaware General Corporation Law (“DGCL”) or our Certificate of Incorporation or the Bylaws or as to which the DGCL confers jurisdiction on the Court of Chancery of the State of Delaware;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current or former Directors, officers, stockholders, employees or agents governed by the internal affairs doctrine of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will further provide that, unless otherwise consented to by us in writing to the selection of an alternative forum, the federal district courts of the U.S. will, to the fullest extent permitted by law, be the sole and exclusive forum for the resolution of any complaint against any person in connection with any offering of our securities, asserting a cause of action arising under the Securities Act. Any person or entity purchasing or otherwise acquiring any interest in our securities will be deemed to have notice of and consented to this provision.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our Certificate of Incorporation contains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Section 27 of the Exchange Act creates exclusive federal jurisdiction over all suits brought to enforce any duty or liability created by the Exchange Act or the rules and regulations thereunder, and, therefore, the exclusive forum provisions described above do not apply to any actions brought under the Exchange Act.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believe these provisions will benefit us by limiting costly and time-consuming litigation in multiple forums and by providing increased consistency in the application of applicable law, these exclusive forum provisions may limit the ability of our shareholders to bring a claim in a judicial forum that such shareholders find favorable for disputes with us or our Directors, officers or employees, which may discourage such lawsuits against us and our Directors, officers and other employees.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repurchase up to 5,618,488 shares of common stock from the investors with whom we entered into Forward Purchase Agreements in connection with the closing of the Business Combination, which would reduce the amount of cash available to us to fund our growth plan.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and around July 13, 2023, FACT entered into separate Forward Purchase Agreements (the “Forward Purchase Agreements”) with each of</w:t>
      </w:r>
    </w:p>
    <w:p>
      <w:pPr>
        <w:spacing w:after="0" w:line="27" w:lineRule="exact"/>
        <w:rPr>
          <w:sz w:val="20"/>
          <w:szCs w:val="20"/>
          <w:color w:val="auto"/>
        </w:rPr>
      </w:pPr>
    </w:p>
    <w:p>
      <w:pPr>
        <w:jc w:val="both"/>
        <w:ind w:firstLine="8"/>
        <w:spacing w:after="0" w:line="250" w:lineRule="auto"/>
        <w:tabs>
          <w:tab w:leader="none" w:pos="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Meteora Special Opportunity Fund I, LP (“</w:t>
      </w:r>
      <w:r>
        <w:rPr>
          <w:rFonts w:ascii="Times New Roman" w:cs="Times New Roman" w:eastAsia="Times New Roman" w:hAnsi="Times New Roman"/>
          <w:sz w:val="18"/>
          <w:szCs w:val="18"/>
          <w:b w:val="1"/>
          <w:bCs w:val="1"/>
          <w:color w:val="auto"/>
        </w:rPr>
        <w:t>MSOF</w:t>
      </w:r>
      <w:r>
        <w:rPr>
          <w:rFonts w:ascii="Times New Roman" w:cs="Times New Roman" w:eastAsia="Times New Roman" w:hAnsi="Times New Roman"/>
          <w:sz w:val="18"/>
          <w:szCs w:val="18"/>
          <w:color w:val="auto"/>
        </w:rPr>
        <w:t>”), Meteora Capital Partners, LP (“</w:t>
      </w:r>
      <w:r>
        <w:rPr>
          <w:rFonts w:ascii="Times New Roman" w:cs="Times New Roman" w:eastAsia="Times New Roman" w:hAnsi="Times New Roman"/>
          <w:sz w:val="18"/>
          <w:szCs w:val="18"/>
          <w:b w:val="1"/>
          <w:bCs w:val="1"/>
          <w:color w:val="auto"/>
        </w:rPr>
        <w:t>MCP</w:t>
      </w:r>
      <w:r>
        <w:rPr>
          <w:rFonts w:ascii="Times New Roman" w:cs="Times New Roman" w:eastAsia="Times New Roman" w:hAnsi="Times New Roman"/>
          <w:sz w:val="18"/>
          <w:szCs w:val="18"/>
          <w:color w:val="auto"/>
        </w:rPr>
        <w:t>”) and Meteora Select Trading Opportunities Master, LP (“MSTO”) (with MSOF, MCP, and MSTO collectively as “</w:t>
      </w:r>
      <w:r>
        <w:rPr>
          <w:rFonts w:ascii="Times New Roman" w:cs="Times New Roman" w:eastAsia="Times New Roman" w:hAnsi="Times New Roman"/>
          <w:sz w:val="18"/>
          <w:szCs w:val="18"/>
          <w:b w:val="1"/>
          <w:bCs w:val="1"/>
          <w:color w:val="auto"/>
        </w:rPr>
        <w:t>Meteora</w:t>
      </w:r>
      <w:r>
        <w:rPr>
          <w:rFonts w:ascii="Times New Roman" w:cs="Times New Roman" w:eastAsia="Times New Roman" w:hAnsi="Times New Roman"/>
          <w:sz w:val="18"/>
          <w:szCs w:val="18"/>
          <w:color w:val="auto"/>
        </w:rPr>
        <w:t>”); (ii) Polar Multi-Strategy Master Fund (“</w:t>
      </w:r>
      <w:r>
        <w:rPr>
          <w:rFonts w:ascii="Times New Roman" w:cs="Times New Roman" w:eastAsia="Times New Roman" w:hAnsi="Times New Roman"/>
          <w:sz w:val="18"/>
          <w:szCs w:val="18"/>
          <w:b w:val="1"/>
          <w:bCs w:val="1"/>
          <w:color w:val="auto"/>
        </w:rPr>
        <w:t>Polar</w:t>
      </w:r>
      <w:r>
        <w:rPr>
          <w:rFonts w:ascii="Times New Roman" w:cs="Times New Roman" w:eastAsia="Times New Roman" w:hAnsi="Times New Roman"/>
          <w:sz w:val="18"/>
          <w:szCs w:val="18"/>
          <w:color w:val="auto"/>
        </w:rPr>
        <w:t>”), and (iii) Diametric True Alpha Market Neutral Master Fund, LP, Diametric True Alpha Enhanced Market Neutral Master Fund, LP, and Pinebridge Partners Master Fund, LP (collectively, “Sandia”, and each of Meteora, Polar, and Sandia, individually, an “</w:t>
      </w:r>
      <w:r>
        <w:rPr>
          <w:rFonts w:ascii="Times New Roman" w:cs="Times New Roman" w:eastAsia="Times New Roman" w:hAnsi="Times New Roman"/>
          <w:sz w:val="18"/>
          <w:szCs w:val="18"/>
          <w:b w:val="1"/>
          <w:bCs w:val="1"/>
          <w:color w:val="auto"/>
        </w:rPr>
        <w:t>FPA Investor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FPA Investors</w:t>
      </w:r>
      <w:r>
        <w:rPr>
          <w:rFonts w:ascii="Times New Roman" w:cs="Times New Roman" w:eastAsia="Times New Roman" w:hAnsi="Times New Roman"/>
          <w:sz w:val="18"/>
          <w:szCs w:val="18"/>
          <w:color w:val="auto"/>
        </w:rPr>
        <w:t>”), pursuant to which FACT (now SunPower (f/k/a Complete Solaria, Inc.) following the closing of the Business Combination) agreed to purchase in the aggregate, on the date that is 24 months after the closing date of the Forward Purchase Agreements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up to 5,618,488 shares of common stock then held by the FPA Investors (subject to certain conditions and purchase limits set forth in the Forward Purchase Agreements). Pursuant to the terms of the Forward Purchase Agreements, each FPA Investor further agreed not to redeem any of the FACT Class A Ordinary Shares owned by it at such time. The per price at which the FPA Investors have the right to sell the shares to us on the Maturity Date will not be less than $5.00 per share. On December 18, 2023, the Company and each FPA Investor entered into separate amendments to the Forward Purchase Agreements (the “</w:t>
      </w:r>
      <w:r>
        <w:rPr>
          <w:rFonts w:ascii="Times New Roman" w:cs="Times New Roman" w:eastAsia="Times New Roman" w:hAnsi="Times New Roman"/>
          <w:sz w:val="18"/>
          <w:szCs w:val="18"/>
          <w:b w:val="1"/>
          <w:bCs w:val="1"/>
          <w:color w:val="auto"/>
        </w:rPr>
        <w:t>First Amendments”).</w:t>
      </w:r>
      <w:r>
        <w:rPr>
          <w:rFonts w:ascii="Times New Roman" w:cs="Times New Roman" w:eastAsia="Times New Roman" w:hAnsi="Times New Roman"/>
          <w:sz w:val="18"/>
          <w:szCs w:val="18"/>
          <w:color w:val="auto"/>
        </w:rPr>
        <w:t xml:space="preserve"> The First Amendments lower the reset floor price of each Forward Purchase Agreement from $5.00 to $3.00 and allow the Company to raise up to $10,000,000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 On May 7 and 8, 2024, respectively, the Company entered into separate amendments to the Forward Purchase Agreements (the collectively the “</w:t>
      </w:r>
      <w:r>
        <w:rPr>
          <w:rFonts w:ascii="Times New Roman" w:cs="Times New Roman" w:eastAsia="Times New Roman" w:hAnsi="Times New Roman"/>
          <w:sz w:val="18"/>
          <w:szCs w:val="18"/>
          <w:b w:val="1"/>
          <w:bCs w:val="1"/>
          <w:color w:val="auto"/>
        </w:rPr>
        <w:t>Second Amendments</w:t>
      </w:r>
      <w:r>
        <w:rPr>
          <w:rFonts w:ascii="Times New Roman" w:cs="Times New Roman" w:eastAsia="Times New Roman" w:hAnsi="Times New Roman"/>
          <w:sz w:val="18"/>
          <w:szCs w:val="18"/>
          <w:color w:val="auto"/>
        </w:rPr>
        <w:t>”) with Sandia (the “</w:t>
      </w:r>
      <w:r>
        <w:rPr>
          <w:rFonts w:ascii="Times New Roman" w:cs="Times New Roman" w:eastAsia="Times New Roman" w:hAnsi="Times New Roman"/>
          <w:sz w:val="18"/>
          <w:szCs w:val="18"/>
          <w:b w:val="1"/>
          <w:bCs w:val="1"/>
          <w:color w:val="auto"/>
        </w:rPr>
        <w:t>Sandia Second Amendment</w:t>
      </w:r>
      <w:r>
        <w:rPr>
          <w:rFonts w:ascii="Times New Roman" w:cs="Times New Roman" w:eastAsia="Times New Roman" w:hAnsi="Times New Roman"/>
          <w:sz w:val="18"/>
          <w:szCs w:val="18"/>
          <w:color w:val="auto"/>
        </w:rPr>
        <w:t>”) and Polar (the “</w:t>
      </w:r>
      <w:r>
        <w:rPr>
          <w:rFonts w:ascii="Times New Roman" w:cs="Times New Roman" w:eastAsia="Times New Roman" w:hAnsi="Times New Roman"/>
          <w:sz w:val="18"/>
          <w:szCs w:val="18"/>
          <w:b w:val="1"/>
          <w:bCs w:val="1"/>
          <w:color w:val="auto"/>
        </w:rPr>
        <w:t>Polar 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The Second Amendments lower the reset price of each Forward Purchase Agreement from $3.00 to $1.00 per share and amend the VWAP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Trigger Event provision to read: “After December 31, 2024, an event that occurs if the VWAP Price, for any 20 trading days during a 30 consecutive trading day-period, is below $1.00 per Share.” The Sandia Second Amendment is not effective until the Company executes similar amendments with both Polar and Meteora. Subsequently, on June 14, 2024, the Company entered into an amendment to the Forward Purchase Agreement with Sandia (the “</w:t>
      </w:r>
      <w:r>
        <w:rPr>
          <w:rFonts w:ascii="Times New Roman" w:cs="Times New Roman" w:eastAsia="Times New Roman" w:hAnsi="Times New Roman"/>
          <w:sz w:val="18"/>
          <w:szCs w:val="18"/>
          <w:b w:val="1"/>
          <w:bCs w:val="1"/>
          <w:color w:val="auto"/>
        </w:rPr>
        <w:t>Sandia Third Amendment</w:t>
      </w:r>
      <w:r>
        <w:rPr>
          <w:rFonts w:ascii="Times New Roman" w:cs="Times New Roman" w:eastAsia="Times New Roman" w:hAnsi="Times New Roman"/>
          <w:sz w:val="18"/>
          <w:szCs w:val="18"/>
          <w:color w:val="auto"/>
        </w:rPr>
        <w:t>”). The Sandia Third Amendment sets the reset price of each Forward Purchase Agreement to $1.00 per share and amends the VWAP Trigger Event provision to read: “After December 31, 2024, an event that occurs if the VWAP Price, for any 20 trading days during a 30 consecutive trading day-period, is below $1.00 per Share.” In the event either Polar or Meteora amend their Forward Purchase Agreements to include different terms from the $1.00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the Sandia Forward Purchase Agreement. On July 17, 2024, the Company entered into the third amendment to the Forward Purchase Agreement with Polar (the “</w:t>
      </w:r>
      <w:r>
        <w:rPr>
          <w:rFonts w:ascii="Times New Roman" w:cs="Times New Roman" w:eastAsia="Times New Roman" w:hAnsi="Times New Roman"/>
          <w:sz w:val="18"/>
          <w:szCs w:val="18"/>
          <w:b w:val="1"/>
          <w:bCs w:val="1"/>
          <w:color w:val="auto"/>
        </w:rPr>
        <w:t>Polar Third Amendment</w:t>
      </w:r>
      <w:r>
        <w:rPr>
          <w:rFonts w:ascii="Times New Roman" w:cs="Times New Roman" w:eastAsia="Times New Roman" w:hAnsi="Times New Roman"/>
          <w:sz w:val="18"/>
          <w:szCs w:val="18"/>
          <w:color w:val="auto"/>
        </w:rPr>
        <w:t>”), pursuant to which the Company and Polar agreed that Section 2 (Most Favored Nation) of the Forward Purchase Agreement is applicable to all 2,450,000 shares subject to the Forward Purchase Agreement. On July 15, 2025, the Company and Meteora entered into an amendment to the FPA between Meteora and the Company, on July 16, 2025, the Company and Sandia entered into an amendment to the FPA between Sandia and the Company, and on August 1, 2025, the Company and Polar entered in an amendment to the FPA between Polar and the Company (collectively, the “FPA Amendments”). The FPA Amendments extend the valuation date applicable to the Forward Purchase Agreements (the “Valuation Date”) to the earliest to occur of (a) July 17, 2026, (b) the date specified by Meteora or Sandia, as applicable, in a written notice to be delivered to the Company at their discretion and (c) 90 days after delivery by us of a written notice in the event that for any 20 trading days during a 30 consecutive trading day-period that occurs at least six months after the closing date of the transactions under the Amended and Restated Business Combination Agreement entered into on May 26, 2023, the applicable volume-weighted average price (“VWAP Price”) is less than the then applicable reset price, provided that a registration statement was effective and available for the entire measurement period and remains continuously effective and available during the entire 90 day notice period. The FPA Amendments further amend the definition of “Settlement Amount Adjustment” to provide that if the expected Settlement Amount (as defined in the FPA Amendments)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the Company’s option, in cash or shares of our common stock. The FPA Amendments also amend the definition of “Cash Settlement Payment Date” to provide that if the Settlement Amount Adjustment exceeds the Settlement Amount, we shall remit to the applicable seller the difference between (i) the Settlement Amount Adjustment and (ii) the Settlement Amount. The FPA Amendments further provide that the Settlement Amount will be used solely as a calculation mechanism to determine any liability the Company may owe to the applicable seller via the Settlement Amount Adjustment, and notwithstanding anything to the contrary, the applicable seller shall not be required to remit the Settlement Amount to the Company or return any portion of the Prepayment Amount.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149" w:gutter="0" w:footer="0" w:header="0"/>
        </w:sectPr>
      </w:pPr>
    </w:p>
    <w:bookmarkStart w:id="43" w:name="page44"/>
    <w:bookmarkEnd w:id="4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FPA Investors hold some or all of the 5,618,488 forward purchase agreement shares on the Maturity Date, and the per share trading price of our common stock is less than the per share price at which the FPA Investors have the right to sell the common stock to us on the Maturity Date, we would expect that the FPA Investors will exercise this repurchase right with respect to such shares. In the event that we are required to repurchase these forward purchase agreement shares, or in the event that the Forward Purchase Agreements are terminated, the amount of cash arising from the Business Combination that would ultimately be available to fund our liquidity and capital resource requirements would be reduced accordingly, which would adversely affect our ability to fund our growth plan in the manner we had contemplated when entering into the Forward Purchase Agreements.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to purchase shares of our common stock may not be exercised at all or may be exercised on a cashless basis and we may not receive any cash proceeds from the exercise of such warrants.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exercise price of warrants to purchase shares of our common stock may be higher than the prevailing market price of the underlying shares of common stock. The exercise price of such warrants is subject to market conditions and may not be advantageous if the prevailing market price of the underlying shares of common stock is lower than the exercise price. The cash proceeds associated with the exercise of such warrants to purchase our common stock are contingent upon our stock price. The value of our common stock will fluctuate and may not align with the exercise price of such warrants at any given time. If such warrants are “out of the money,” meaning the exercise price is higher than the market price of our common stock, there is a high likelihood that warrant holders may choose not to exercise their warrants. As a result, we may not receive any proceeds from the exercise of such warrants.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with regard to certain warrants to purchase shares of our common stock that were issued in a private placement at the time of FACT’s IPO and warrants issued to certain selling securityholders in connection with conversion of working capital loans, it is possible that we may not receive cash upon their exercise, since these warrants may be exercised on a cashless basis. A cashless exercise allows warrant holders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warrants were exercised on a cash basis, which could impact the cash proceeds we receive from the exercise of such warrants.</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our outstanding debt requires a significant amount of cash, and we may not have sufficient cash flow from our business to pay our substantial debt.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(a) 12.00% Notes due 2029 and the 7.00% Convertible Senior Notes due 2029 (the 7.00% Notes due 2029 and with the 12.00% Notes due 2029, collectively, the “</w:t>
      </w:r>
      <w:r>
        <w:rPr>
          <w:rFonts w:ascii="Times New Roman" w:cs="Times New Roman" w:eastAsia="Times New Roman" w:hAnsi="Times New Roman"/>
          <w:sz w:val="18"/>
          <w:szCs w:val="18"/>
          <w:b w:val="1"/>
          <w:b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Senior Notes</w:t>
      </w:r>
      <w:r>
        <w:rPr>
          <w:rFonts w:ascii="Times New Roman" w:cs="Times New Roman" w:eastAsia="Times New Roman" w:hAnsi="Times New Roman"/>
          <w:sz w:val="18"/>
          <w:szCs w:val="18"/>
          <w:color w:val="auto"/>
        </w:rPr>
        <w:t>”) and (b) the convertible note and convertible debenture issued to Yorkville (collectively, the “</w:t>
      </w:r>
      <w:r>
        <w:rPr>
          <w:rFonts w:ascii="Times New Roman" w:cs="Times New Roman" w:eastAsia="Times New Roman" w:hAnsi="Times New Roman"/>
          <w:sz w:val="18"/>
          <w:szCs w:val="18"/>
          <w:b w:val="1"/>
          <w:bCs w:val="1"/>
          <w:color w:val="auto"/>
        </w:rPr>
        <w:t>Yorkville Notes</w:t>
      </w:r>
      <w:r>
        <w:rPr>
          <w:rFonts w:ascii="Times New Roman" w:cs="Times New Roman" w:eastAsia="Times New Roman" w:hAnsi="Times New Roman"/>
          <w:sz w:val="18"/>
          <w:szCs w:val="18"/>
          <w:color w:val="auto"/>
        </w:rPr>
        <w:t>”), depends on our future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which is subject to economic, financial, competitive and other factors beyond our control. Our business may not continue to generate cash flow from operations in the future sufficient to service our debt and make necessary capital expenditures. Additionally, as a result of the delayed filing of our Annual Report on Form 10-K for the year ended December 29, 2024 and, subsequently, our Quarterly Report on Form 10-Q for the quarter ended September 28, 2025, we incurred additional interest under the Convertible Senior Notes.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Convertible Senior Notes.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conversion features of the Convertible Senior Notes may adversely affect our financial condition and operating results.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holders of Convertible Senior Notes will be entitled to convert their notes at and during specified periods at their option. If one or more holders elect to convert their notes, unless we elect to satisfy our conversion obligation by delivering solely shares of our common stock (other than paying cash in lieu of delivering any fractional share), at maturity, we would be required to settle a portion or all of our conversion obligation through the payment of cash, which could adversely affect our liquidity.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the indentures or other agreements governing the Convertible Senior Notes, as well as the agreements governing the Yorkville Notes, may delay or prevent an otherwise a beneficial takeover attempt of us.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provisions in the indentures or other agreements governing the Convertible Senior Notes may make it more difficult or expensive for a third party to acquire us. For example, the indentures and other agreements governing the Convertible Senior Notes will require us to repurchase the Convertible Senior Notes for cash upon the occurrence of a fundamental change and, in certain circumstances, to increase the conversion rate for a holder that converts its notes in connection with a make-whole fundamental change. A takeover of us may trigger the requirement that we repurchase the Convertible Senior Notes and/or increase the conversion rate, which could make it costlier for a potential acquirer to engage in such takeover. Such additional costs may have the effect of delaying or preventing a takeover of us that would otherwise be beneficial to investors.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the Convertible Senior Notes or the Yorkville Notes may dilute the ownership interest of our stockholders or may otherwise depress the price of our common stock.</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conversion of some or all of the Convertible Senior Notes may dilute the ownership interests of our stockholders. Upon conversion of the Convertible Senior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Senior Notes may encourage short selling by market participants because the conversion of the Convertible Senior Notes could be used to satisfy short positions, or anticipated conversion of the Convertible Senior Notes into shares of our common stock could depress the price of our common stock.</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Convertible Senior Notes could adversely affect our reported financial condition and results.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accounting method for reflecting the Convertible Senior Notes on our balance sheet, accruing interest expense for the Convertible Senior Notes and reflecting the underlying shares of our common stock in our reported diluted earnings per share may adversely affect our reported earnings and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expect that the shares of common stock underlying the Convertible Senior Notes will be reflected in our diluted earnings per share using the “if converted” method. Under that method, diluted earnings per share would generally be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to the extent we are profitable in the future, and accounting standards may change in the future in a manner that may adversely affect our diluted earnings per share.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or holders of affiliate notes convert their notes or affiliate notes, respectively, following the satisfaction of those conditions and could materially reduce our reported working capital.</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(including potential sales of securities to White Lion pursuant to the White Lion Purchase Agreement and potential sales to Yorkville under the Yorkville Purchase Agreement), or the perception of future sales, by us or our stockholders in the public market could cause the market price for the common stock to decline.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sale of shares of our common stock in the public market, or the perception that such sales could occur, could harm the prevailing market price of shares of our common stock. These sales, or the possibility that these sales may occur, also might make it more difficult for the us to sell equity securities in the future at a time and at a price that it deems appropriate. In the future, we may issue our securities to raise capital or in connection with investments or acquisitions. The amount of shares of common stock issued or issuable upon exercise or conversion of securities issued in connection with a capital raise or an investment or acquisition could constitute a material portion of the then-outstanding shares of our common stock. Any issuance of additional securities in connection with capital raising activities, investments or acquisitions may result in additional dilution to our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in the process of implementing various information security procedures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Senior Vice President of IT, Chief Legal Officer, and Chief Financial Officer help identify, assess and manage the Company’s cybersecurity threats and risks. They will identify and assess risks from cybersecurity threats by monitoring and evaluating our threat environment using various methods including, for example manual and automated tools, subscribing to reports and services that identify cybersecurity threats, conducting scans of the threat environment, evaluating threats reported to us, internal and external audits, conducting threat assessments for internal and external threats, third-party threat assessments and conducting vulnerability assessments to identify vulnerabilities.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Depending on the environment, we are in the process of implementing various technical, physical, and organizational measures, processes, standards and policies designed to manage and mitigate material risks from cybersecurity threats to our Information Systems and Data, including, for example: incident response plan, incident detection, vulnerability management policy, network security controls, access controls, physical controls, systems monitoring, vendor risk management program, employee training, penetration testing, and systems monitoring.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will be integrated into the Company’s overall risk management processes. For example, our Information Security Management committee will evaluate material risks from cybersecurity threats against our overall business objectives and report to the Audit Committee of our Board of Directors, which evaluates our overall enterprise risk.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professional services firms, including legal counsel, cybersecurity consultants, cybersecurity software providers and penetration testing firms.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application providers and hosting companies.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the risks from cybersecurity threats that may materially affect the Company and how they may do so, see our risk factors under Part I. Item 1A. Risk Factors in this Annual Report on Form 10-K, including </w:t>
      </w:r>
      <w:r>
        <w:rPr>
          <w:rFonts w:ascii="Times New Roman" w:cs="Times New Roman" w:eastAsia="Times New Roman" w:hAnsi="Times New Roman"/>
          <w:sz w:val="18"/>
          <w:szCs w:val="18"/>
          <w:i w:val="1"/>
          <w:iCs w:val="1"/>
          <w:color w:val="auto"/>
        </w:rPr>
        <w:t>“Any unauthorized access to or disclosure or theft of 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we gather, store or use could harm our reputation and subject us to claims or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assists our Board of Directors in addressing the Company’s cybersecurity risk management as part of its general oversight function. The Audit Committee is responsible for overseeing Company’s cybersecurity risk management processes, including oversight of mitigation of risks from cybersecurity threats. The Audit Committee regularly reviews and discusses the Company’s cybersecurity risks with management, including the Company’s Chief Executive Officer, Chief Administrative Officer, Chief Financial Officer, Chief Legal Officer, and other applicable leaders.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Senior Vice President of IT is responsible for hiring appropriate personnel, helping to integrate cybersecurity risk considerations into the Company’s overall risk management strategy, and communicating key priorities to relevant personnel. The Chief Financial Officer is responsible for approving budgets, helping prepare for cybersecurity incidents, approving cybersecurity processes, and reviewing security assessments and other security-related reports.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cybersecurity incident response policy is being designed to escalate certain cybersecurity incidents to members of management depending on the circumstances. The Company’s Senior Vice President of IT works to help the Company mitigate and remediate cybersecurity incidents of which they are notified. In addition, the Company’s incident response policy will include reporting certain cybersecurity incidents to the Audit Committee of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details for our principal properties: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When</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square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Lease</w:t>
            </w: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Operations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footage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 Ends</w:t>
            </w:r>
          </w:p>
        </w:tc>
      </w:tr>
      <w:tr>
        <w:trPr>
          <w:trHeight w:val="216"/>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Headquarters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Office space</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Orem, UT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51,845</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administrative and operations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Office space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South Jordan, UT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5,617</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administrative and operations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Office space</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Lindon, UT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35,972</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r>
      <w:tr>
        <w:trPr>
          <w:trHeight w:val="43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19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information with respect to legal proceedings is set forth under </w:t>
      </w:r>
      <w:r>
        <w:rPr>
          <w:rFonts w:ascii="Times New Roman" w:cs="Times New Roman" w:eastAsia="Times New Roman" w:hAnsi="Times New Roman"/>
          <w:sz w:val="18"/>
          <w:szCs w:val="18"/>
          <w:b w:val="1"/>
          <w:bCs w:val="1"/>
          <w:color w:val="auto"/>
        </w:rPr>
        <w:t>Note 12 – Commitments and Contingencies</w:t>
      </w:r>
      <w:r>
        <w:rPr>
          <w:rFonts w:ascii="Times New Roman" w:cs="Times New Roman" w:eastAsia="Times New Roman" w:hAnsi="Times New Roman"/>
          <w:sz w:val="18"/>
          <w:szCs w:val="18"/>
          <w:color w:val="auto"/>
        </w:rPr>
        <w:t>, in the accompanying consolidated financial statements in Part II, Item 8 of this Form 10-K, and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SunPower’s common stock, par value $0.0001 per share, is traded on the Nasdaq Global Market under the symbol “SPWR.”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April 13, 2026, there were approximately 149 holders of record of our common stock. Additionally, there were 195 holders of record of our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fiscal year ended December 28, 2025, SunPower Inc. issued 4,010,000 shares of its common stock to White Lion Capital LLC for proceeds of $6.7 million. These sales were completed pursuant to our equity line of credit with White Lion, and the shares were sold pursuant to the exemption under Section 4(a)(2) of the Securities Act. The proceeds of these transactions were used for working capital and other general corporate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have never declared or paid any cash dividend on our common stock and have no plans to pay dividends. For more information on our common stock and dividend rights, see “Item 8. Financial Statements and Supplementary Data - Notes to Consolidated Financial Statements - </w:t>
      </w:r>
      <w:r>
        <w:rPr>
          <w:rFonts w:ascii="Times New Roman" w:cs="Times New Roman" w:eastAsia="Times New Roman" w:hAnsi="Times New Roman"/>
          <w:sz w:val="18"/>
          <w:szCs w:val="18"/>
          <w:b w:val="1"/>
          <w:bCs w:val="1"/>
          <w:color w:val="auto"/>
        </w:rPr>
        <w:t>Note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Stock and Common Stock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III – Item 12. Securities Authorized for Issuance Under Equity Compensation Plans”, which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consolidated financial statements and related notes included elsewhere in this Annual Report on Form 10-K. This discussion contains forward-looking statements that involve risks and uncertainties. Our actual results could differ materially from those discussed below. Factors that could cause or contribute to such differences include those identified below and those discussed in the section titled “Risk Factors” included elsewhere in this Annual Report on Form 10-K. Please also see the section titled “Special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SunPower Inc. is the rebranded name of Complete Solaria, Inc. The rebranding was effective April 22, 2025 and our legal name change became effective on October 16, 2025. We are headquartered in Orem, Utah.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Company was originally incorporated in Delaware as Complete Solar, Inc. on February 22, 2010. In 2022, Complete Solar, Inc. implemented a holding company reorganization creating Complete Solar Holding Corporation (“Complete Solar Holding”) as successor to Complete Solar, Inc. Complete Solar Holding then acquired The Solaria Corporation in November 2022 and we changed our name to Complete Solaria, Inc. We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This turnkey solution makes it easy for anyone to sell solar.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18, 2023, we consummated a series of merger transactions contemplated by an Amended and Restated Business Combination Agreement entered into with wholly-owned subsidiaries of Freedom Acquisition I Corp. (“FACT”) (“Mergers”), equating to a reverse recapitalization for accounting purposes. Under the reverse recapitalization of accounting, FACT was treated as the acquired company for financial statement reporting purposes. This determination was based on us having a majority of the voting power of the post-combination company, our senior management comprising substantially all of the senior management of the post-combination company, and our operations comprising the ongoing operations of the post-combination company. Accordingly, for accounting purposes, the Mergers were treated as the equivalent of a capital transaction in which we issued stock for the net assets of FACT. The net assets of FACT were stated at historical cost, with no goodwill or other intangible assets recorded.</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October 2023, we completed the sale of our solar panel business. On September 30, 2024, we acquired certain assets relating to the Blue Raven Solar business, New Homes business and Non-Installing Dealer network (collectively the “SunPower Businesses”) from the SunPower Debtors, the successor entity in bankruptcy to SunPower Corporation and its direct and indirect subsidiaries. The acquired SunPower Businesses sell products to residential customers and home builders through a network of installing and non-installing dealers and resellers and internal sales team. On September 24, 2025, we completed the acquisition of Sunder Energy, LLC, (“Sunder”), which contracts with customers for solar installations performed by third-party installation companies through a dealer network. On November 21, 2025, we completed the acquisition of Ambia Energy LLC, (“Ambia”) a residential solar energy system installer.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fulfill our customer contracts by using in-house installation experts and by engaging with local construction specialists. We manage the customer experience and complete all pre-construction activities prior to delivering build-ready projects including hardware, engineering plans, and building permits to our builder partners. We manage and coordinate this process through our proprietary software system.</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substantial doubt about our ability to continue as a going concern within one year after the date that the consolidated financial statements are issued. The consolidated financial statements included in this Annual Report on Form 10-K have been prepared assuming that we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Growth Strategy and Outlook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growth strategy contains the following elements:</w:t>
      </w:r>
    </w:p>
    <w:p>
      <w:pPr>
        <w:spacing w:after="0" w:line="223" w:lineRule="exact"/>
        <w:rPr>
          <w:sz w:val="20"/>
          <w:szCs w:val="20"/>
          <w:color w:val="auto"/>
        </w:rPr>
      </w:pPr>
    </w:p>
    <w:p>
      <w:pPr>
        <w:jc w:val="both"/>
        <w:ind w:left="980" w:hanging="324"/>
        <w:spacing w:after="0" w:line="258"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by expanding installation capacity and developing new geographic markets </w:t>
      </w:r>
      <w:r>
        <w:rPr>
          <w:rFonts w:ascii="Times New Roman" w:cs="Times New Roman" w:eastAsia="Times New Roman" w:hAnsi="Times New Roman"/>
          <w:sz w:val="18"/>
          <w:szCs w:val="18"/>
          <w:color w:val="auto"/>
        </w:rPr>
        <w:t>– We continue to expand our network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who will install systems resulting from sales generated by our sales partners. By leveraging this network of skilled builders in addition to our in-house installation experts, we aim to increase our installation capacity in our traditional markets and expand our offering into new geographies throughout the U.S. This will enable greater sales growth in existing markets and create new revenue in expansion markets.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and margin by engaging national-scale sales partners </w:t>
      </w:r>
      <w:r>
        <w:rPr>
          <w:rFonts w:ascii="Times New Roman" w:cs="Times New Roman" w:eastAsia="Times New Roman" w:hAnsi="Times New Roman"/>
          <w:sz w:val="18"/>
          <w:szCs w:val="18"/>
          <w:color w:val="auto"/>
        </w:rPr>
        <w:t>– We aim to offer a turnkey solar solution to prospective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with a national footprint. These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and margin by executing on a battery storage opportunity </w:t>
      </w:r>
      <w:r>
        <w:rPr>
          <w:rFonts w:ascii="Times New Roman" w:cs="Times New Roman" w:eastAsia="Times New Roman" w:hAnsi="Times New Roman"/>
          <w:sz w:val="18"/>
          <w:szCs w:val="18"/>
          <w:color w:val="auto"/>
        </w:rPr>
        <w:t>– We have an opportunity to increase our revenue and margin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battery space through our partnership with Enphase. By providing homeowners with an option to include battery storage as part of their solar system install, we believe there will be a greater need for battery storage as the demand and costs of energy will increase.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entered into an Amended and Restated Business Combination Agreement with FACT, First Merger Sub, Second Merger Sub, and Solaria on October 3, 2022. The Merger was consummated on July 18, 2023. Upon the terms and subject to the conditions of the Merger, (i) First Merger Sub merged with and into Complete Solaria with Complete Solaria surviving as a wholly-owned subsidiary of FACT (the “</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(ii) immediately thereafter and as part of the same overall transaction, Complete Solaria merged with and into Second Merger Sub, with Second Merger Sub surviving as a wholly-owned subsidiary of FACT (the “</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w:t>
      </w:r>
      <w:r>
        <w:rPr>
          <w:rFonts w:ascii="Times New Roman" w:cs="Times New Roman" w:eastAsia="Times New Roman" w:hAnsi="Times New Roman"/>
          <w:sz w:val="18"/>
          <w:szCs w:val="18"/>
          <w:b w:val="1"/>
          <w:bCs w:val="1"/>
          <w:color w:val="auto"/>
        </w:rPr>
        <w:t>Third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w:t>
      </w:r>
      <w:r>
        <w:rPr>
          <w:rFonts w:ascii="Times New Roman" w:cs="Times New Roman" w:eastAsia="Times New Roman" w:hAnsi="Times New Roman"/>
          <w:sz w:val="18"/>
          <w:szCs w:val="18"/>
          <w:color w:val="auto"/>
        </w:rPr>
        <w:t>”), with Third Merger Sub surviving as a wholly-owned subsidiary of FACT (the “Additional Merger”, and together with the First Merger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Mergers between Complete Solaria and FACT were accounted for as a reverse recapitalization. Under this method of accounting, FACT was treated as the acquired company for financial statement reporting purposes. This determination was primarily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Disposal Transaction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2023, we completed the divestiture of our solar panel business to Maxeon (“</w:t>
      </w:r>
      <w:r>
        <w:rPr>
          <w:rFonts w:ascii="Times New Roman" w:cs="Times New Roman" w:eastAsia="Times New Roman" w:hAnsi="Times New Roman"/>
          <w:sz w:val="18"/>
          <w:szCs w:val="18"/>
          <w:b w:val="1"/>
          <w:bCs w:val="1"/>
          <w:color w:val="auto"/>
        </w:rPr>
        <w:t>Divestiture</w:t>
      </w:r>
      <w:r>
        <w:rPr>
          <w:rFonts w:ascii="Times New Roman" w:cs="Times New Roman" w:eastAsia="Times New Roman" w:hAnsi="Times New Roman"/>
          <w:sz w:val="18"/>
          <w:szCs w:val="18"/>
          <w:color w:val="auto"/>
        </w:rPr>
        <w:t>”), pursuant to the terms of the Disposal Agreement. Under the terms of the Disposal Agreement, Maxeon agreed to acquire certain assets and employees of Complete Solaria, for an aggregate purchase price of approximately $11.0 million consisting of 1,100,000 shares of Maxeon ordinary shares. We determined that the criteria were met for discontinued operations classification as the divestiture represented a strategic shift in our business. In connection with the Divestiture, we recognized a loss from discontinued operations of $1.1 million, $2.0 million and $173.4 million in the fiscal years ended December 28, 2025, December 29, 2024 and December 31, 2023, respectively. We also sold all the Maxeon shares in the year ended December 31, 2023, and recorded a $4.2 million loss on the sale of these shares in our consolidated statements of operations and comprehensive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Assets of SunPower Debtors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September 30, 2024, we acquired the SunPower Businesses for consideration of $54.5 million which we financed through the issuance of $66.8 million of 7.0% senior unsecured convertible notes in September 2024. These notes mature on July 1, 2029 and are convertible into shares of the Company’s common stock at the option of the holder at a current conversion rate of $1.71 per share. The SunPower Businesses operated as a solar technology and energy services provider that offered fully integrated solar, storage, and home energy solutions to customers in the United States through an array of hardware, software, and “Smart Energy” solutions. This transaction was accounted for as a business combination under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Sunder Energy LLC</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24, 2025, we acquired all of the membership interests in Sunder Energy LLC (“Sunder”) for consideration of $57.8 million. We financed this transaction through (1) $20.7 million in cash, subject to certain working capital and other adjustments; (2) a promissory note to the seller in the principal amount of $20.0 million (“Seller Note”); and (3) 10.0 million shares of the Company’s common stock valued at $17.1 million (based on the $1.71 closing share price of the Company’s common stock on September 24, 2025). We issued 3.3 million shares at the acquisition date and will issue the remining shares in two equal tranches of 3.3 million shares at 12 months and 18 months following the date of acquisition. Sunder is a solar sales company. Sunder provides a third-party solar energy sales force to initiate and execute contracts with customers throughout the United States. Sunder’s sales force works with solar installation companies in which Sunder acts as the agent for each transaction entered. Sunder earns revenue from contracts sold to customers for solar installations performed by third-party installation companies. We acquired Sunder as a strategic acquisition to expand its overall market share and its penetration into more U.S. states. We accounted for this transaction as a business combination under ASC 805.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Ambia Energy LLC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21, 2025, we acquired all of the membership interests in Ambia Energy LLC (“Ambia”) for consideration of $33.4 million. We financed this acquisition through the issuance of 10.2 million shares of our common stock with a fair value of $16.5 million on the date of acquisition and an agreement to issue an additional $16.9 million in shares of our common stock in two tranches with the final issuance on the 12-month anniversary of the Ambia closing. Ambia is a residential solar energy system installer and operates in various markets throughout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Supply Chain Constraints and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These shortages and delays can be attributed in part to the broader macroeconomic conditions and have been exacerbated by the conflicts in Ukraine and Israel. If any of our suppliers of solar modules experienced disruptions in the supply of the modules’ component parts, for example semiconductor solar wafers or inverters,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For additional information on risk factors that could impact our results, please refer to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located elsewhere in this Annual Report on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revenue for the Residential Solar Installation and New Homes Business reportable segments when installation is substantially complete, the system is capable of interconnection to the local power grid, and control has transferred to the customer.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Installation activities—including system design, equipment delivery, installation, and grid interconnection—are treated as a single performance obligation. For most contracts, revenue is recognized over time beginning upon installation, using an input method based on direct installation costs. Installation costs incurred prior to this point are deferred.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Residential Solar Installation revenue is generated through cash sales, third-party financing arrangements, and power purchase or lease structures.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Homeowners are the customers in cash and financing arrangements, while leasing partners are the customers in power purchase and lease arrangements.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Homes Business revenue is primarily generated from sales to homebuilders, with limited lease arrangements recognized upon system acceptance.</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Revenue is recorded at the transaction price, net of customer incentives and financing-related fees, and may include estimated variable consideration. Deferred revenue represents amounts billed or collected in advance of performance. None of the Company’s arrangements contain a significant financing component.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our Dealer reportable segment, we earn revenue from contracts in which solar installations are performed by third-party installation companies. In these arrangements, our performance obligation is to facilitate the transaction and arrange for installation services rather than provide those services directly. As a result, we act as an agent and recognize revenue on a net basis, representing the fee retained by us.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Dealer revenue is recognized at a point in time when Permission to Operate (“PTO”) is obtained, which indicates that installation is complete and the system is authorized for operation. These arrangements do not include significant financing components, and we do not provide warranty services related to dealer-installed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and Fulfill Contracts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costs to obtain and fulfill contracts, when recognized, associated with systems sales are expensed as sales commission and cost of revenue, respectively. In addition, incentives we provide to our customers, such as discounts and rebates, are recorded net to the revenue we have recognized on the solar power system.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revenues is comprised primarily of cost of material, internal labor costs, third-party subcontractors, design services, engineering personnel and employee-related expenses associated with permitting services, associated warranty costs, freight and delivery costs, depreciation, amortization of internally developed software and amortization of developed technology. Cost of revenues from these services is recognized when we transfer control of the product to the customer, which is generally upon installation.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Commissions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commissions are direct and incremental costs of obtaining customer contracts. These costs are paid to internal sales teams and third-party vendors who source residential customer contracts for the sale of solar energy systems.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 related costs, including salaries and employee benefits, stock-based compensation, and other advertising and promotional expenses. We expense certain sales and marketing, including promotional expenses, as incurred.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employees, in our finance, research, engineering, and administrative teams including salaries, bonuses, payroll taxes, and stock-based compensation. It also consists of legal, consulting, and professional fees, rent expenses pertaining to our offices, depreciation expense, business insurance costs and other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income, net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classify changes in the fair value of (i) derivative liabilities associated with our debt, (ii) warrant liabilities, (iii) Simple Agreements for Future Equity (“SAFE”), and (iv) forward purchase agreements (“FPAs”) as non-operating gains and losses within this category.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GAAP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Actual results could differ significantly from our estimates. Our future financial statements will be affected to the extent that our actual results materially differ from these estimates. For further information on all of our significant accounting policies, see Note 2 – Summary of Significant Accounting Policies, to our consolidated financial statements included elsewhere in this Annual Report on Form 10-K.</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that policies associated with our revenue recognition and business combination have the greatest impact on our consolidated financial statements. Therefore, we consider these to be our critical accounting policies and estimates.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recognition involves significant judgment in determining the timing of control transfer, identification of the customer, estimation of variable consideration, and measurement of progress toward completion. For the Residential Solar Installation and New Homes Business segments, the Company’s performance obligation is the design and installation of a fully functioning solar energy system, which includes design, equipment delivery, installation, and grid interconnection services. These activities are combined into a single performance obligation.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is generally recognized over time using an input method based on direct installation costs, beginning when installation is complete and control of the system begins to transfer to the customer. This approach requires management to estimate total expected installation costs, and changes in these estimates may impact the timing and amount of revenue recognized. Installation costs incurred prior to the transfer of control are deferred.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certain New Homes Business lease arrangements, revenue is recognized at a point in time upon system acceptance. In arrangements involving financing partners or leasing partners, judgment is required to determine the appropriate customer, which affects revenue timing and presentation. Dealer segment revenue is recognized on a net basis at the point in time when Permission to Operate is obtained.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transaction price may include variable consideration, which is estimated using the most likely amount and constrained to amounts for which a significant revenue reversal is not probable. Estimates are reassessed each reporting period, and changes are recognized prospectively. Revenue is recorded net of customer incentives and does not include a significant financing component. Changes in assumptions related to these estimates could materially affect reported revenue and deferred balances.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Dealer revenue is recognized at a point in time when PTO is obtained, which indicates that installation is complete and the system is authorized for operation. These arrangements do not include significant financing components, and we do not provide warranty services related to dealer-installed systems.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Business Combinations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record all acquired assets and liabilities, including goodwill, and other identifiable intangible assets at fair value. The initial recognition of identifiable intangible assets, requires certain estimates and assumptions concerning the determination of the fair values and useful lives. The judgments made in the context of the purchase price allocation can materially affect our future results of operations. Accordingly, when valuing identifiable intangible assets, we obtain assistance from third-party valuation specialists. The valuations calculated from estimates are based on information available at the acquisition date. Goodwill is not amortized but is subject to annual tests for impairment or more frequent tests if events or circumstances indicate it may be impaired. Other intangible assets are amortized over their estimated useful lives and are subject to impairment if events or circumstances indicate a possible inability to realize the carrying amount.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A discussion of recently issued accounting standards applicable to our Company is described in </w:t>
      </w:r>
      <w:r>
        <w:rPr>
          <w:rFonts w:ascii="Times New Roman" w:cs="Times New Roman" w:eastAsia="Times New Roman" w:hAnsi="Times New Roman"/>
          <w:sz w:val="18"/>
          <w:szCs w:val="18"/>
          <w:b w:val="1"/>
          <w:bCs w:val="1"/>
          <w:color w:val="auto"/>
        </w:rPr>
        <w:t>Note 2 –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Policies, </w:t>
      </w:r>
      <w:r>
        <w:rPr>
          <w:rFonts w:ascii="Times New Roman" w:cs="Times New Roman" w:eastAsia="Times New Roman" w:hAnsi="Times New Roman"/>
          <w:sz w:val="18"/>
          <w:szCs w:val="18"/>
          <w:color w:val="auto"/>
        </w:rPr>
        <w:t>in the accompanying notes to the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ended December 28, 2025 (“2025”) compared to the fiscal year ended December 29, 2024 (“2024”)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this section, we discuss the results of our operations for fiscal 2025 compared to fiscal 2024. We discuss our cash flows and current financial condition under “Liquidity and Capital Resources”.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for the fiscal years ended December 28, 2025 and December 29, 2024, respectively. We have derived this data from our consolidated financial statements included elsewhere in this Annual Report on Form 10-K. This information should be read in conjunction with our consolidated financial statements and related notes included elsewhere in this Annual Report on Form 10-K. The results of historical periods are not necessarily indicative of the results of operations for any future period. Within the tables presented, percentages are calculated based on the underlying whole-dollar amounts and, therefore, may not recalculate exactly from the rounded numbers used for disclosure purposes.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3"/>
          </w:tcPr>
          <w:p>
            <w:pPr>
              <w:jc w:val="right"/>
              <w:ind w:right="221"/>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10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3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50"/>
        </w:trPr>
        <w:tc>
          <w:tcPr>
            <w:tcW w:w="440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8"/>
                <w:szCs w:val="28"/>
                <w:color w:val="auto"/>
                <w:vertAlign w:val="superscript"/>
              </w:rPr>
              <w:t>(1)</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170,788</w:t>
            </w:r>
          </w:p>
        </w:tc>
        <w:tc>
          <w:tcPr>
            <w:tcW w:w="220" w:type="dxa"/>
            <w:vAlign w:val="bottom"/>
          </w:tcPr>
          <w:p>
            <w:pPr>
              <w:spacing w:after="0"/>
              <w:rPr>
                <w:sz w:val="21"/>
                <w:szCs w:val="21"/>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69,240</w:t>
            </w:r>
          </w:p>
        </w:tc>
        <w:tc>
          <w:tcPr>
            <w:tcW w:w="180" w:type="dxa"/>
            <w:vAlign w:val="bottom"/>
          </w:tcPr>
          <w:p>
            <w:pPr>
              <w:spacing w:after="0"/>
              <w:rPr>
                <w:sz w:val="21"/>
                <w:szCs w:val="21"/>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101,548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6"/>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129,212</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3"/>
        </w:trPr>
        <w:tc>
          <w:tcPr>
            <w:tcW w:w="44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Gross margin %</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41"/>
              <w:spacing w:after="0" w:line="203"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7"/>
                <w:szCs w:val="17"/>
                <w:color w:val="auto"/>
              </w:rPr>
            </w:pPr>
          </w:p>
        </w:tc>
        <w:tc>
          <w:tcPr>
            <w:tcW w:w="1140" w:type="dxa"/>
            <w:vAlign w:val="bottom"/>
            <w:gridSpan w:val="2"/>
          </w:tcPr>
          <w:p>
            <w:pPr>
              <w:jc w:val="right"/>
              <w:ind w:right="41"/>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Sales commissions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37,009</w:t>
            </w:r>
          </w:p>
        </w:tc>
        <w:tc>
          <w:tcPr>
            <w:tcW w:w="22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24,590</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12,419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6"/>
        </w:trPr>
        <w:tc>
          <w:tcPr>
            <w:tcW w:w="4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9"/>
                <w:szCs w:val="29"/>
                <w:color w:val="auto"/>
                <w:vertAlign w:val="superscript"/>
              </w:rPr>
              <w:t>(1)</w:t>
            </w: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29,030</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6,827</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22,203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50"/>
        </w:trPr>
        <w:tc>
          <w:tcPr>
            <w:tcW w:w="440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8"/>
                <w:szCs w:val="28"/>
                <w:color w:val="auto"/>
                <w:vertAlign w:val="superscript"/>
              </w:rPr>
              <w:t>(1)</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90,104</w:t>
            </w:r>
          </w:p>
        </w:tc>
        <w:tc>
          <w:tcPr>
            <w:tcW w:w="220" w:type="dxa"/>
            <w:vAlign w:val="bottom"/>
          </w:tcPr>
          <w:p>
            <w:pPr>
              <w:spacing w:after="0"/>
              <w:rPr>
                <w:sz w:val="21"/>
                <w:szCs w:val="21"/>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76,594</w:t>
            </w:r>
          </w:p>
        </w:tc>
        <w:tc>
          <w:tcPr>
            <w:tcW w:w="180" w:type="dxa"/>
            <w:vAlign w:val="bottom"/>
          </w:tcPr>
          <w:p>
            <w:pPr>
              <w:spacing w:after="0"/>
              <w:rPr>
                <w:sz w:val="21"/>
                <w:szCs w:val="21"/>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13,510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6"/>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156,143</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108,011</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3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(26,931</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(68,509</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41,578</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Interest expense</w:t>
            </w:r>
            <w:r>
              <w:rPr>
                <w:rFonts w:ascii="Times New Roman" w:cs="Times New Roman" w:eastAsia="Times New Roman" w:hAnsi="Times New Roman"/>
                <w:sz w:val="28"/>
                <w:szCs w:val="28"/>
                <w:color w:val="auto"/>
                <w:vertAlign w:val="superscript"/>
              </w:rPr>
              <w:t>(2)</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(25,095)</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(16,223)</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(8,872)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56"/>
        </w:trPr>
        <w:tc>
          <w:tcPr>
            <w:tcW w:w="4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 non-operating income, net</w:t>
            </w:r>
            <w:r>
              <w:rPr>
                <w:rFonts w:ascii="Times New Roman" w:cs="Times New Roman" w:eastAsia="Times New Roman" w:hAnsi="Times New Roman"/>
                <w:sz w:val="29"/>
                <w:szCs w:val="29"/>
                <w:color w:val="auto"/>
                <w:vertAlign w:val="superscript"/>
              </w:rPr>
              <w:t>(3)</w:t>
            </w: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9,347</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7,932</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0"/>
        </w:trPr>
        <w:tc>
          <w:tcPr>
            <w:tcW w:w="440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Gain on troubled debt restructuring</w:t>
            </w:r>
            <w:r>
              <w:rPr>
                <w:rFonts w:ascii="Times New Roman" w:cs="Times New Roman" w:eastAsia="Times New Roman" w:hAnsi="Times New Roman"/>
                <w:sz w:val="28"/>
                <w:szCs w:val="28"/>
                <w:color w:val="auto"/>
                <w:vertAlign w:val="superscript"/>
              </w:rPr>
              <w:t>(4)</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22,337</w:t>
            </w:r>
          </w:p>
        </w:tc>
        <w:tc>
          <w:tcPr>
            <w:tcW w:w="180" w:type="dxa"/>
            <w:vAlign w:val="bottom"/>
          </w:tcPr>
          <w:p>
            <w:pPr>
              <w:spacing w:after="0"/>
              <w:rPr>
                <w:sz w:val="21"/>
                <w:szCs w:val="21"/>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(22,337)</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6"/>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taxes</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(42,676</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(provision)</w:t>
            </w:r>
          </w:p>
        </w:tc>
        <w:tc>
          <w:tcPr>
            <w:tcW w:w="13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(1,578</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(44,254</w:t>
            </w:r>
          </w:p>
        </w:tc>
        <w:tc>
          <w:tcPr>
            <w:tcW w:w="2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4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55" w:name="page56"/>
    <w:bookmarkEnd w:id="55"/>
    <w:p>
      <w:pPr>
        <w:ind w:left="340" w:hanging="332"/>
        <w:spacing w:after="0"/>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stock-based compensation expense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4,867</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interest expense and amortization of debt discount costs with related parties of $5.7 million and $7.6 million in 2025 and 2024, respectively.</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the following related party transactions in 2025 (i) a gain of $3.5 million due to the change in the fair value of derivative liabilities; and (ii) $0.1 million of other income due to a change in the fair value of a forward purchase agreement.</w:t>
      </w:r>
    </w:p>
    <w:p>
      <w:pPr>
        <w:spacing w:after="0" w:line="199" w:lineRule="exact"/>
        <w:rPr>
          <w:rFonts w:ascii="Times New Roman" w:cs="Times New Roman" w:eastAsia="Times New Roman" w:hAnsi="Times New Roman"/>
          <w:sz w:val="30"/>
          <w:szCs w:val="30"/>
          <w:color w:val="auto"/>
          <w:vertAlign w:val="superscript"/>
        </w:rPr>
      </w:pPr>
    </w:p>
    <w:p>
      <w:pPr>
        <w:jc w:val="both"/>
        <w:ind w:left="340"/>
        <w:spacing w:after="0" w:line="26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the following related party transactions in 2024; (i) $0.7 million of expense in connection with the conversion of SAFE Agreements into shares of common stock and the change in the fair value of SAFE Agreements, (ii) $3.0 million of expense in connection with the loss on issuance of a derivative liability and $0.3 million of income due to the change in the value of derivative liabilities, and (iii) $0.1 million of income in connection with the change in the fair value of forward purchase agreements.</w:t>
      </w:r>
    </w:p>
    <w:p>
      <w:pPr>
        <w:spacing w:after="0" w:line="6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Gain includes $12.5 million with a related party in 2024.</w:t>
      </w:r>
    </w:p>
    <w:p>
      <w:pPr>
        <w:spacing w:after="0" w:line="87"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change not meaningful.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We disaggregate our revenues based on the following reportable segments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134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gridSpan w:val="2"/>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160,987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93,527</w:t>
            </w:r>
          </w:p>
        </w:tc>
        <w:tc>
          <w:tcPr>
            <w:tcW w:w="22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124,595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41,282</w:t>
            </w:r>
          </w:p>
        </w:tc>
        <w:tc>
          <w:tcPr>
            <w:tcW w:w="1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83,313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14,418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14,418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108,742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191,258</w:t>
            </w:r>
          </w:p>
        </w:tc>
        <w:tc>
          <w:tcPr>
            <w:tcW w:w="2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change not meaningful.</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Residential Solar Installation revenue increased primarily attributed to a full year of Solar Installation due to the acquisition of SunPower Businesses at the beginning of our fourth quarter in fiscal year ended December 29, 2024. New Homes Business increased due to the sale of solar system sales to home builders and the completion of backlog projects acquired with the SunPower Businesses. Dealer revenues are attributable to the acquisition of Sunder.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00" w:type="dxa"/>
            <w:vAlign w:val="bottom"/>
          </w:tcPr>
          <w:p>
            <w:pPr>
              <w:spacing w:after="0"/>
              <w:rPr>
                <w:sz w:val="18"/>
                <w:szCs w:val="18"/>
                <w:color w:val="auto"/>
              </w:rPr>
            </w:pPr>
          </w:p>
        </w:tc>
        <w:tc>
          <w:tcPr>
            <w:tcW w:w="138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82,288</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23,974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58,314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line="20" w:lineRule="exact"/>
              <w:rPr>
                <w:sz w:val="1"/>
                <w:szCs w:val="1"/>
                <w:color w:val="auto"/>
              </w:rPr>
            </w:pPr>
          </w:p>
        </w:tc>
      </w:tr>
      <w:tr>
        <w:trPr>
          <w:trHeight w:val="278"/>
        </w:trPr>
        <w:tc>
          <w:tcPr>
            <w:tcW w:w="5900" w:type="dxa"/>
            <w:vAlign w:val="bottom"/>
            <w:vMerge w:val="continue"/>
          </w:tcPr>
          <w:p>
            <w:pPr>
              <w:spacing w:after="0"/>
              <w:rPr>
                <w:sz w:val="24"/>
                <w:szCs w:val="24"/>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170,788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69,240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101,548</w:t>
            </w:r>
          </w:p>
        </w:tc>
        <w:tc>
          <w:tcPr>
            <w:tcW w:w="1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change not meaningful.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6" w:name="page57"/>
    <w:bookmarkEnd w:id="56"/>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Residential Solar Installation cost of revenue increase is primarily attributed to a full year of Solar Installation as described above. New Homes Business cost of revenue increased as a result of a full year of completing backlog and the inventory costs associated with each solar system sale. Cost of revenues attributable to the Dealer network is attributable to the acquisition of Sunder.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gross margins is attributed to operational efficiencies gained through the synergies created by consolidating the various lines of business and streamlining direct overhead costs attributed to each solar installation.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134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3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1,202</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3,830</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5,679</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sales commissions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24,590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12,419</w:t>
            </w:r>
          </w:p>
        </w:tc>
        <w:tc>
          <w:tcPr>
            <w:tcW w:w="14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change not meaningful.</w:t>
      </w:r>
    </w:p>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Residential Solar and New Homes Business sales commission increased from the prior fiscal year ended December 28, 2025 is primarily attributable to the increase in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134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3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3,253</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sales &amp; marketing</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6,827</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22,203</w:t>
            </w:r>
          </w:p>
        </w:tc>
        <w:tc>
          <w:tcPr>
            <w:tcW w:w="14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change not meaningful.</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Residential Solar Installation expense increased in fiscal 2025 compared to fiscal 2024 due to increase in overall headcount due to combined business and increasing sales and marketing footprint. New Homes Business increased when compared to prior year primarily attributable to our decision to invest in sales and marketing efforts in fiscal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134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3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29,648</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18,953</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10,695</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1,859</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90,104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13,510</w:t>
            </w:r>
          </w:p>
        </w:tc>
        <w:tc>
          <w:tcPr>
            <w:tcW w:w="14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change not meaningful.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Residential Solar Installation expenses decreased as a result of declines in our legacy operations following a strategic resizing of this reportable segment including reduction of personnel costs. New Homes Business increased due a full year of operations in fiscal 2025. Dealer reportable segment expenses increased entirely attributable to our acquisition of Sunder.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inclusive of amortization of debt issuance costs was $25.1 million in fiscal 2025 and principally consisted of $20.4 million attributable to our 7.0% senior unsecured convertible notes and $3.4 million attributable to our 12.0% senior unsecured convertible notes with the remainder attributable to interest expense on our other obligations.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inclusive of amortization of debt issuance costs was $16.2 million in fiscal 2024 and principally consisted of (i) $5.5 million related to our 7.0% senior unsecured convertible notes, (ii) $3.5 million related to our 12.0% senior unsecured convertible notes, (iii) $5.8 million relating to obligations that were exchanged during fiscal 2024 for 12.0% senior unsecured convertible notes, and (iv) other of $1.4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Net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non-operating income, net, was $9.3 million in in fiscal 2025. Other income principally consisted of $11.5 million of gains from changes in the fair value of derivative liabilities associated with our 12.0% and 7.0% senior unsecured convertible notes and other non-cash income and other of $1.3 million. These gains were partially offset by a $2.8 million increase in the fair value of our public, private placement and working capital warrants accounted for as liabilities, $0.5 million increase in the fair value of our forward purchase agreements liabilities, and $0.2 million increase in the fair value of a SAFE Agreement liability.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non-operating income, net was $7.9 million in fiscal 2024. The amounts consisted primarily of a $34.0 million gain on remeasurement of derivative liabilities associated with our 12.0% and 7.0% senior unsecured convertible notes, a $2.9 million net gain due to changes in fair values of warrants accounted for as liabilities, a $0.6 million gain due to the change in the fair value of SAFE Agreements and net other of $0.2 million partially offset by a $24.7 million loss on issuance of a derivative liabilities, $3.8 million of other financing costs and $1.3 million loss on the conversion of SAFE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from Continuing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net loss from continuing operations in 2025, was $44.3 million, a decrease in net loss of $10.1 million, as compared to a net loss from continuing operations of $54.4 million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losses and negative cash flows from operations. We incurred net losses of $41.7 million and $56.5 million, in 2025 and 2024, respectively, and had an accumulated deficit of $453.1 million and current debt of $24.3 million as of December 28, 2025. We had cash and cash equivalents (excluding restricted cash) of $9.6 million as of December 28, 2025, which is held for working capital expenditures. We believe our operating losses and negative operating cash flows will continue into the foreseeable future.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finance our continuing operations through the revenue we collect and through the issuance of debt and equity instruments. For expenses related to mergers and acquisition and payments on our debt obligation we rely on sales of equity securities, the issuance of debt instruments, SAFE Agreements, leases and cash generated from operations. Our cash equivalents are on deposit with major financial institutions. Our cash position raises substantial doubt regarding our ability to continue as a going concern for 12 months following the issuance of the accompanying consolidated financial statements. In the fiscal year ended December 28, 2025, we issued a $20.0 million Seller note and $22.0 million of 7.0% senior unsecured convertible notes to finance our acquisition of Sunder. We also issued $7.0 million in 12.0% senior unsecured convertible notes to entities related to our CEO in fiscal 2025 to finance our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28, 2025, we had negative working capital, including cash and cash equivalents, of $38.0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Our contractual debt obligations consist of the following principal amounts excluding unamortized debt issuance costs and accrued interest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7"/>
        </w:trPr>
        <w:tc>
          <w:tcPr>
            <w:tcW w:w="59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43"/>
        </w:trPr>
        <w:tc>
          <w:tcPr>
            <w:tcW w:w="5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12.0% senior unsecured convertible notes </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59,587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7.0% senior unsecured convertible notes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87,293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79,800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Seller note –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Loan with related party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amount of debt outstanding</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225" w:lineRule="exact"/>
        <w:rPr>
          <w:sz w:val="20"/>
          <w:szCs w:val="20"/>
          <w:color w:val="auto"/>
        </w:rPr>
      </w:pPr>
    </w:p>
    <w:p>
      <w:pPr>
        <w:jc w:val="both"/>
        <w:ind w:left="340" w:hanging="332"/>
        <w:spacing w:after="0" w:line="219" w:lineRule="auto"/>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connection with an exchange of debt in fiscal 2024 for $18.0 million of the principal amount of the 12% senior unsecured convertible notes, we also capitalized all future interest (including coupon interest, default interest and failure to file interest) associated with this portion of the notes which amounts to $10.8 million and $13.6 million as of December 28, 2025 and December 29, 2024, respectively. These amounts are included in the above table.</w:t>
      </w:r>
    </w:p>
    <w:p>
      <w:pPr>
        <w:spacing w:after="0" w:line="19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fiscal year ended December 28, 2025, we issued $7.0 million principal amount of 12.0% senior unsecured convertible notes to an entity controlled by our CEO, for an aggregate related party principal balance of $25.0 million principal amount of the 12.0% senior unsecured convertible notes. In the fiscal year ended December 28, 2025, we issued $22.0 million principal amount of 7% senior unsecured convertible notes and $14.7 million principal amount of 7% senior unsecured convertible notes were converted into approximately 8.6 million shares of our common stock. We pay interest on both the 7.0% and 12.0% senior unsecured convertible notes semi-annually on January 1 and July 1. The principal amount of these senior unsecured convertible notes is due in full on July 1, 2029.</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2025, we issued the Seller note in the principal amount of $20.0 million in connection with our acquisition of Sunder Energy LLC. Interest accrues under the Seller note at a rate of 7.0%. Principal and interest are payable upon maturity on the earlier of May 15, 2026, subject to certain terms that defer the maturity date to September 30, 2026, depending on the amount of outstanding indebtedness under our Yorkville facilities.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in Part II, Item 8 of this Annual Report on Form 10-K for more information on our debt obligations.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received a deposit of $2.0 million from the Rodgers Revocable Trust, a party to our CEO, in the fiscal year ended December 28, 2025. In January 2026, we received an additional $1.3 million in proceeds from the Rodgers Revocable Trust and together with the $2.0 million, we issued a convertible promissory note in the principal amount of $3.3 million (the “January 2026 Note”). The January 2026 Note will mature on July 1, 2029, unless earlier converted, redeemed or repurchased. Interest on the January 2026 Note is payable semiannually in arrears on January1 and July 1 of each year, beginning on July 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agreement with White Lion Capital LLC (“White Lion”)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have a common stock purchase agreement with White Lion for an equity line of credit financing facility (“White Lion SPA”). Pursuant to the White Lion SPA, we have the right, but not the obligation, to require White Lion to purchase, from time to time, up to $30 million in aggregate gross purchase price of newly issued shares of our common stock, subject to the caps and certain limitations and conditions set forth in the White Lion SPA, including terms that restrict our ability to issue shares of common stock to White Lion that would result in White Lion beneficially owning more than 9.99% of our outstanding common stock. On August 14, 2024, we entered into Amendment No. 2 to the White Lion SPA (collectively with the White Lion SPA “White Lion Amended SPA”). The White Lion Amended SPA provides that we may notify White Lion to exercise our right to sell shares of our common stock by delivering an Hour Rapid Purchase Notice. If we deliver an Hour Rapid Purchase Notice, we shall deliver to White Lion shares of our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us the Hour Rapid Purchase Investment Amount equal to the number of shares of our common stock subject to the applicable Hour Rapid Purchase Notice multiplied by the lowest traded price of our common stock during the one-hour period following White Lion’s consent to the acceptance of the applicable Hour Rapid Purchase Notice. Under this arrangement, we received proceeds of $6.7 million and $6.7 million in the years ended December 28, 2025 and December 29, 2024, respectively. </w:t>
      </w:r>
      <w:r>
        <w:rPr>
          <w:rFonts w:ascii="Times New Roman" w:cs="Times New Roman" w:eastAsia="Times New Roman" w:hAnsi="Times New Roman"/>
          <w:sz w:val="18"/>
          <w:szCs w:val="18"/>
          <w:b w:val="1"/>
          <w:bCs w:val="1"/>
          <w:color w:val="auto"/>
        </w:rPr>
        <w:t>Refer to Note 14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Stock and Common Stock Warrants</w:t>
      </w:r>
      <w:r>
        <w:rPr>
          <w:rFonts w:ascii="Times New Roman" w:cs="Times New Roman" w:eastAsia="Times New Roman" w:hAnsi="Times New Roman"/>
          <w:sz w:val="18"/>
          <w:szCs w:val="18"/>
          <w:color w:val="auto"/>
        </w:rPr>
        <w:t>, in Part II, Item 8 of this Annual Report on Form 10-K for more information on our lease obligations.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11, 2026, we and White Lion entered into Amendment No. 3 (“Amendment No. 3”) to the White Lion SPA. Amendment No. 3 extends the commitment period under the White Lion SPA (the “Commitment Period”) to the earlier of December 31,2027 and the date on which White Lion has purchased an aggregate number of shares of our common stock equal to the Commitment Amount (as defined below). Further, Amendment No. 3 increases, subject to approval by our stockholders, the commitment amount under the Purchase Agreement to $55.0 million of shares of our common stock (the “Commitment Amount”), which we may elect to sell to White Lion pursuant to the White Lion SPA, from time to time in our sole discretion, during the Commitment Period. As a result of our total sales of common stock to White Lion as of January 12, 2026, we may receive up to an additional $48.5 million in gross proceeds after such date under the White Lion Purchase Agreement (assuming the shares to be issued are sold at a price of $1.00 per share) if our stockholders authorize the increase in the White Lion Commitment Amount to $55.0 million.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Amendment No. 3 adds an option for us to submit three hour rapid purchase notices to White Lion that, if accepted by White Lion and otherwise delivered in accordance with the Purchase Agreement, would enable us to sell shares of our common stock to White Lion based on the lowest traded price of our common stock during the three-hour valuation period following White Lion’s written acceptance of a three hour purchase notice.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and around July 13, 2023, FACT entered into separate Forward Purchase Agreements (the “Forward Purchase Agreements”) with each of</w:t>
      </w:r>
    </w:p>
    <w:p>
      <w:pPr>
        <w:spacing w:after="0" w:line="27" w:lineRule="exact"/>
        <w:rPr>
          <w:sz w:val="20"/>
          <w:szCs w:val="20"/>
          <w:color w:val="auto"/>
        </w:rPr>
      </w:pPr>
    </w:p>
    <w:p>
      <w:pPr>
        <w:jc w:val="both"/>
        <w:ind w:firstLine="8"/>
        <w:spacing w:after="0" w:line="251" w:lineRule="auto"/>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Meteora Special Opportunity Fund I, LP (“MSOF”), Meteora Capital Partners, LP (“MCP”) and Meteora Select Trading Opportunities Master, LP (“MSTO”) (with MSOF, MCP, and MSTO collectively as “Meteora”); (ii) Polar Multi-Strategy Master Fund (“Polar”), and (iii) Diametric True Alpha Market Neutral Master Fund, LP, Diametric True Alpha Enhanced Market Neutral Master Fund, LP, and Pinebridge Partners Master Fund, LP (collectively, “Sandia”, and each of Meteora, Polar, and Sandia, individually, an “FPA Investor”, and together, the “FPA Investors”), pursuant to which FACT (now SunPower (f/k/a Complete Solaria, Inc.) following the closing of the Business Combination) agreed to purchase in the aggregate, on the date that was originally 24 months after the closing date of the Forward Purchase Agreements, up to 5,618,488 shares of common stock then held by the FPA Investors (subject to certain conditions and purchase limits set forth in the Forward Purchase Agreements). Pursuant to the terms of the Forward Purchase Agreements, each FPA Investor further agreed not to redeem any of the FACT Class A Ordinary Shares owned by it at such time. The per price at which the FPA Investors have the right to sell the shares to us on the original maturity date will not be less than $5.00 per share.</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18, 2023, we and each FPA Investor entered into separate amendments to the Forward Purchase Agreements (the “First Amendments”). The First Amendments lower the reset floor price of each Forward Purchase Agreement from $5.00 to $3.00 and allow us to raise up to $10.0 million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7 and 8, 2024, respectively, we entered into separate amendments to the Forward Purchase Agreements (the collectively the “Second Amendments”) with Sandia (the “Sandia Second Amendment”) and Polar (the “Polar Second Amendment”). The Second Amendments lower the reset price of each Forward Purchase Agreement from $3.00 to $1.00 per share and amend the VWAP (as defined below) Trigger Event provision to read: “After December 31, 2024, an event that occurs if the VWAP Price, for any 20 trading days during a 30 consecutive trading day-period, is below $1.00 per Share.” The Sandia Second Amendment is not effective until we execute similar amendments with both Polar and Meteora. Subsequently, on June 14, 2024, we entered into an amendment to the Forward Purchase Agreement with Sandia (the “Sandia Third Amendment”). The Sandia Third Amendment sets the reset price of each Forward Purchase Agreement to $1.00 per share and amends the VWAP Trigger Event provision to read: “After December 31, 2024, an event that occurs if the VWAP Price, for any 20 trading days during a 30 consecutive trading day-period, is below $1.00 per Share.” In the event either Polar or Meteora amend their Forward Purchase Agreements to include different terms from the $1.00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the Sandia Forward Purchase Agreement.</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17, 2024, we entered into the third amendment to the Forward Purchase Agreement with Polar (the “Polar Third Amendment”), pursuant to which we and Polar agreed that Section 2 (Most Favored Nation) of the Forward Purchase Agreement is applicable to all 2,450,000 shares subject to the Forward Purchase Agreement. On July 15, 2025, we and Meteora entered into an amendment to the FPA between Meteora and us, on July 16, 2025, we and Sandia entered into an amendment to the FPA between Sandia and us, and on August 1, 2025, we and Polar entered in an amendment to the FPA between Polar and us (collectively, the “FPA Amendments”). The FPA Amendments extend the valuation date applicable to the Forward Purchase Agreements (the “Valuation Date”) to the earliest to occur of (a) July 17, 2026, (b) the date specified by Meteora or Sandia, as applicable, in a written notice to be delivered to us at their discretion and (c) 90 days after delivery by us of a written notice in the event that for any 20 trading days during a 30 consecutive trading day-period that occurs at least six months after the closing date of the transactions under the Amended and Restated Business Combination Agreement entered into on May 26, 2023, the applicable volume-weighted average price (“VWAP Price”) is less than the then applicable reset price, provided that a registration statement was effective and available for the entire measurement period and remains continuously effective and available during the entire 90 day notice period. The FPA Amendments further amend the definition of “Settlement Amount Adjustment” to provide that if the expected Settlement Amount (as defined in the FPA Amendments)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the Company’s option, in cash or shares of our common stock. The FPA Amendments also amend the definition of “Cash Settlement Payment Date” to provide that if the Settlement Amount Adjustment exceeds the Settlement Amount, we shall remit to the applicable seller the difference between (i) the Settlement Amount Adjustment and (ii) the Settlement Amount. The FPA Amendments further provide that the Settlement Amount will be used solely as a calculation mechanism to determine any liability we may owe to the applicable seller via the Settlement Amount Adjustment, and notwithstanding anything to the contrary, the applicable seller shall not be required to remit the Settlement Amount to the Company or return any portion of the Prepayment Amount.</w:t>
      </w:r>
    </w:p>
    <w:p>
      <w:pPr>
        <w:spacing w:after="0" w:line="1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these terms, the Forward Purchase Agreements represent a potential use of liquidity that is sensitive to future trading prices of the Company’s common stock. If, on the applicable maturity date or an earlier valuation date triggered by applicable VWAP-based events, our stock price is below the amended reset price, the FPA investors are expected to exercise their contractual repurchase rights. In such circumstances, we could be required to make substantial cash payments or issue additional shares, which would reduce liquidity and, in the case of share settlement, result in further dilution to existing stockholders.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required repurchase of shares pursuant to the Forward Purchase Agreements or early settlement obligations could materially reduce the cash available to fund operations, capital expenditures, and strategic initiatives. These obligations may also limit our ability to raise additional capital on favorable terms. We continue to evaluate the potential impacts of the Forward Purchase Agreements on future liquidity needs, and the Company’s ability to satisfy any required cash settlements will depend on market conditions, operating performance, access to financing, and the market price of our common stock during the applicable measurement periods.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Forward Purchase Agreements, we have recorded a liability on our consolidated balance sheets of $4.0 million and $3.5 million as of December 28, 2025 and December 29,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285"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SAFE Agreements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SAFE obligations are a source of financing received which may be converted into shares of our common stock in an equity financing transaction, or upon a change in control arising from a liquidity event, the holder of a SAFE is entitled to a portion of the proceeds. We entered into three SAFE Agreements with the Rodgers Massey Freedom and Free Markets Charitable Trust, a related party affiliated with our CEO for an aggregate amount of $6.0 million in fiscal 2024. Two of the SAFEs with an original amount of $5.0 million were converted to shares of our common stock in fiscal 2024. As of December 28, 2025 and December 29, 2024, we had SAFE obligations recorded on our consolidated balance sheets of $0.5 million and $0.4 million, respectively. Refer to </w:t>
      </w:r>
      <w:r>
        <w:rPr>
          <w:rFonts w:ascii="Times New Roman" w:cs="Times New Roman" w:eastAsia="Times New Roman" w:hAnsi="Times New Roman"/>
          <w:sz w:val="18"/>
          <w:szCs w:val="18"/>
          <w:b w:val="1"/>
          <w:bCs w:val="1"/>
          <w:color w:val="auto"/>
        </w:rPr>
        <w:t>Note 9 – SAFE Agreements,</w:t>
      </w:r>
      <w:r>
        <w:rPr>
          <w:rFonts w:ascii="Times New Roman" w:cs="Times New Roman" w:eastAsia="Times New Roman" w:hAnsi="Times New Roman"/>
          <w:sz w:val="18"/>
          <w:szCs w:val="18"/>
          <w:color w:val="auto"/>
        </w:rPr>
        <w:t xml:space="preserve"> in Part II, Item 8 of this Annual Report on Form 10-K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enter into various non-cancelable operating and finance leases. Current operating leases are primarily for our facilities with original lease periods expiring through the year 2030. We had total operating lease obligations recorded on our consolidated balance sheets of $5.2 million and $3.7 million as of December 28, 2025 and December 29, 2024, respectively. We have entered into various non-cancelable finance leases for vehicles used in operations with original lease periods expiring through the year 2029. We had total finance lease obligations recorded on our consolidated balance sheets of $3.1 million and $3.9 million as of December 28, 2025 and December 29, 2024, respectively. Refer to </w:t>
      </w:r>
      <w:r>
        <w:rPr>
          <w:rFonts w:ascii="Times New Roman" w:cs="Times New Roman" w:eastAsia="Times New Roman" w:hAnsi="Times New Roman"/>
          <w:sz w:val="18"/>
          <w:szCs w:val="18"/>
          <w:b w:val="1"/>
          <w:bCs w:val="1"/>
          <w:color w:val="auto"/>
        </w:rPr>
        <w:t>Note 12 – Commitments and Contingencies,</w:t>
      </w:r>
      <w:r>
        <w:rPr>
          <w:rFonts w:ascii="Times New Roman" w:cs="Times New Roman" w:eastAsia="Times New Roman" w:hAnsi="Times New Roman"/>
          <w:sz w:val="18"/>
          <w:szCs w:val="18"/>
          <w:color w:val="auto"/>
        </w:rPr>
        <w:t xml:space="preserve"> in Part II, Item 8 of this Annual Report on Form 10-K for more information on our lease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 Convertible Note, and Convertible Debenture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27, 2026 (the “Effective Date”), we entered into a Standby Equity Purchase Agreement (the “SEPA”) with YA IIPN, LTD., a Cayman Islands exempt limited company (the “Investor”). Pursuant to the SEPA, the Investor will advance up to $20.0 million to us in the form of a promissory note (“Promissory Note”). Promissory Notes will accrue interest on the outstanding principal balance at an annual rate equal to 0%, which will increase to an annual rate of 18% upon the occurrence of an Event of Default (as defined in the Promissory Notes) for so long as such event remains uncured. The Promissory Notes will mature on January 27, 2027, which may be extended at the option of the Investor. Each tranche of a Promissory Note will be advanced less a discount in the amount equal to 10% of the principal amount of such tranche. The first tranche was disbursed on January 27, 2026 in the principal amount of $1.9 million. Subject to the conditions set forth in the SEPA, a second tranche in a principal amount of up to $18.1 million may be advanced on the second trading day after the initial registration statement relating to the resale of the shares of our common stock issuable upon conversion of the Promissory Notes first becomes effective.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shares of our common stock, $0.0001 par value per share at a conversion price equal to the lower of (i) a price per share equal to 125% of the VWAP of our common stock on the trading day prior to the issuance date of each Promissory Note, or (ii) 93% of the lowest daily VWAP during the five consecutive trading days immediately preceding the conversion date (but no lower than the “floor price” then in effect, subject to adjustment from time to time in accordance with the terms contained in the Promissory Notes).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SEPA, we will have the right, from time to time, until January 27, 2029 (unless the SEPA is terminated earlier), to require the Investor to purchase up to $25.0 million of shares of our common stock (“Commitment Amount”) subject to certain limitations and conditions set forth in the SEPA.</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not issue or sell any shares of our common stock to the Investor under the SEPA or under the Promissory Notes, which, when aggregated with all other shares of our common stock then beneficially owned by the Investor and its affiliates would result in the Investor and its affiliates beneficially owning more than 4.99% of the then-outstanding shares of our common stock.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paid the Investor a structuring and due diligence fee of $0.05 million and agreed to issue to the Investor 175,000 shares of our common stock within three days of the Effective Date as a commitment fee.</w:t>
      </w:r>
    </w:p>
    <w:p>
      <w:pPr>
        <w:spacing w:after="0" w:line="16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SEPA will automatically terminate on the earliest to occur of (i) January 27, 2029 or (ii) the date on which the Investor has purchased from us under the SEPA the Commitment Amount in full. We may terminate the SEPA at any time upon five trading days’ prior written notice to the Investor, provided that there are no outstanding advance notices under which we are yet to issue shares of our common stock, there are no amounts outstanding under the Promissory Notes, and provided that we have paid all amounts owed to the Investor pursuant to the SEPA. We and the Investor may also agree to terminate the SEPA by mutual written consent.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6, 2026 we entered into a further Purchase Agreement pursuant to which the Investor purchased and we issued a convertible debenture in the principal amount of $10.0 million (the “</w:t>
      </w:r>
      <w:r>
        <w:rPr>
          <w:rFonts w:ascii="Times New Roman" w:cs="Times New Roman" w:eastAsia="Times New Roman" w:hAnsi="Times New Roman"/>
          <w:sz w:val="18"/>
          <w:szCs w:val="18"/>
          <w:u w:val="single" w:color="auto"/>
          <w:color w:val="auto"/>
        </w:rPr>
        <w:t>Debenture</w:t>
      </w:r>
      <w:r>
        <w:rPr>
          <w:rFonts w:ascii="Times New Roman" w:cs="Times New Roman" w:eastAsia="Times New Roman" w:hAnsi="Times New Roman"/>
          <w:sz w:val="18"/>
          <w:szCs w:val="18"/>
          <w:color w:val="auto"/>
        </w:rPr>
        <w:t>”). At the closing under such purchase agreement, we issued the Debenture to the Investor in the original principal amount of $10.0 million for a purchase price of $9.0 million, less certain fees payable under the purchase agreement. The Debenture accrues interest on the outstanding principal balance at an annual rate equal to 0%, which will increase to an annual rate of 18% upon the occurrence of an event of default under the Debenture for so long as such event remains uncured. The Debenture will mature on March 6, 2027, which may be extended at the option of the Investor.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each of May 6, 2026, June 6, 2026, July 6, 2026, August 6, 2026 and September 6, 2026 (each an “</w:t>
      </w:r>
      <w:r>
        <w:rPr>
          <w:rFonts w:ascii="Times New Roman" w:cs="Times New Roman" w:eastAsia="Times New Roman" w:hAnsi="Times New Roman"/>
          <w:sz w:val="18"/>
          <w:szCs w:val="18"/>
          <w:u w:val="single" w:color="auto"/>
          <w:color w:val="auto"/>
        </w:rPr>
        <w:t>Installment Date</w:t>
      </w:r>
      <w:r>
        <w:rPr>
          <w:rFonts w:ascii="Times New Roman" w:cs="Times New Roman" w:eastAsia="Times New Roman" w:hAnsi="Times New Roman"/>
          <w:sz w:val="18"/>
          <w:szCs w:val="18"/>
          <w:color w:val="auto"/>
        </w:rPr>
        <w:t>”), the Company is required to pay an installment amount under the Debenture equal to (i) $2.0 million, plus (ii) a $0.06 million payment premium, and plus (iii) any accrued and unpaid interest (collectively, the “</w:t>
      </w:r>
      <w:r>
        <w:rPr>
          <w:rFonts w:ascii="Times New Roman" w:cs="Times New Roman" w:eastAsia="Times New Roman" w:hAnsi="Times New Roman"/>
          <w:sz w:val="18"/>
          <w:szCs w:val="18"/>
          <w:u w:val="single" w:color="auto"/>
          <w:color w:val="auto"/>
        </w:rPr>
        <w:t>Installment Amount</w:t>
      </w:r>
      <w:r>
        <w:rPr>
          <w:rFonts w:ascii="Times New Roman" w:cs="Times New Roman" w:eastAsia="Times New Roman" w:hAnsi="Times New Roman"/>
          <w:sz w:val="18"/>
          <w:szCs w:val="18"/>
          <w:color w:val="auto"/>
        </w:rPr>
        <w:t>”). We may repay each applicable Installment Amount, at our option, (a) in cash on or before the applicable Installment Date or (b) by submitting an advance notice under the SEPA, or a combination of a payment in cash and delivery of such advance notice. At any time after the Effective Date, the Investor may convert any portion of the outstanding balance under the Debenture into shares of our common stock at a fixed price of $2.50 per share (the “</w:t>
      </w:r>
      <w:r>
        <w:rPr>
          <w:rFonts w:ascii="Times New Roman" w:cs="Times New Roman" w:eastAsia="Times New Roman" w:hAnsi="Times New Roman"/>
          <w:sz w:val="18"/>
          <w:szCs w:val="18"/>
          <w:u w:val="single" w:color="auto"/>
          <w:color w:val="auto"/>
        </w:rPr>
        <w:t>Fixed Price</w:t>
      </w:r>
      <w:r>
        <w:rPr>
          <w:rFonts w:ascii="Times New Roman" w:cs="Times New Roman" w:eastAsia="Times New Roman" w:hAnsi="Times New Roman"/>
          <w:sz w:val="18"/>
          <w:szCs w:val="18"/>
          <w:color w:val="auto"/>
        </w:rPr>
        <w:t>”). Additionally, at any time on or after any Installment Date, the Investor may convert any portion of any due and unpaid Installment Amount outstanding under the Debenture into shares of our common stock at a price equal to 95% of the volume weighted average price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of our common stock during the five trading days prior to the conversion date (but the conversion price will not be lower than the “Floor Price” then in effect).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at our option, shall have the right to redeem early all or a portion of the amounts outstanding under the Debenture upon written notice to the Investor (an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provided, that we may only deliver a notice of Optional Redemption if the VWAP of our common stock at the time the notice is delivered is less than the Fixed Price. In connection with an Optional Redemption, the redemption price payable by us will be equal to (i) the outstanding principal amount of the Debenture being redeemed, plus (ii) a payment premium equal to 3% of the principal amount being repaid, and plus (iii) accrued and unpaid interest under the Debenture; however, the prepayment premium shall not apply to any Optional Redemption of the Debenture if the redemption price is paid on or before April 30,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Sunder Seller Note – related party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24, 2025, we issued a promissory note to the selling member of Sunder (as amended, the “Seller Note”) in connection with the acquisition of 100% of the membership interests in Sunder. The Seller Note has an original principal amount of $20.0 million. The Seller Note bears interest at 7.0% per annum, compounded at the end of each calendar quarter. Interest is due and payable concurrent with the payment of the principal balance. The maturity date of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our subsidiaries. We concluded that since the sellers joined the Company and have a level of influence that is not insignificant, they are related parties of the Company and therefore the Seller Note is a related party obligation.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5, 2026, we entered into an amendment of the Seller Note (“Amendment”) that if the SEPA Debenture restricts repayment of the Seller Note on May 15, 2026, then the maturity date of the Seller Note will be extended to the earlier of (a) the date that is two business days following the date on which the Seller Note may be repaid pursuant to the restrictions set forth in the Debenture and (b) September 30, 2026 (or, if the registration statement required to be filed pursuant to the Registration Rights Agreement has not been declared effective prior to April 30, 2026, then the outside maturity date will extend to December 31, 2026). Additionally, the interest rate applicable to the Seller Note will increase to 10.0% per annum if the principal amount of the Seller Note remains outstanding after May 15, 2026. As an inducement to agree to the foregoing, the Amendment also provides that, within two business days following approval by our stockholders of the issuance of shares under the purchase agreement in accordance with applicable Nasdaq rules, we will issue the remaining shares of common stock otherwise issuable to the seller pursuant to the purchase agreement. On April 8, 2026, we issued the remaining shares due under the Seller Note, 6.7 million shares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Proceeds from Warrant Exercises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will receive the proceeds from any cash exercise of any warrants. The aggregate amount of proceeds could be up to $257.2 million if all the warrants are exercised for cash. However, to the extent the warrants are exercised on a “cashless basis,” the amount of cash we would receive from the exercise of the warrants will decrease. The Private Warrants and Working Capital Warrants may be exercised for cash or on a “cashless basis.” The Public Warrants and the Mergers Warrants may only be exercised for cash provided there is then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 We expect to use any such proceeds for general corporate and working capital purposes, which would increase our liquidity. As of April 13, 2026, the price of our common stock was $1.20 per share. The weighted average exercise price of the warrants was $10.52 as of December 28, 2025. We believe the likelihood that warrant holders will exercise their warrants, and therefore the amount of cash proceeds that we would receive, is dependent upon the market price of our common stock. If the market price for our common stock remains less than the exercise price, we believe warrant holders will be unlikely to exercise. In which case we will not receive any proceeds from the cash exercise of the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expect that our principal short-term (over the next 12 months) cash needs related to our operations will be to fund working capital, acquisitions, payments on our outstanding debt, and legal settlements. We plan to fund any cash requirements for the next 12 months from our existing cash and cash equivalents, cash generated from operations and debt and equity financings. For the long-term period (beyond 12 months), we aim to generate cash flows from operations to support our ongoing business operations and strategic investment plans. We regularly evaluate our liquidity position, debt obligations and expected cash requirements. As part of this ongoing assessment, we may pursue additional financing through the issuance of equity or the debt financing, as necessary, to meet our operational and investment needs. Our ability to obtain debt or any other additional financing that we may choose to, or need to, obtain will depend on, among other things, our development efforts, business plans, operating performance and the condition of the capital markets at the time we seek financing.</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result of not timely filing our Annual Report on Form 10-K for the fiscal year ended December 29, 2024, 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maintained status as a current filer. Our inability to use Form S-3 significantly impairs our ability to raise the necessary capital to fund our operations and execute our strategy. If we seek to access to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for the Fiscal Years Ended December 28, 2025 and December 29,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following table summarizes our cash flows from operating, investing, and financing activities for the fiscal years ended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 from continuing operations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(19,339)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(54,657)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120,100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Operating Activities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of $15.3 million for the fiscal year ended December 28, 2025 was primarily due to the net loss from continuing operations, net of tax of $44.3 million and net cash outflows of $3.1 million from changes in our operating assets and liabilities which was partially offset by non-cash adjustments of $32.1 million. The main drivers of non-cash charges of $31.3 million consisted of $15.3 million of amortization of debt issuance costs, $10.5 million of stock-based compensation expense, $9.1 million of depreciation and amortization expense, $3.6 million provision for credit losses, $2.8 million loss due to the changes in the fair value warrant liabilities, $1.4 million of non-cash lease expense, and $1.3 million of deferred tax expense, partially offset by an $11.5 million change in the fair value of derivative liabilities, a $0.5 million change in the fair value of our forward purchase agreement liabilities, and a $0.6 million change in the fair value of deferred consideration in connection with our acquisition of Sunder. The main drivers of net cash outflows from changes in operating assets and liabilities consisted of a $38.8 million increase in trade accounts receivable, an $15.9 million decrease in accrued expenses and other current liabilities, a $1.5 million decrease in operating lease liabilities, a $5.6 million increase in prepaid expenses and other assets and a $3.1 million decrease in contract liabilities, partially offset by a $38.4 million decrease in inventories, a $15.3 million increase in accounts payable and an $8.5 million decrease in contract assets.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of $54.6 million for the fiscal year ended December 29, 2024 was primarily due to the net loss from continuing operations, net of tax of $54.4 million and net cash outflows of $6.6 million from changes in our operating assets and liabilities which was partially offset by non-cash adjustments of $6.4 million. Non-cash charges primarily consisted of $24.7 million for loss on issuance of derivative liability, $9.1 million provision for credit losses, $5.8 million of amortization of debt issuance costs, $9.2 million of non-cash expense in connection with warrants issued for vendor services, $3.1 million of stock-based compensation expense, $3.9 million accretion of debt in CS Solis, $3.8 million for asset impairment and disposals, $2.7 million for depreciation and amortization, $1.8 million for non-cash interest expense, $0.8 million for lease expense, and $1.3 million for loss on conversion of SAFE Agreements to shares of common stock, and $0.4 million of other financing costs, partially offset by a decrease of $34.0 million for the change in fair value of derivative liabilities, $22.3 million gain on troubled debt restructuring, $2.9 million change in fair value of warrant liabilities, and $1.0 million change due to fair value adjustments. The main drivers of net cash outflows derived from the changes in operating assets and liabilities were related to an increase in contract assets of $21.5 million, a $10.4 million decrease in accounts payable, a $0.8 million decrease in operating lease liabilities, and a $0.2 million increase in prepaid expenses and other current assets, partially offset by an $8.7 million decrease in inventories, a $3.3 million decrease in accounts receivable, a $14.1 million increase in accrued expenses and $0.2 million of other.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auto"/>
        </w:rPr>
        <w:t>Cash Flows from Investing Activities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from continuing operations of $19.3 million in 2025 is principally attributable to the cash paid for the acquisition of Sunder.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by investing activities from continuing operations of $54.7 million for the fiscal year ended December 29, 2024 was primarily due to the acquisition of SunPower of $53.5 million (net of $1.0 million of cash) and $1.2 million in capital expenditures.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Financing Activities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from continuing operations in 2025 was $30.9 million and consisted of $19.8 million received in exchange for 7.0% senior unsecured convertible notes, $7.0 million received from related party trusts of T.J. Rodgers, our Chairman and CEO, in exchange for 12% senior unsecured convertible notes, an investor deposit of $2.0 million received from a related party trust of T.J. Rodgers, $6.7 million in proceeds from the issuance of shares of our common stock, and $0.6 million in proceeds from the exercise of stock options and a warrant in exchange for shares of our common stock, partially offset by $2.3 million of finance lease payments, $2.2 million in payments on our debt obligations and $0.7 million for taxes paid related to net share settlement of equity awards.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from continuing operations in 2024 was of $120.1 million and consisted of $107.7 million in proceeds from the issuance of convertible notes, $6.0 million in proceeds from the issuance of SAFE agreement, $6.7 million in proceeds from the issuance of common stock and $0.5 million in proceeds from the exercise of common stock options. The proceeds were partially offset by finance lease payments and the payment of a note aggregating $0.8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SunPower is an “emerging growth company” as defined in Section 2(a) of the Securities Act and has elected to take advantage of the benefits of the extended transition period for new or revised financial accounting standards. Following the closing of the Mergers, our post-combination company remains an emerging growth company until the earliest of (i) the last day of the fiscal year in which the market value of common stock that is held by non-affiliates exceeds $700 million as of the end of that year’s second fiscal quarter, (ii) the last day of the fiscal year in which we have total annual gross revenue of $1.235 billion or more during such fiscal year (as indexed for inflation), (iii) the date on which we have issued more than $1.0 billion in non-convertible debt in the prior three-year period, or (iv) the last day of the fiscal year ending after the fifth anniversary of our IPO.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The Company monitors and manages these financial exposures as an integral part of its overall risk management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significant exposure to interest rate risk that could affect the balance sheet, statement of operations, and the statement of cash flows, as we do not have any outstanding variable rate debt as of December 28,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Major Customers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customer base consists primarily of residential homeowners. We do not require collateral on our accounts receivable. Further, our accounts receivable are with individual homeowners, financiers and leasing partners, and we are exposed to normal industry credit risks. We continually evaluate our reserves for potential credit losses and establish reserves for such losses.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The information with respect to concentrations of credit risk and major customers is set forth under </w:t>
      </w:r>
      <w:r>
        <w:rPr>
          <w:rFonts w:ascii="Times New Roman" w:cs="Times New Roman" w:eastAsia="Times New Roman" w:hAnsi="Times New Roman"/>
          <w:sz w:val="18"/>
          <w:szCs w:val="18"/>
          <w:b w:val="1"/>
          <w:bCs w:val="1"/>
          <w:color w:val="auto"/>
        </w:rPr>
        <w:t>Note 2 – Basis of Presentation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in the accompanying consolidated financial statements in Part II, Item 8 of this Form 10-K,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herein by reference.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103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90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7180" w:type="dxa"/>
            <w:vAlign w:val="bottom"/>
            <w:gridSpan w:val="6"/>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900" w:type="dxa"/>
            <w:vAlign w:val="bottom"/>
          </w:tcPr>
          <w:p>
            <w:pPr>
              <w:spacing w:after="0"/>
              <w:rPr>
                <w:sz w:val="24"/>
                <w:szCs w:val="24"/>
                <w:color w:val="auto"/>
              </w:rPr>
            </w:pPr>
          </w:p>
        </w:tc>
      </w:tr>
      <w:tr>
        <w:trPr>
          <w:trHeight w:val="432"/>
        </w:trPr>
        <w:tc>
          <w:tcPr>
            <w:tcW w:w="3160" w:type="dxa"/>
            <w:vAlign w:val="bottom"/>
          </w:tcPr>
          <w:p>
            <w:pPr>
              <w:spacing w:after="0"/>
              <w:rPr>
                <w:sz w:val="24"/>
                <w:szCs w:val="24"/>
                <w:color w:val="auto"/>
              </w:rPr>
            </w:pPr>
          </w:p>
        </w:tc>
        <w:tc>
          <w:tcPr>
            <w:tcW w:w="7180" w:type="dxa"/>
            <w:vAlign w:val="bottom"/>
            <w:gridSpan w:val="6"/>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9"/>
              </w:rPr>
              <w:t>SUNPOWER INC.</w:t>
            </w:r>
          </w:p>
        </w:tc>
        <w:tc>
          <w:tcPr>
            <w:tcW w:w="900" w:type="dxa"/>
            <w:vAlign w:val="bottom"/>
          </w:tcPr>
          <w:p>
            <w:pPr>
              <w:spacing w:after="0"/>
              <w:rPr>
                <w:sz w:val="24"/>
                <w:szCs w:val="24"/>
                <w:color w:val="auto"/>
              </w:rPr>
            </w:pPr>
          </w:p>
        </w:tc>
      </w:tr>
      <w:tr>
        <w:trPr>
          <w:trHeight w:val="439"/>
        </w:trPr>
        <w:tc>
          <w:tcPr>
            <w:tcW w:w="3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3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9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i w:val="1"/>
                <w:iCs w:val="1"/>
                <w:color w:val="0000EE"/>
              </w:rPr>
              <w:t>(PCAOB ID 243)</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316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28, 2025 and December 29, 2024</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6"/>
        </w:trPr>
        <w:tc>
          <w:tcPr>
            <w:tcW w:w="316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 for the Fiscal Years Ended December 28, 2025 and December 29, 2024</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16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Deficit for the Fiscal Years Ended December 28, 2025 and December 29, 2024</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16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for the Fiscal Years Ended December 28, 2025 and December 29, 2024</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316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655"/>
        </w:trPr>
        <w:tc>
          <w:tcPr>
            <w:tcW w:w="3160" w:type="dxa"/>
            <w:vAlign w:val="bottom"/>
            <w:tcBorders>
              <w:top w:val="single" w:sz="8" w:color="0000EE"/>
              <w:bottom w:val="single" w:sz="8" w:color="auto"/>
            </w:tcBorders>
          </w:tcPr>
          <w:p>
            <w:pPr>
              <w:spacing w:after="0"/>
              <w:rPr>
                <w:sz w:val="24"/>
                <w:szCs w:val="24"/>
                <w:color w:val="auto"/>
              </w:rPr>
            </w:pPr>
          </w:p>
        </w:tc>
        <w:tc>
          <w:tcPr>
            <w:tcW w:w="7180" w:type="dxa"/>
            <w:vAlign w:val="bottom"/>
            <w:tcBorders>
              <w:top w:val="single" w:sz="8" w:color="CCEEFF"/>
              <w:bottom w:val="single" w:sz="8" w:color="auto"/>
            </w:tcBorders>
            <w:gridSpan w:val="6"/>
          </w:tcPr>
          <w:p>
            <w:pPr>
              <w:jc w:val="center"/>
              <w:ind w:right="2260"/>
              <w:spacing w:after="0"/>
              <w:rPr>
                <w:sz w:val="20"/>
                <w:szCs w:val="20"/>
                <w:color w:val="auto"/>
              </w:rPr>
            </w:pPr>
            <w:r>
              <w:rPr>
                <w:rFonts w:ascii="Times New Roman" w:cs="Times New Roman" w:eastAsia="Times New Roman" w:hAnsi="Times New Roman"/>
                <w:sz w:val="18"/>
                <w:szCs w:val="18"/>
                <w:color w:val="auto"/>
                <w:w w:val="95"/>
              </w:rPr>
              <w:t>F-1</w:t>
            </w:r>
          </w:p>
        </w:tc>
        <w:tc>
          <w:tcPr>
            <w:tcW w:w="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SunPower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Orem, Utah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SunPower Inc. (the “Company”) as of December 28, 2025 and December 29, 2024, the related consolidated statements of operations and comprehensive loss, stockholders’ deficit, and cash flows for the fiscal years then ended, and the related notes collectively referred to as the “consolidated financial statements.” In our opinion, the consolidated financial statements present fairly, in all material respects, the financial position of the Company at December 28, 2025 and December 29, 2024, and the results of its operations and its cash flows for the fiscal years then ended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and has negative cash flows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SUNPOWER INC.</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in thousands, except share and per share amounts</w:t>
            </w: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13,378</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$5,206 and $1,701 as of December 28, 2025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29, 2024, respectively</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67,824</w:t>
            </w:r>
          </w:p>
        </w:tc>
        <w:tc>
          <w:tcPr>
            <w:tcW w:w="24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25,842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4,375</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16,913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14,122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26,066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112,851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95,602</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4,890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4,552</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1,609</w:t>
            </w:r>
          </w:p>
        </w:tc>
        <w:tc>
          <w:tcPr>
            <w:tcW w:w="2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62,630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18,476</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50,814</w:t>
            </w:r>
          </w:p>
        </w:tc>
        <w:tc>
          <w:tcPr>
            <w:tcW w:w="24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17,385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241,187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26,240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Accrued expenses and other current liabilities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56,977</w:t>
            </w:r>
          </w:p>
        </w:tc>
        <w:tc>
          <w:tcPr>
            <w:tcW w:w="24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56,081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 with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21,500</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notes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2,786</w:t>
            </w:r>
          </w:p>
        </w:tc>
        <w:tc>
          <w:tcPr>
            <w:tcW w:w="2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consideration, current with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16,879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consideration, 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5,420</w:t>
            </w:r>
          </w:p>
        </w:tc>
        <w:tc>
          <w:tcPr>
            <w:tcW w:w="2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20,336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purchase agreement liabilities with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3,965</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Warranty provision, noncurrent</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3,059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4,361</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and derivative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120,159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92,638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and derivative liabilities with related parties, net of current portion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35,130</w:t>
            </w:r>
          </w:p>
        </w:tc>
        <w:tc>
          <w:tcPr>
            <w:tcW w:w="2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53,193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 noncurrent with related party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5,420</w:t>
            </w:r>
          </w:p>
        </w:tc>
        <w:tc>
          <w:tcPr>
            <w:tcW w:w="2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6,470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10,816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331,331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242,005</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Authorized 1,000,000,000 shares as of December 28, 2025 and December 29,</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issued and outstanding 111,334,959 and 73,784,645 shares as of December 28, 2025 and December 29,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366,408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(456,733)</w:t>
            </w:r>
          </w:p>
        </w:tc>
        <w:tc>
          <w:tcPr>
            <w:tcW w:w="240" w:type="dxa"/>
            <w:vAlign w:val="bottom"/>
          </w:tcPr>
          <w:p>
            <w:pPr>
              <w:spacing w:after="0"/>
              <w:rPr>
                <w:sz w:val="20"/>
                <w:szCs w:val="20"/>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(411,379)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(97,539</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241,187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accrued interest due to related parties of $2.6 million and $2.5 million as of December 28, 2025 and December 29, 2024, respectively, and includes investor financing deposit with related party of $2.0 million as of December 28, 2025.</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785"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SUNPOWER INC.</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and Comprehensive Loss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in thousands, except share and per share amounts</w:t>
            </w:r>
            <w:r>
              <w:rPr>
                <w:rFonts w:ascii="Times New Roman" w:cs="Times New Roman" w:eastAsia="Times New Roman" w:hAnsi="Times New Roman"/>
                <w:sz w:val="18"/>
                <w:szCs w:val="18"/>
                <w:b w:val="1"/>
                <w:bCs w:val="1"/>
                <w:color w:val="auto"/>
                <w:w w:val="99"/>
              </w:rPr>
              <w: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170,788</w:t>
            </w:r>
          </w:p>
        </w:tc>
        <w:tc>
          <w:tcPr>
            <w:tcW w:w="2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69,240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37,009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29,030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90,104</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156,143</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108,011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(68,509</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86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Interest expense </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(25,095)</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(16,223)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Other non-operating income, net </w:t>
            </w:r>
            <w:r>
              <w:rPr>
                <w:rFonts w:ascii="Times New Roman" w:cs="Times New Roman" w:eastAsia="Times New Roman" w:hAnsi="Times New Roman"/>
                <w:sz w:val="29"/>
                <w:szCs w:val="29"/>
                <w:color w:val="auto"/>
                <w:vertAlign w:val="superscript"/>
              </w:rPr>
              <w:t>(3)</w:t>
            </w:r>
          </w:p>
        </w:tc>
        <w:tc>
          <w:tcPr>
            <w:tcW w:w="200" w:type="dxa"/>
            <w:vAlign w:val="bottom"/>
          </w:tcPr>
          <w:p>
            <w:pPr>
              <w:spacing w:after="0"/>
              <w:rPr>
                <w:sz w:val="22"/>
                <w:szCs w:val="22"/>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9,347</w:t>
            </w:r>
          </w:p>
        </w:tc>
        <w:tc>
          <w:tcPr>
            <w:tcW w:w="2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Gain on troubled debt restructuring </w:t>
            </w:r>
            <w:r>
              <w:rPr>
                <w:rFonts w:ascii="Times New Roman" w:cs="Times New Roman" w:eastAsia="Times New Roman" w:hAnsi="Times New Roman"/>
                <w:sz w:val="29"/>
                <w:szCs w:val="29"/>
                <w:color w:val="auto"/>
                <w:vertAlign w:val="superscript"/>
              </w:rPr>
              <w:t>(4)</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22,337</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(expense) income,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(15,745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14,065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loss from discontinued operations, net of taxes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(56,451</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8"/>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(45,354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(56,451</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 per share attributable to common stockholders, basic</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 per share attributable to common stockholders, basic</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common stockholders, basic</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87,108,928</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66,655,837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 per share attributable to common stockholders, diluted</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 per share attributable to common stockholders, diluted</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diluted</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common stockholders’, basic and diluted</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87,108,928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75,793,548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10" w:lineRule="auto"/>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Company identified SameDay Solar as a related party beginning in fiscal 2024. Cost of revenue paid to SameDay Solar totaled $1.0 million and $0.6 million in the fiscal years ended December 28, 2025 and December 29, 2024, respectively. Refer to </w:t>
      </w:r>
      <w:r>
        <w:rPr>
          <w:rFonts w:ascii="Times New Roman" w:cs="Times New Roman" w:eastAsia="Times New Roman" w:hAnsi="Times New Roman"/>
          <w:sz w:val="18"/>
          <w:szCs w:val="18"/>
          <w:b w:val="1"/>
          <w:bCs w:val="1"/>
          <w:color w:val="auto"/>
        </w:rPr>
        <w:t>Note 19 – Related Party Transactions</w:t>
      </w:r>
      <w:r>
        <w:rPr>
          <w:rFonts w:ascii="Times New Roman" w:cs="Times New Roman" w:eastAsia="Times New Roman" w:hAnsi="Times New Roman"/>
          <w:sz w:val="18"/>
          <w:szCs w:val="18"/>
          <w:color w:val="auto"/>
        </w:rPr>
        <w:t xml:space="preserve"> for details.</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Includes interest expense and amortization of debt issuance costs due to related parties of $5.7 million and $7.6 million in the fiscal years ended December 28, 2025 and December 29, 2024, respectively.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for details.</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Includes the following related party transactions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8680" w:type="dxa"/>
            <w:vAlign w:val="bottom"/>
          </w:tcPr>
          <w:p>
            <w:pPr>
              <w:spacing w:after="0"/>
              <w:rPr>
                <w:sz w:val="16"/>
                <w:szCs w:val="16"/>
                <w:color w:val="auto"/>
              </w:rPr>
            </w:pPr>
          </w:p>
        </w:tc>
        <w:tc>
          <w:tcPr>
            <w:tcW w:w="134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issuance of derivative liabilities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Gain on remeasurement of derivative liabilities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for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details.)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78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due to change in fair value of Forward Purchase Agreements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7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conversion of SAFE Agreements to common stock</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Agreement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7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due to change in fair value of Carlyle warrants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bl>
    <w:p>
      <w:pPr>
        <w:spacing w:after="0" w:line="175" w:lineRule="exact"/>
        <w:rPr>
          <w:sz w:val="20"/>
          <w:szCs w:val="20"/>
          <w:color w:val="auto"/>
        </w:rPr>
      </w:pPr>
    </w:p>
    <w:p>
      <w:pPr>
        <w:ind w:left="340" w:right="20" w:hanging="332"/>
        <w:spacing w:after="0" w:line="197" w:lineRule="auto"/>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Gain includes $12.5 million with a related party in the fiscal year ended December 29, 2024. Refer to </w:t>
      </w:r>
      <w:r>
        <w:rPr>
          <w:rFonts w:ascii="Times New Roman" w:cs="Times New Roman" w:eastAsia="Times New Roman" w:hAnsi="Times New Roman"/>
          <w:sz w:val="18"/>
          <w:szCs w:val="18"/>
          <w:b w:val="1"/>
          <w:bCs w:val="1"/>
          <w:color w:val="auto"/>
        </w:rPr>
        <w:t>Note 10 – Borrowings and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Liabilities </w:t>
      </w:r>
      <w:r>
        <w:rPr>
          <w:rFonts w:ascii="Times New Roman" w:cs="Times New Roman" w:eastAsia="Times New Roman" w:hAnsi="Times New Roman"/>
          <w:sz w:val="18"/>
          <w:szCs w:val="18"/>
          <w:color w:val="auto"/>
        </w:rPr>
        <w:t>for details.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636"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0"/>
                <w:szCs w:val="20"/>
                <w:color w:val="auto"/>
              </w:rPr>
            </w:pPr>
          </w:p>
        </w:tc>
        <w:tc>
          <w:tcPr>
            <w:tcW w:w="10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2200" w:type="dxa"/>
            <w:vAlign w:val="bottom"/>
            <w:gridSpan w:val="6"/>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6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20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20"/>
                <w:szCs w:val="20"/>
                <w:color w:val="auto"/>
              </w:rPr>
            </w:pPr>
          </w:p>
        </w:tc>
        <w:tc>
          <w:tcPr>
            <w:tcW w:w="10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112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Pr>
          <w:p>
            <w:pPr>
              <w:spacing w:after="0"/>
              <w:rPr>
                <w:sz w:val="20"/>
                <w:szCs w:val="20"/>
                <w:color w:val="auto"/>
              </w:rPr>
            </w:pPr>
          </w:p>
        </w:tc>
        <w:tc>
          <w:tcPr>
            <w:tcW w:w="10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49,065,361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277,965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(354,928)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398,883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669,059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3,067</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3,067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warrants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warrants for services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9,179</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9,179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upon conversion of SAFEs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13,888,889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6,244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5,343,616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for exchange of debt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2,918,837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7,144</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7,144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Modification of Warrant Agreement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7,306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7,306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of reverse recapitalization</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(1,396)</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(56,451)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(56,451)</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40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148"/>
        </w:trPr>
        <w:tc>
          <w:tcPr>
            <w:tcW w:w="4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29, 2024</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73,784,645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w:t>
            </w:r>
          </w:p>
        </w:tc>
        <w:tc>
          <w:tcPr>
            <w:tcW w:w="11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313,661</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(411,379</w:t>
            </w:r>
          </w:p>
        </w:tc>
        <w:tc>
          <w:tcPr>
            <w:tcW w:w="22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165</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040" w:type="dxa"/>
            <w:vAlign w:val="bottom"/>
            <w:vMerge w:val="continue"/>
            <w:shd w:val="clear" w:color="auto" w:fill="CCEEFF"/>
          </w:tcPr>
          <w:p>
            <w:pPr>
              <w:spacing w:after="0"/>
              <w:rPr>
                <w:sz w:val="7"/>
                <w:szCs w:val="7"/>
                <w:color w:val="auto"/>
              </w:rPr>
            </w:pPr>
          </w:p>
        </w:tc>
        <w:tc>
          <w:tcPr>
            <w:tcW w:w="112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gridSpan w:val="2"/>
            <w:vMerge w:val="continue"/>
            <w:shd w:val="clear" w:color="auto" w:fill="CCEEFF"/>
          </w:tcPr>
          <w:p>
            <w:pPr>
              <w:spacing w:after="0"/>
              <w:rPr>
                <w:sz w:val="7"/>
                <w:szCs w:val="7"/>
                <w:color w:val="auto"/>
              </w:rPr>
            </w:pPr>
          </w:p>
        </w:tc>
        <w:tc>
          <w:tcPr>
            <w:tcW w:w="1120" w:type="dxa"/>
            <w:vAlign w:val="bottom"/>
            <w:gridSpan w:val="3"/>
            <w:vMerge w:val="continue"/>
            <w:shd w:val="clear" w:color="auto" w:fill="CCEEFF"/>
          </w:tcPr>
          <w:p>
            <w:pPr>
              <w:spacing w:after="0"/>
              <w:rPr>
                <w:sz w:val="7"/>
                <w:szCs w:val="7"/>
                <w:color w:val="auto"/>
              </w:rPr>
            </w:pPr>
          </w:p>
        </w:tc>
        <w:tc>
          <w:tcPr>
            <w:tcW w:w="110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20" w:type="dxa"/>
            <w:vAlign w:val="bottom"/>
            <w:gridSpan w:val="2"/>
            <w:shd w:val="clear" w:color="auto" w:fill="CCEEFF"/>
          </w:tcPr>
          <w:p>
            <w:pPr>
              <w:jc w:val="right"/>
              <w:ind w:right="21"/>
              <w:spacing w:after="0" w:line="68" w:lineRule="exact"/>
              <w:rPr>
                <w:sz w:val="20"/>
                <w:szCs w:val="20"/>
                <w:color w:val="auto"/>
              </w:rPr>
            </w:pPr>
            <w:r>
              <w:rPr>
                <w:rFonts w:ascii="Times New Roman" w:cs="Times New Roman" w:eastAsia="Times New Roman" w:hAnsi="Times New Roman"/>
                <w:sz w:val="7"/>
                <w:szCs w:val="7"/>
                <w:b w:val="1"/>
                <w:bCs w:val="1"/>
                <w:color w:val="auto"/>
              </w:rPr>
              <w:t>(97,539</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Exercise of common stock options</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730,265</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480</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10,488</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10,488</w:t>
            </w:r>
          </w:p>
        </w:tc>
        <w:tc>
          <w:tcPr>
            <w:tcW w:w="0" w:type="dxa"/>
            <w:vAlign w:val="bottom"/>
          </w:tcPr>
          <w:p>
            <w:pPr>
              <w:spacing w:after="0"/>
              <w:rPr>
                <w:sz w:val="1"/>
                <w:szCs w:val="1"/>
                <w:color w:val="auto"/>
              </w:rPr>
            </w:pP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Taxes paid related to net share settlements of equity</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(1,898)</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4,632,211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as consideration for</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businesses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13,577,258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22,192</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22,193</w:t>
            </w: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6,741</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6,741</w:t>
            </w: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7.0% senior unsecured convertible</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for shares of common stock</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8,600,580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14,684</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14,685</w:t>
            </w:r>
          </w:p>
        </w:tc>
        <w:tc>
          <w:tcPr>
            <w:tcW w:w="0" w:type="dxa"/>
            <w:vAlign w:val="bottom"/>
          </w:tcPr>
          <w:p>
            <w:pPr>
              <w:spacing w:after="0"/>
              <w:rPr>
                <w:sz w:val="1"/>
                <w:szCs w:val="1"/>
                <w:color w:val="auto"/>
              </w:rPr>
            </w:pPr>
          </w:p>
        </w:tc>
      </w:tr>
      <w:tr>
        <w:trPr>
          <w:trHeight w:val="162"/>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(45,354</w:t>
            </w: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4"/>
                <w:szCs w:val="14"/>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4"/>
                <w:szCs w:val="14"/>
                <w:color w:val="auto"/>
              </w:rPr>
            </w:pPr>
          </w:p>
        </w:tc>
        <w:tc>
          <w:tcPr>
            <w:tcW w:w="10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04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tcPr>
          <w:p>
            <w:pPr>
              <w:jc w:val="right"/>
              <w:ind w:right="21"/>
              <w:spacing w:after="0" w:line="68" w:lineRule="exact"/>
              <w:rPr>
                <w:sz w:val="20"/>
                <w:szCs w:val="20"/>
                <w:color w:val="auto"/>
              </w:rPr>
            </w:pPr>
            <w:r>
              <w:rPr>
                <w:rFonts w:ascii="Times New Roman" w:cs="Times New Roman" w:eastAsia="Times New Roman" w:hAnsi="Times New Roman"/>
                <w:sz w:val="7"/>
                <w:szCs w:val="7"/>
                <w:color w:val="auto"/>
              </w:rPr>
              <w:t>(45,354</w:t>
            </w:r>
          </w:p>
        </w:tc>
        <w:tc>
          <w:tcPr>
            <w:tcW w:w="0" w:type="dxa"/>
            <w:vAlign w:val="bottom"/>
          </w:tcPr>
          <w:p>
            <w:pPr>
              <w:spacing w:after="0"/>
              <w:rPr>
                <w:sz w:val="1"/>
                <w:szCs w:val="1"/>
                <w:color w:val="auto"/>
              </w:rPr>
            </w:pPr>
          </w:p>
        </w:tc>
      </w:tr>
      <w:tr>
        <w:trPr>
          <w:trHeight w:val="27"/>
        </w:trPr>
        <w:tc>
          <w:tcPr>
            <w:tcW w:w="40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2025</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111,334,959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366,408</w:t>
            </w:r>
          </w:p>
        </w:tc>
        <w:tc>
          <w:tcPr>
            <w:tcW w:w="80" w:type="dxa"/>
            <w:vAlign w:val="bottom"/>
            <w:vMerge w:val="continue"/>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(456,733</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165</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(90,144</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SUNPOWER INC.</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in thousands, except number of shares</w:t>
            </w: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 from continuing operations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(45,354)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(56,451)</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 net of tax</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Adjustments to reconcile net loss from continuing operations to net cash used in operating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3,067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1,365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2,736</w:t>
            </w:r>
          </w:p>
        </w:tc>
      </w:tr>
      <w:tr>
        <w:trPr>
          <w:trHeight w:val="257"/>
        </w:trPr>
        <w:tc>
          <w:tcPr>
            <w:tcW w:w="868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Amortization of debt issuance costs</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15,341</w:t>
            </w:r>
          </w:p>
        </w:tc>
        <w:tc>
          <w:tcPr>
            <w:tcW w:w="24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5,842</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3,554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9,132</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SAFE Agreements with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conversion of SAFE Agreements to shares of common stock with related party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deferred consideration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Loss on issuance of derivative liability</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24,688</w:t>
            </w:r>
          </w:p>
        </w:tc>
      </w:tr>
      <w:tr>
        <w:trPr>
          <w:trHeight w:val="256"/>
        </w:trPr>
        <w:tc>
          <w:tcPr>
            <w:tcW w:w="868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Change in fair value of derivative liabilities</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(11,490)</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(33,986)</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2,800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(2,921)</w:t>
            </w:r>
          </w:p>
        </w:tc>
      </w:tr>
      <w:tr>
        <w:trPr>
          <w:trHeight w:val="256"/>
        </w:trPr>
        <w:tc>
          <w:tcPr>
            <w:tcW w:w="868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Change in fair value of forward purchase agreement liabilities</w:t>
            </w:r>
            <w:r>
              <w:rPr>
                <w:rFonts w:ascii="Times New Roman" w:cs="Times New Roman" w:eastAsia="Times New Roman" w:hAnsi="Times New Roman"/>
                <w:sz w:val="29"/>
                <w:szCs w:val="29"/>
                <w:color w:val="auto"/>
                <w:vertAlign w:val="superscript"/>
              </w:rPr>
              <w:t>(4)</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expense in connection with warrants issued for vendor services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9,179</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impairments and disposals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3,827</w:t>
            </w:r>
          </w:p>
        </w:tc>
      </w:tr>
      <w:tr>
        <w:trPr>
          <w:trHeight w:val="256"/>
        </w:trPr>
        <w:tc>
          <w:tcPr>
            <w:tcW w:w="868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Non-cash income</w:t>
            </w:r>
            <w:r>
              <w:rPr>
                <w:rFonts w:ascii="Times New Roman" w:cs="Times New Roman" w:eastAsia="Times New Roman" w:hAnsi="Times New Roman"/>
                <w:sz w:val="29"/>
                <w:szCs w:val="29"/>
                <w:color w:val="auto"/>
                <w:vertAlign w:val="superscript"/>
              </w:rPr>
              <w:t>(5)</w:t>
            </w:r>
          </w:p>
        </w:tc>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(628)</w:t>
            </w:r>
          </w:p>
        </w:tc>
        <w:tc>
          <w:tcPr>
            <w:tcW w:w="24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1,757</w:t>
            </w:r>
          </w:p>
        </w:tc>
      </w:tr>
      <w:tr>
        <w:trPr>
          <w:trHeight w:val="257"/>
        </w:trPr>
        <w:tc>
          <w:tcPr>
            <w:tcW w:w="868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Gain on troubled debt restructuring </w:t>
            </w:r>
            <w:r>
              <w:rPr>
                <w:rFonts w:ascii="Times New Roman" w:cs="Times New Roman" w:eastAsia="Times New Roman" w:hAnsi="Times New Roman"/>
                <w:sz w:val="29"/>
                <w:szCs w:val="29"/>
                <w:color w:val="auto"/>
                <w:vertAlign w:val="superscript"/>
              </w:rPr>
              <w:t>(6)</w:t>
            </w:r>
          </w:p>
        </w:tc>
        <w:tc>
          <w:tcPr>
            <w:tcW w:w="240" w:type="dxa"/>
            <w:vAlign w:val="bottom"/>
          </w:tcPr>
          <w:p>
            <w:pPr>
              <w:spacing w:after="0"/>
              <w:rPr>
                <w:sz w:val="22"/>
                <w:szCs w:val="22"/>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(22,337)</w:t>
            </w:r>
          </w:p>
        </w:tc>
      </w:tr>
      <w:tr>
        <w:trPr>
          <w:trHeight w:val="257"/>
        </w:trPr>
        <w:tc>
          <w:tcPr>
            <w:tcW w:w="868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Accretion of debt in CS Solis</w:t>
            </w:r>
            <w:r>
              <w:rPr>
                <w:rFonts w:ascii="Times New Roman" w:cs="Times New Roman" w:eastAsia="Times New Roman" w:hAnsi="Times New Roman"/>
                <w:sz w:val="29"/>
                <w:szCs w:val="29"/>
                <w:color w:val="auto"/>
                <w:vertAlign w:val="superscript"/>
              </w:rPr>
              <w:t>(7)</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3,872</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financing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(38,756)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3,306</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assets,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38,417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8,654</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15,251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(15,913)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14,071</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w:t>
            </w: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(3,139)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 from continuing operations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(15,327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(54,662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 from continuing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 of internal-use-software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(19,339)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(53,500)</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(19,339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(54,657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 from continuing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 net of issuance cost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81,725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 to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SAFE agreements with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6,741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6,694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 for common stock</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Investor financing deposit –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repayment of notes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payments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(2,292)</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17,219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6,416</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17,219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7,733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657" w:right="339" w:bottom="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7"/>
        </w:trPr>
        <w:tc>
          <w:tcPr>
            <w:tcW w:w="7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Issuance of Seller Note as partial purchase consideration for acquisition of Sunder</w:t>
            </w:r>
            <w:r>
              <w:rPr>
                <w:rFonts w:ascii="Times New Roman" w:cs="Times New Roman" w:eastAsia="Times New Roman" w:hAnsi="Times New Roman"/>
                <w:sz w:val="29"/>
                <w:szCs w:val="29"/>
                <w:color w:val="auto"/>
                <w:vertAlign w:val="superscript"/>
              </w:rPr>
              <w:t>(8)</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20,000</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as partial consideration for acquisition of Sunder</w:t>
            </w:r>
          </w:p>
        </w:tc>
        <w:tc>
          <w:tcPr>
            <w:tcW w:w="1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5,700</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consideration recognized for acquisition of Sunder</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11,400</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as partial purchase consideration for acquisition of Ambia</w:t>
            </w:r>
          </w:p>
        </w:tc>
        <w:tc>
          <w:tcPr>
            <w:tcW w:w="1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16,493</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consideration recognized for acquisition of Ambia</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16,879</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September 2024 Notes to shares of common stock:</w:t>
            </w: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2024 Notes and related derivative liability, net of unamortized debt discount</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14,472</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1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14,684</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 incurred in connection with the issuance of September 2025 Notes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1,150</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accrued but unpaid related to net share settlement of equity awards</w:t>
            </w:r>
          </w:p>
        </w:tc>
        <w:tc>
          <w:tcPr>
            <w:tcW w:w="1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1,171</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7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Cancellation of existing indebtedness in Exchange Agreement</w:t>
            </w:r>
            <w:r>
              <w:rPr>
                <w:rFonts w:ascii="Times New Roman" w:cs="Times New Roman" w:eastAsia="Times New Roman" w:hAnsi="Times New Roman"/>
                <w:sz w:val="29"/>
                <w:szCs w:val="29"/>
                <w:color w:val="auto"/>
                <w:vertAlign w:val="superscript"/>
              </w:rPr>
              <w:t>(9)</w:t>
            </w:r>
          </w:p>
        </w:tc>
        <w:tc>
          <w:tcPr>
            <w:tcW w:w="13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65,873</w:t>
            </w:r>
          </w:p>
        </w:tc>
      </w:tr>
      <w:tr>
        <w:trPr>
          <w:trHeight w:val="257"/>
        </w:trPr>
        <w:tc>
          <w:tcPr>
            <w:tcW w:w="7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Issuance of convertible notes in Exchange Agreement</w:t>
            </w:r>
            <w:r>
              <w:rPr>
                <w:rFonts w:ascii="Times New Roman" w:cs="Times New Roman" w:eastAsia="Times New Roman" w:hAnsi="Times New Roman"/>
                <w:sz w:val="29"/>
                <w:szCs w:val="29"/>
                <w:color w:val="auto"/>
                <w:vertAlign w:val="superscript"/>
              </w:rPr>
              <w:t>(10)</w:t>
            </w:r>
          </w:p>
        </w:tc>
        <w:tc>
          <w:tcPr>
            <w:tcW w:w="136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42,662</w:t>
            </w: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Exchange Agreement</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2,220</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SAFE Agreements to shares of common stock – related party</w:t>
            </w:r>
          </w:p>
        </w:tc>
        <w:tc>
          <w:tcPr>
            <w:tcW w:w="1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new operating lease liabilities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1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1,396</w:t>
            </w: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issued in debt issuance</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860</w:t>
            </w:r>
          </w:p>
        </w:tc>
      </w:tr>
      <w:tr>
        <w:trPr>
          <w:trHeight w:val="234"/>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Carlyle Warrant modification – related party</w:t>
            </w:r>
          </w:p>
        </w:tc>
        <w:tc>
          <w:tcPr>
            <w:tcW w:w="13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7,306</w:t>
            </w:r>
          </w:p>
        </w:tc>
      </w:tr>
    </w:tbl>
    <w:p>
      <w:pPr>
        <w:spacing w:after="0" w:line="179"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issuance costs includes $2.6 million and $1.6 million with related parties in 2025 and 2024, respectively.</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$3.0 million loss in 2024 with the Massey Trust (as later defined in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a related party.</w:t>
      </w:r>
    </w:p>
    <w:p>
      <w:pPr>
        <w:spacing w:after="0" w:line="22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$3.5 gain and $0.3 million gain in 2025 and 2024, respectively, in connection with the change in the fair value of derivative liabilities with related parties, the Massey Trust and Carlyle (as later defined in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forward purchase agreement liabilities with related parties was income of $0.1 million in each of 2025 and 2024, respectively.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non-cash income of $0.1 million in 2025.</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 includes $12.5 million with a related party in 2024.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for details.</w:t>
      </w:r>
    </w:p>
    <w:p>
      <w:pPr>
        <w:spacing w:after="0" w:line="2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as a related party transaction in 2024.</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Issuance of Seller Note was deemed to be with a related party.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for details.</w:t>
      </w:r>
    </w:p>
    <w:p>
      <w:pPr>
        <w:spacing w:after="0" w:line="2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debt cancellation of $37.2 million.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$23.7 million issuance of convertible notes with related parties.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SunPower Inc. (“SunPower” or the “Company”) is the rebranded name of Complete Solaria, Inc. (“Complete Solaria”). The rebranding was effective April 22, 2025 and the Company’s legal name change became effective on October 16,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 The Company is headquartered in Orem, Utah.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Complete Solar, Inc. (“Complete Solar”) was incorporated in Delaware on February 22, 2010. Through February 2022, the Company operated as Complete Solar, Inc., a single legal entity. In February 2022, Complete Solar implemented a holding company reorganization (the “Reorganization”) in which the Company created and incorporated Complete Solar Holding Corporation (“Complete Solar Holdings”). As a result of the Reorganization, Complete Solar Holdings became the successor entity to Complete Solar, Inc. Complete Solaria, Inc. (“Complete Solaria”) was formed in November 2022 through the merger of Complete Solar Holding Corporation, a Delaware corporation (“Complete Solar”), and The Solaria Corporation, a Delaware corporation (such entity, “Solaria,” and such transaction, the “Business Combination”).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2023, the Company consummated a series of merger transactions contemplated by an Amended and Restated Business Combination Agreement entered into with wholly-owned subsidiaries of Freedom Acquisition I Corp. (“FACT”) (“Mergers”), equating to a reverse recapitalization for accounting purposes. Under the reverse recapitalization of accounting, FACT was treated as the acquired company for financial statement reporting purposes. This determination was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operates on a 52-to-53-week fiscal year that ends on the Sunday closest to December 31. The Company’s fiscal years ended on December 28, 2025 (“2025”) and December 29, 2024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Divestitures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2023, the Company completed the sale of its solar panel business (“Divestiture”). The Company determined that the Divestiture represented a strategic shift in the Company’s business and qualified as a discontinued operation for accounting purposes. The Company recognized losses from discontinued operations in its consolidated statements of operations and comprehensive loss and consolidated statements of cash flows related to the Divestiture of $1.1 million and $2.0 million in the fiscal years ended December 28, 2025 and December 29, 2024, respectively. The additional losses recognized in 2025 and 2024 related to legal expenses incurred in connection with litigation related to its former solar panel business.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the fiscal year ended December 29, 2024, the Company completed the acquisition of certain assets relating to the Blue Raven Solar business, New Homes business and Non-Installing Dealer network (collectively the “SunPower Businesses”) from SunPower Debtors, the successor entity in bankruptcy to SunPower Corporation and its direct and indirect subsidiaries (collectively “SunPower Corporation”). In the fiscal year ended December 28, 2025, the Company completed the acquisitions of Sunder Energy, LLC and Ambia Energy LLC. Each of these acquisitions was accounted for as business combinations in accordance with Accounting Standards Codification (“ASC”) 805,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Refer to </w:t>
      </w:r>
      <w:r>
        <w:rPr>
          <w:rFonts w:ascii="Times New Roman" w:cs="Times New Roman" w:eastAsia="Times New Roman" w:hAnsi="Times New Roman"/>
          <w:sz w:val="18"/>
          <w:szCs w:val="18"/>
          <w:b w:val="1"/>
          <w:bCs w:val="1"/>
          <w:color w:val="auto"/>
        </w:rPr>
        <w:t>Note 3 – Business Combinations</w:t>
      </w:r>
      <w:r>
        <w:rPr>
          <w:rFonts w:ascii="Times New Roman" w:cs="Times New Roman" w:eastAsia="Times New Roman" w:hAnsi="Times New Roman"/>
          <w:sz w:val="18"/>
          <w:szCs w:val="18"/>
          <w:color w:val="auto"/>
        </w:rPr>
        <w:t xml:space="preserve"> for details of these transactions.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inception through the fiscal year ended December 28, 2025, the Company has incurred recurring losses and negative cash flows from operations. The Company’s net loss from continuing operations was $44.3 million in the fiscal year ended December 28, 2025. As of December 28, 2025, the Company had an accumulated deficit of $456.7 million, short-term debt of $24.3 million, and cash and cash equivalents, excluding restricted cash, of $9.6 million. The Company anticipates that operating losses and negative operating cash flows may continue in the near term.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actively pursuing plans to mitigate these conditions, including obtaining additional capital resources through equity or debt financing and leveraging support from significant shareholders when necessary. The Company has financed its operations primarily through sales of equity securities, private placements, debt, issuance of convertible notes and other debt instruments, other financing instruments, cash from operations, and proceeds from the Mergers.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did not file its Annual Report on Form 10-K for the fiscal year ended December 29, 2024 within the timeframe required by the SEC, its Quarterly Report on Form 10Q for the quarter ended September 28, 2025 or the amendment required to the Current Report originally filed on September 26, 2025 relating to the Sunder acquisition. As a result, the Company is not currently eligible to use a registration statement on Form S-3 that would allow it to continuously incorporate by reference its SEC reports into the registration statement, to use “shelf” registration statements to conduct offerings, or to use the at-the-market offering facility until approximately one year from the date that the Company has regained and maintained status as a current filer. Aside from a “shelf” registration, the Company has alternative financing options and may seek additional liquidity through the use of a Form S-1 registration statement and or private placements.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Therefore, there is substantial doubt about the Company’s ability to continue as a going concern within one year after the date that the consolidated financial statements are issued. The accompanying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accordance with generally accepted accounting principles (“U.S. GAAP”) and pursuant to the rules and regulations of the Securities and Exchange Commission (“SEC”). The consolidated financial statements include the accounts of the Company and its wholly-owned subsidiaries. All material intercompany balances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liabilities, revenues, expenses, as well as related disclosure of contingent assets and liabilities. Significant estimates and assumptions made by management include, but are not limited to, the determination of (i) the allowance for credit losses; (ii) inventory obsolescence; (iii) stock-based compensation; (iv) workmanship warranty; (v) intangible assets acquired in business combinations; (vi) forward purchase agreements; (vii) Simple Agreement for Future Equity (“SAFE”) Agreements, (viii) derivative liabilities; and (ix) warrant liabilities.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condition or operating results may be affected to the extent that there are material differences between estimates and actual results. The Company bases its estimates on past experience and other assumptions that the Company believes are reasonable under the circumstances, and the Company evaluates these estimates on an ongoing basis. The Company has assessed the impact and management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prior year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reclassified long-term operating lease liabilities of $2.3 million from Operating lease liabilities, net of current portion to Other long-term liabilities to conform to the current year’s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segment information is presented on a basis that is consistent with the Company’s internal management reporting. The Company’s Chief Executive Officer (“CEO”) is the Chief Operating Decision Maker (“CODM”). The CODM manages the Company and reports financial results based on three reportable segments which are the same as the Company’s operating segments. The CODM evaluates the performance of these reportable segments and allocates resources to make operating decisions based on certain financial information, including segment operating results prepared on a basis consistent with U.S. GAAP. The measurement criteria is based on each respective segment’s operating revenue and operating (loss) income and excludes any corporate costs which are not allocatable to the operating segments. The CODM’s measurement criteria does not include segment assets. For the periods presented, the Company reported its financial performance within three reportable segments; Residential Solar Installation, New Homes Business and Dealer.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Residential Solar Installation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performs solar system, storage and battery installations for residential homeowners.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Homes Business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performs solar system installations for new home builders. This segment was new in fiscal year 2024 as a result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acquisition of the SunPower Businesses in the fourth quarter of fiscal year 2024.</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Dealer – </w:t>
      </w:r>
      <w:r>
        <w:rPr>
          <w:rFonts w:ascii="Times New Roman" w:cs="Times New Roman" w:eastAsia="Times New Roman" w:hAnsi="Times New Roman"/>
          <w:sz w:val="18"/>
          <w:szCs w:val="18"/>
          <w:color w:val="auto"/>
        </w:rPr>
        <w:t>This segment provides a third-party solar energy sales force to initiate and execute contracts with customers throughout the United States.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segment’s sales force works with solar installation companies and acts as the agent for each transaction entered. This segment is new in fiscal year 2025 as a result of the acquisition of Sunder.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credit losses in the event of nonperformance by the counterparties to its financial and derivative instruments. Financial and derivative instruments that potentially subject the Company to concentrations of credit risk are primarily cash and cash equivalents, restricted cash and cash equivalents, accounts receivable, and contract assets. The Company’s cash and cash equivalents are on deposit with major financial institutions. Such deposits may be in excess of insured limits. The Company believes that the financial institutions that hold the Company’s cash are financially sound, and accordingly, minimum credit risk exists with respect to these balances. The Company has not experienced any losses due to institutional failure or bankruptcy. The Company performs credit evaluations of its customers and generally does not require collateral for sales on credit.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held in checking and savings accounts consisting of highly liquid securities with maturity dates of three months or less from the original date of purchase. The Company maintains the majority of its cash balances with commercial banks in interest bearing accounts. The Company considers all highly liquid securities that mature within three months or less from the original date of purchase to be cash equivalents.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classifies all cash for which usage is limited by contractual provisions as restricted cash. Restricted cash consists of deposits in money market accounts, which is used as cash collateral backing letters of credit related to customs duty authorities’ requirements. The Company presents restricted cash as a noncurrent asset in its consolidated balance sheets. The Company reconciles cash, cash equivalents, and restricted cash reported on its consolidated balance sheets that aggregate to the beginning and ending balances shown on the Company’s consolidated statements of cash flows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Customers – homeowners and financiers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28, 2025, one customer had an outstanding balance that represented 11% of the Company’s outstanding trade receivable balance. As of December 28, 2024, no customer had an outstanding balance that represented more than 10% of the Company’s total trade accounts receivable balance.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defines major customers as those customers which generate revenues that exceed 10% of the Company’s annual net revenues by reportable segment. In fiscal 2025 Customer A accounted for 19% of revenues across the Residential Solar Installation and New Homes reportable segments. In fiscal year 2024, Customer A and Customer B accounted for 12% and 14%, respectively, of gross revenues. Customer A generates revenue across the Residential Solar Installation and New Homes reportable segments. Customer B generated revenue within the New Homes reportable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for the Residential Solar Installation and New Homes Business reportable segments when a customer obtains control of promised products and services and the Company has satisfied its performance obligations which is the date by which substantially all of its design and installation is complete for a fully functioning solar power system to interconnect to the local power grid.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6" w:name="page77"/>
    <w:bookmarkEnd w:id="76"/>
    <w:p>
      <w:pPr>
        <w:jc w:val="both"/>
        <w:spacing w:after="0" w:line="266" w:lineRule="auto"/>
        <w:rPr>
          <w:sz w:val="20"/>
          <w:szCs w:val="20"/>
          <w:color w:val="auto"/>
        </w:rPr>
      </w:pPr>
      <w:r>
        <w:rPr>
          <w:rFonts w:ascii="Times New Roman" w:cs="Times New Roman" w:eastAsia="Times New Roman" w:hAnsi="Times New Roman"/>
          <w:sz w:val="18"/>
          <w:szCs w:val="18"/>
          <w:color w:val="auto"/>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The Company accounts for these services as inputs to a combined output, resulting in a single service-based performance obligation.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entering into a sales contract within the Dealer reportable segment, the requisite performance obligation of the Company is to assist the customer in the progress of the installation and obtain Permission to Operate (“PTO”). PTO typically occurs within 3 to 6 months after the initial sale, but can happen as early as two months or as late as twelve months after the sale.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reflects the consideration which the Company expects to be entitled to receive in exchange for the products and services. To achieve this core principle, the Company applies the following five steps: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1. Identification of the contract(s) with a customer;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2. Identification of the performance obligations in the contracts(s);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3. Determination of the transaction price;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4. Allocation of the transaction price to the performance obligations;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5. Recognition of the revenue when, or as, the Company satisfies a performance obligation.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generally recognized at the transaction price contained within the agreement, net of the costs of financing, or other consideration paid to the customers that is not in exchange for a distinct good or service. The Company’s arrangements may contain clauses that can either increase or decrease the transaction price. Variable consideration is estimated at each measurement date at its most likely amount to the extent that it is probable that a significant reversal of cumulative revenue recognized will not occur and true-ups are applied prospectively as such estimates change.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provide incentives to its customers, such as discounts and rebates which are recorded net against the revenue that the Company has recognized related to the solar energy system sale.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 for amounts invoiced that are received in advance of the provisioning of services. In certain contracts with customers, the Company arranges for a third-party financing partner to provide financing to the customer. The Company collects upfront from the financing partner and the customer will provide instalment payments to the financing partner. The Company records revenue in the amount received from the financing partner, net of any financing fees charged to the homeowner, which the Company considers to be a customer incentive. None of the Company’s contracts contain a significant financing component.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Solar Installation 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Residential Solar Installation segment sells products through a network of installing and non-installing dealers and resellers, as well as its internal sales team. The Company’s contracts with customers include three primary contract types:</w:t>
      </w:r>
    </w:p>
    <w:p>
      <w:pPr>
        <w:spacing w:after="0" w:line="160" w:lineRule="exact"/>
        <w:rPr>
          <w:sz w:val="20"/>
          <w:szCs w:val="20"/>
          <w:color w:val="auto"/>
        </w:rPr>
      </w:pPr>
    </w:p>
    <w:p>
      <w:pPr>
        <w:jc w:val="both"/>
        <w:ind w:left="660" w:hanging="328"/>
        <w:spacing w:after="0" w:line="267"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agreements </w:t>
      </w:r>
      <w:r>
        <w:rPr>
          <w:rFonts w:ascii="Times New Roman" w:cs="Times New Roman" w:eastAsia="Times New Roman" w:hAnsi="Times New Roman"/>
          <w:sz w:val="18"/>
          <w:szCs w:val="18"/>
          <w:color w:val="auto"/>
        </w:rPr>
        <w:t>– The Company contracts directly with homeowners who purchase the solar energy system and related services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Customers are invoiced on a billing schedule, where the majority of the transaction price is due upon installation with an additional payment due when the system passes inspection by the authority having jurisdiction.</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partner agreements </w:t>
      </w:r>
      <w:r>
        <w:rPr>
          <w:rFonts w:ascii="Times New Roman" w:cs="Times New Roman" w:eastAsia="Times New Roman" w:hAnsi="Times New Roman"/>
          <w:sz w:val="18"/>
          <w:szCs w:val="18"/>
          <w:color w:val="auto"/>
        </w:rPr>
        <w:t>– In its financing partner agreements, the Company contracts directly with homeowners for the purchase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solar energy system and related services. The Company refers the homeowner to a financing partner to finance the system, and the homeowner makes payments directly to the financing partner. The Company receives consideration from the financing partner on a billing schedule where the majority of the transaction price is due upon installation with an additional payment due when the system passes inspection by the authority having jurisdiction.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purchase agreements and lease agreements </w:t>
      </w:r>
      <w:r>
        <w:rPr>
          <w:rFonts w:ascii="Times New Roman" w:cs="Times New Roman" w:eastAsia="Times New Roman" w:hAnsi="Times New Roman"/>
          <w:sz w:val="18"/>
          <w:szCs w:val="18"/>
          <w:color w:val="auto"/>
        </w:rPr>
        <w:t>– The Company contracts directly with a leasing partner to perform the solar energy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 and the homeowner will finance the system through a power purchase agreement (or lease), which is signed with the Company’s leasing partner. The Company considers the leasing partner to be its customer, as the Company does not contract directly with the homeowner and the leasing partner takes ownership of the system upon the completion of installation. The Company receives consideration from the leasing partner on a billing schedule where the majority of the transaction price is due upon installation with an additional payment due when the system passes inspection by the authority having jurisdiction.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New Homes Business revenues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New Homes Business segment sells through a network of home builders as well as its internal sales team. The Company’s contracts with customers include two primary contract types:</w:t>
      </w:r>
    </w:p>
    <w:p>
      <w:pPr>
        <w:spacing w:after="0" w:line="160" w:lineRule="exact"/>
        <w:rPr>
          <w:sz w:val="20"/>
          <w:szCs w:val="20"/>
          <w:color w:val="auto"/>
        </w:rPr>
      </w:pPr>
    </w:p>
    <w:p>
      <w:pPr>
        <w:ind w:left="660" w:hanging="328"/>
        <w:spacing w:after="0" w:line="284"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agreements </w:t>
      </w:r>
      <w:r>
        <w:rPr>
          <w:rFonts w:ascii="Times New Roman" w:cs="Times New Roman" w:eastAsia="Times New Roman" w:hAnsi="Times New Roman"/>
          <w:sz w:val="18"/>
          <w:szCs w:val="18"/>
          <w:color w:val="auto"/>
        </w:rPr>
        <w:t>– The Company contracts directly with homebuilders who purchase the solar energy system from the Company and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the transaction. The Company’s customers are invoiced upon the completion of installation.</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Lease agreements </w:t>
      </w:r>
      <w:r>
        <w:rPr>
          <w:rFonts w:ascii="Times New Roman" w:cs="Times New Roman" w:eastAsia="Times New Roman" w:hAnsi="Times New Roman"/>
          <w:sz w:val="18"/>
          <w:szCs w:val="18"/>
          <w:color w:val="auto"/>
        </w:rPr>
        <w:t>– Prior to SunPower Debtor’s declaration of bankruptcy, certain homeowners had intended to lease a system from SunPower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Debtors but were unable to consummate the transaction (as a result of SunPower Debtor’s declaration of bankruptcy). The in-process system inventory (installed on recently constructed homes) was acquired by the Company in connection with the SunPower Acquisition. The Company contracted directly with a leasing partner to facilitate the leasing of the system to the impacted homeowners. The Company considers the leasing partner to be its customer. Under the terms of the Company’s arrangement with the leasing partner, control is not transferred to the customer until the completed system is accepted by the customer. The Company receives consideration from the leasing partner following the acceptance of the system.</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performance obligation for both of these reportable segments is to design and install a fully functioning solar energy system. For all contract types (with the exception of New Homes Business Lease agreements), the Company recognizes revenue over time. The Company’s over-time revenue recognition begins when the solar power system is fully installed (as it is at this point that control of the asset begins to be transferred to the customer, and the customer retains the significant risks and rewards of ownership of the solar power system). The Company recognizes revenue using the input method based on direct costs to install the system and defers the costs of installation until such time that control of the asset transfers to the customer (installation). For New Homes Business Lease agreements, the Company considers the performance obligation to be satisfied at a point in time upon acceptance of the system by the customer.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Dealer 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earns revenue from contracts sold to customers for solar installations performed by third-party installation companies. The Company recognizes revenue at a point in time when PTO is complete. The Company acts as an agent in these arrangements and records revenue on a net basis. The Company does not have any significant financing components in these contracts. The Company does not provide warranty services related to these sales contracts, and therefore, the Company does not record a warranty reserve with respect to these sales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Contracts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incremental costs of obtaining customer contracts consist of sales commissions which are paid to third-parties who source residential customer contracts for the sale of solar energy systems by the Company. The Company defers sales commissions and recognizes the expense in accordance with the timing of the related revenue recognition. Amortization of deferred commissions is recorded as sales commissions in the accompanying consolidated statements of operations and comprehensive loss. As of December 28, 2025 deferred commissions was $5.6 million. Deferred commissions were not material as of December 29,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revenue (contract assets), and deferred revenue (contract liabilities) on the balance sheet.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consist of unbilled receivables which represent revenue that has been recognized in advance of the Company’s right to bill the customer.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consist of deferred revenue and customer advances, which represent consideration received from a customer prior to transferring control of goods or services to the customer under the terms of a sales contract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payment, or when such payment is unconditionally due from a customer prior to delivering goods or services to the customer under the terms of a customer agreement, the Company records this deferred revenue as a contract liability. Most installation projects are completed within 12-months. As such, a significant portion of the Company’s contract liabilities is reflected within current liabilities in the accompanying consolidated balance sheets. Contract liabilities for installation projects expected to be completed beyond 12 months are classified as noncurrent obligations in the accompanying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elected the practical expedient not to disclose the remaining performance obligations for contracts that are less than one year in length. The Company’s performance obligations associated with long-term service contracts are not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Estimated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an allowance for credit losses at the time a receivable is recorded based on the Company’s estimate of expected credit losses, historical write-off experience, and current account knowledge. In developing its estimate of expected credit losses, the Company has elected to apply the practical expedient permitted under Accounting Standards Codification (“ASC”) 326 –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under which it assumes that current conditions at the balance-sheet date remain unchanged for the remaining life of the financial assets.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evaluates the aggregation and risk characteristics of a receivable pool and develops loss rates that reflect historical collections over the time horizon that the Company is exposed to credit risk, and payment terms or conditions that may materially affect future forecasts.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financial condition when deemed necessary. The Company maintains an allowance for credit losses based on the expected collectability of all accounts receivable, which takes into consideration an analysis of historical bad debts, specific customer creditworthiness and current economic trends. The Company believes that its concentration of credit risk is limited because of the large number of customers, credit quality of the customer base, small account balances for most of these customers, and customer geographic diversification. The Company does not have any off-balance sheet credit exposure relating to its customers.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allowance for credit losses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As of and for the Year Ended</w:t>
            </w: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3"/>
              </w:rPr>
              <w:t>(1,701)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charged to earnings</w:t>
            </w:r>
          </w:p>
        </w:tc>
        <w:tc>
          <w:tcPr>
            <w:tcW w:w="100" w:type="dxa"/>
            <w:vAlign w:val="bottom"/>
          </w:tcPr>
          <w:p>
            <w:pPr>
              <w:spacing w:after="0"/>
              <w:rPr>
                <w:sz w:val="18"/>
                <w:szCs w:val="18"/>
                <w:color w:val="auto"/>
              </w:rPr>
            </w:pPr>
          </w:p>
        </w:tc>
        <w:tc>
          <w:tcPr>
            <w:tcW w:w="12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(3,554)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(9,132)</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written off, net of recoveries and other adjustments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17,277</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ind w:left="560"/>
              <w:spacing w:after="0" w:line="203" w:lineRule="exact"/>
              <w:rPr>
                <w:sz w:val="20"/>
                <w:szCs w:val="20"/>
                <w:color w:val="auto"/>
              </w:rPr>
            </w:pPr>
            <w:r>
              <w:rPr>
                <w:rFonts w:ascii="Times New Roman" w:cs="Times New Roman" w:eastAsia="Times New Roman" w:hAnsi="Times New Roman"/>
                <w:sz w:val="18"/>
                <w:szCs w:val="18"/>
                <w:color w:val="auto"/>
                <w:w w:val="94"/>
              </w:rPr>
              <w:t>(5,206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(1,701</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fiscal year 2024, the Company identified customer accounts receivable balances that were deemed to be uncollectible, which were reserved and written off.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consist of solar panels and the components of solar energy systems all of which are classified as finished goods within inventories as of December 28, 2025 and December 29, 2024. Inventories are valued using the average cost method. The Company identifies inventory which is considered obsolete or in excess of anticipated demand based on a consideration of marketability and product life cycle stage, component cost trends, demand forecasts, historical revenues, and assumptions about future demand and market conditions, and such inventory has been adjusted to its lower of cost or net realizable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costs to fulfill contracts associated with systems sales are expensed as cost of revenues. Cost of revenues is comprised primarily of materials, internal labor, third-party subcontractors, design services, engineering personnel and employee-related expenses associated with permitting services, associated warranty costs, freight and delivery costs, depreciation, and amortization of internally developed software. Cost of revenues from these services is recognized when the Company transfers control of the product to the customer, which is generally upon installation.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typically provides a 10-year warranty on its solar energy system installations, which provides assurance over the workmanship in performing the installation, including roof leaks caused by the Company’s performance. For solar panel sales recognized prior to the Divestiture, the Company provides a 30-year warranty that the products will be free from defects in material and workmanship. The Company retained its warranty obligations associated with panel sales prior to the Divestiture.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revenue is recognized for a solar energy system installation service, the Company accrues a liability for the estimated future cost of meeting its warranty obligations. The Company makes and revises its estimated warranty liability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consolidated statements of operations and comprehensive loss. Warranty costs primarily consist of replacement materials, equipment and labor costs for service personnel.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When assets are retired or disposed of, the cost and accumulated depreciation are removed from the accounts, and any resulting gain or loss is recognized in that period. Repair and maintenance costs are expensed as incurred. Depreciation and amortization are calculated using the straight-line method over the following estimated useful lives of the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60" w:type="dxa"/>
            <w:vAlign w:val="bottom"/>
            <w:tcBorders>
              <w:bottom w:val="single" w:sz="8" w:color="CCEEFF"/>
            </w:tcBorders>
          </w:tcPr>
          <w:p>
            <w:pPr>
              <w:spacing w:after="0"/>
              <w:rPr>
                <w:sz w:val="21"/>
                <w:szCs w:val="21"/>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4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 3 years</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5 years</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&amp; equipment</w:t>
            </w:r>
          </w:p>
        </w:tc>
        <w:tc>
          <w:tcPr>
            <w:tcW w:w="4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5 years</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5 years</w:t>
            </w:r>
          </w:p>
        </w:tc>
      </w:tr>
      <w:tr>
        <w:trPr>
          <w:trHeight w:val="216"/>
        </w:trPr>
        <w:tc>
          <w:tcPr>
            <w:tcW w:w="6860" w:type="dxa"/>
            <w:vAlign w:val="bottom"/>
            <w:shd w:val="clear" w:color="auto" w:fill="CF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380" w:type="dxa"/>
            <w:vAlign w:val="bottom"/>
            <w:shd w:val="clear" w:color="auto" w:fill="CFEEFF"/>
          </w:tcPr>
          <w:p>
            <w:pPr>
              <w:jc w:val="center"/>
              <w:spacing w:after="0"/>
              <w:rPr>
                <w:sz w:val="20"/>
                <w:szCs w:val="20"/>
                <w:color w:val="auto"/>
              </w:rPr>
            </w:pPr>
            <w:r>
              <w:rPr>
                <w:rFonts w:ascii="Times New Roman" w:cs="Times New Roman" w:eastAsia="Times New Roman" w:hAnsi="Times New Roman"/>
                <w:sz w:val="18"/>
                <w:szCs w:val="18"/>
                <w:color w:val="auto"/>
                <w:w w:val="99"/>
              </w:rPr>
              <w:t>Shorter of 3 to 5 years of the asset or the term of the lease.</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capitalizes costs to develop its internal-use software when preliminary development efforts are successfully completed, management has authorized and committed project funding, it is probable that the project will be completed, and the software will be utilized as intended. These costs include personnel and related employee benefits and expenses for employees who are directly associated with and who devote time to software projects, and external direct costs of materials and services consumed in developing or obtaining software. Costs incurred prior to meeting these criteria, together with costs incurred for training and maintenance, are expensed as incurred. Costs incurred for enhancements that are expected to provide additional material functionality are capitalized and amortized over the estimated useful life of the related upgrade.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Amortization is recorded using the straight-line method. All intangible assets that have been determined to have definite lives are amortized over their estimated useful life as indicated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Borders>
              <w:bottom w:val="single" w:sz="8" w:color="CCEEFF"/>
            </w:tcBorders>
          </w:tcPr>
          <w:p>
            <w:pPr>
              <w:spacing w:after="0"/>
              <w:rPr>
                <w:sz w:val="21"/>
                <w:szCs w:val="21"/>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 10 years</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 10 years</w:t>
            </w:r>
          </w:p>
        </w:tc>
      </w:tr>
      <w:tr>
        <w:trPr>
          <w:trHeight w:val="216"/>
        </w:trPr>
        <w:tc>
          <w:tcPr>
            <w:tcW w:w="7440" w:type="dxa"/>
            <w:vAlign w:val="bottom"/>
            <w:shd w:val="clear" w:color="auto" w:fill="CF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800" w:type="dxa"/>
            <w:vAlign w:val="bottom"/>
            <w:shd w:val="clear" w:color="auto" w:fill="CFEEFF"/>
          </w:tcPr>
          <w:p>
            <w:pPr>
              <w:jc w:val="center"/>
              <w:spacing w:after="0"/>
              <w:rPr>
                <w:sz w:val="20"/>
                <w:szCs w:val="20"/>
                <w:color w:val="auto"/>
              </w:rPr>
            </w:pPr>
            <w:r>
              <w:rPr>
                <w:rFonts w:ascii="Times New Roman" w:cs="Times New Roman" w:eastAsia="Times New Roman" w:hAnsi="Times New Roman"/>
                <w:sz w:val="18"/>
                <w:szCs w:val="18"/>
                <w:color w:val="auto"/>
                <w:w w:val="99"/>
              </w:rPr>
              <w:t>2 – 3 years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Right-of-Use (“ROU”) assets,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and quoted market values, as considered necessary.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recognized an impairment loss of zero and $3.8 million in the fiscal years ended December 28, 2025 and December 29, 2024, respectively, as disclosed in </w:t>
      </w:r>
      <w:r>
        <w:rPr>
          <w:rFonts w:ascii="Times New Roman" w:cs="Times New Roman" w:eastAsia="Times New Roman" w:hAnsi="Times New Roman"/>
          <w:sz w:val="18"/>
          <w:szCs w:val="18"/>
          <w:b w:val="1"/>
          <w:bCs w:val="1"/>
          <w:color w:val="auto"/>
        </w:rPr>
        <w:t>Note 6 – Supplemental Balance Sheet Information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tests goodwill at the reporting unit level for impairment annually on the first day of the fourth quarter, or more frequently if an event occurs or circumstances change that would more likely than not reduce the fair value of the reporting unit below its carrying amount.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1" w:name="page82"/>
    <w:bookmarkEnd w:id="81"/>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elect to perform a qualitative assessment that considers economic, industry and company-specific factors. If, after completing the assessment, it is determined that it is more likely than not that the fair value of a reporting unit is less than its carrying value, the Company proceeds to a quantitative test. Quantitative testing requires a comparison of the fair value of each reporting unit to its carrying value. If the carrying value of the reporting unit exceeds its fair value, goodwill impairment is measured as the amount by which the reporting unit’s carrying value exceeds its fair value, not to exceed the carrying value of goodwill.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recognize any goodwill impairment in the fiscal years ended December 28, 2025 or December 29,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considering market participant assumptions in fair value measurements, the following fair value hierarchy distinguishes between observable and unobservable inputs, which are categorized in one of the following levels:</w:t>
      </w:r>
    </w:p>
    <w:p>
      <w:pPr>
        <w:spacing w:after="0" w:line="162" w:lineRule="exact"/>
        <w:rPr>
          <w:sz w:val="20"/>
          <w:szCs w:val="20"/>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held by the Company measured at fair value every reporting period include cash and cash equivalents, accounts receivable, accounts payable, accrued expenses, warrant liabilities, forward purchase agreements (“FPAs”), SAFEs, deferred purchase price consideration, and derivative liabilities associated with the Company’s borrowings.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cash, accounts receivable, accounts payable, accrued expenses and other current liabilities, public warrants, and deferred purchase price consideration approximate their respective fair values because of their short-term nature or they have observable inputs (classified as Level 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derivative liabilities associated with the Company’s borrowings, FPAs, SAFEs, and private and working capital warrant liabilities are initially measured at fair value using Level 3 inputs. At each subsequent reporting date, the Company remeasures the fair value of these instruments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and records the respective adjustment to the fair value within Other non-operating income, net the Company’s consolidated statements of operations and comprehensive 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Borrowings with Embedded Derivative Liabilities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borrowings with embedded derivative liabilities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to determine whether such features must be bifurcated and accounted for separately as derivative liabilities. Upon issuance of a debt instrument with an embedded conversion option feature, the Company assesses whether the embedded feature qualifies as a derivative that requires bifurcation from the host contract. An embedded feature is bifurcated and accounted for as a separate derivative instrument if (i) the economic characteristics and risks of the embedded feature are not clearly and closely related to those of the host debt instrument; (ii) the embedded feature, if freestanding, would meet the definition of a derivative; and (iii) the hybrid instrument is not remeasured at fair value through earnings.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2" w:name="page83"/>
    <w:bookmarkEnd w:id="82"/>
    <w:p>
      <w:pPr>
        <w:jc w:val="both"/>
        <w:spacing w:after="0" w:line="282" w:lineRule="auto"/>
        <w:rPr>
          <w:sz w:val="20"/>
          <w:szCs w:val="20"/>
          <w:color w:val="auto"/>
        </w:rPr>
      </w:pPr>
      <w:r>
        <w:rPr>
          <w:rFonts w:ascii="Times New Roman" w:cs="Times New Roman" w:eastAsia="Times New Roman" w:hAnsi="Times New Roman"/>
          <w:sz w:val="18"/>
          <w:szCs w:val="18"/>
          <w:color w:val="auto"/>
        </w:rPr>
        <w:t>If an embedded feature requires bifurcation, the Company allocates a portion of the initial proceeds to the fair value of the derivative liability, with the residual assigned to the carrying amount of the host debt instrument. The derivative liability is subsequently measured at fair value at each reporting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host debt instrument is recorded at amortized cost using the effective interest method. Any discounts or premiums resulting from the initial allocation between the host debt and the embedded derivative are amortized as interest expense over the expected term of the debt.</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Derivative liabilities are measured at fair value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The fair value of a derivative liability is measured using a Monte Carlo simulation that incorporates a binomial lattice model. Refer to </w:t>
      </w:r>
      <w:r>
        <w:rPr>
          <w:rFonts w:ascii="Times New Roman" w:cs="Times New Roman" w:eastAsia="Times New Roman" w:hAnsi="Times New Roman"/>
          <w:sz w:val="18"/>
          <w:szCs w:val="18"/>
          <w:b w:val="1"/>
          <w:bCs w:val="1"/>
          <w:color w:val="auto"/>
        </w:rPr>
        <w:t>Note 5 –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Note 10 – Borrowings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Derivative Liabilities </w:t>
      </w:r>
      <w:r>
        <w:rPr>
          <w:rFonts w:ascii="Times New Roman" w:cs="Times New Roman" w:eastAsia="Times New Roman" w:hAnsi="Times New Roman"/>
          <w:sz w:val="18"/>
          <w:szCs w:val="18"/>
          <w:color w:val="auto"/>
        </w:rPr>
        <w:t>for details.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Purchase Agreements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its FPAs in accordance with the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 the agreements embody an obligation to transfer assets to settle a forward contract. The FPAs are measured at fair value at inception and at each reporting date in accordance with the guidance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Refer to </w:t>
      </w:r>
      <w:r>
        <w:rPr>
          <w:rFonts w:ascii="Times New Roman" w:cs="Times New Roman" w:eastAsia="Times New Roman" w:hAnsi="Times New Roman"/>
          <w:sz w:val="18"/>
          <w:szCs w:val="18"/>
          <w:b w:val="1"/>
          <w:bCs w:val="1"/>
          <w:color w:val="auto"/>
        </w:rPr>
        <w:t>Note 5 –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Note 8 – Forward Purchase Agreements</w:t>
      </w:r>
      <w:r>
        <w:rPr>
          <w:rFonts w:ascii="Times New Roman" w:cs="Times New Roman" w:eastAsia="Times New Roman" w:hAnsi="Times New Roman"/>
          <w:sz w:val="18"/>
          <w:szCs w:val="18"/>
          <w:color w:val="auto"/>
        </w:rPr>
        <w:t xml:space="preserve"> for details.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warrant liabilities in accordance with the guidance in ASC 815-40, </w:t>
      </w:r>
      <w:r>
        <w:rPr>
          <w:rFonts w:ascii="Times New Roman" w:cs="Times New Roman" w:eastAsia="Times New Roman" w:hAnsi="Times New Roman"/>
          <w:sz w:val="18"/>
          <w:szCs w:val="18"/>
          <w:i w:val="1"/>
          <w:iCs w:val="1"/>
          <w:color w:val="auto"/>
        </w:rPr>
        <w:t>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under which the warrants that do not meet the criteria for equity classification must be recorded as liabilities. The warrant liabilities are measured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fair value at inception and at each reporting date in accordance with the guidance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Refer to </w:t>
      </w:r>
      <w:r>
        <w:rPr>
          <w:rFonts w:ascii="Times New Roman" w:cs="Times New Roman" w:eastAsia="Times New Roman" w:hAnsi="Times New Roman"/>
          <w:sz w:val="18"/>
          <w:szCs w:val="18"/>
          <w:b w:val="1"/>
          <w:bCs w:val="1"/>
          <w:color w:val="auto"/>
        </w:rPr>
        <w:t>Note 5 –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Measurements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Note 14 – Common Stock and Common Stock Warrants </w:t>
      </w:r>
      <w:r>
        <w:rPr>
          <w:rFonts w:ascii="Times New Roman" w:cs="Times New Roman" w:eastAsia="Times New Roman" w:hAnsi="Times New Roman"/>
          <w:sz w:val="18"/>
          <w:szCs w:val="18"/>
          <w:color w:val="auto"/>
        </w:rPr>
        <w:t>for details.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Agreements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its SAFEs in accordance with the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SAFEs are measured at fair value at inception and at each reporting date in accordance with the guidance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Refer to </w:t>
      </w:r>
      <w:r>
        <w:rPr>
          <w:rFonts w:ascii="Times New Roman" w:cs="Times New Roman" w:eastAsia="Times New Roman" w:hAnsi="Times New Roman"/>
          <w:sz w:val="18"/>
          <w:szCs w:val="18"/>
          <w:b w:val="1"/>
          <w:bCs w:val="1"/>
          <w:color w:val="auto"/>
        </w:rPr>
        <w:t>Note 5 –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Measurements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Note 9 – SAFE Agreements </w:t>
      </w:r>
      <w:r>
        <w:rPr>
          <w:rFonts w:ascii="Times New Roman" w:cs="Times New Roman" w:eastAsia="Times New Roman" w:hAnsi="Times New Roman"/>
          <w:sz w:val="18"/>
          <w:szCs w:val="18"/>
          <w:color w:val="auto"/>
        </w:rPr>
        <w:t>for details.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and promotion costs are expensed as incurred and included in sales and marketing expense in the accompanying consolidated statements of operations and comprehensive loss. Advertising costs were not material for the fiscal years ended December 28, 2025 and December 29,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A valuation allowance is established when it is more likely than not that the deferred tax assets with not be realized. The Company recognizes the effect of income tax positions only if those positions are more likely than not to be sustained. The Company recognizes accrued interest and penalties, if any, related to unrecognized tax benefits in its income tax provision.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Public Law No. 119-21, commonly known as the One Big Beautiful Bill Act (the “OBBBA”), was enacted in the United States, resulting in broad-based changes to federal tax law. The Company included the impact of OBBBA in its income tax provision for the fiscal year ended December 28, 2025. The OBBBA did not have a material impact on income tax expense for the fiscal year ended December 28,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expense over the requisite service period on a straight- line basis for all stock-based payments that are expected to vest to employees, non-employees and Directors, including grants of employee stock options and other stock-based awards. Equity-classified awards issued to employees, non-employees such as consultants and non-employee Directors are measured at the grant-date fair value of the award. Forfeitures are recognized as they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 consists of two components, net loss and other comprehensive income (loss), net.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computes net loss per share following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net loss per share is measured as the loss attributable to common stockholders divided by the weighted average common shares outstanding during periods with undistributed losses. Diluted net loss per share of common stock is computed by dividing the net loss attributable to common stockholders by the weighted-average number of common share equivalents outstanding for the period determined using the treasury-stock method and if-converted method, as applicable. Securities that potentially have an anti-dilutive effect (i.e., those that increase income per share or decrease loss per share) are excluded from the diluted loss per share calculation.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its leases following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 contract is a lease or contains a lease at the inception of the contract and reassesses that conclusion if the contract is modified. ROU assets represent the Company’s right to use an underlying asset for the lease term and lease liabilities represent its obligation to make lease payments arising from the lease.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lease agreements generally contain lease and non-lease components. Payments under lease arrangements are primarily fixed. The Company has elected the practical expedient to combine lease and non-lease components and accounts for them together as a single lease component. All leases are assessed for classification as an operating lease or a finance lease. Finance lease ROU assets are classified within Property and Equipment, net, on the Company’s consolidated balance sheets. Operating lease ROU assets are classified separately on the Company’s consolidated balance sheets. Operating lease liabilities and finance lease obligations are separated into their respective current portion and non-current portions and are presented separately on the Company’s consolidated balance sheets. Finance lease ROU assets and liabilities and operating lease ROU assets and liabilities are recognized on the Company’s consolidated balance sheet on the date in which the lessor makes the underlying asset available for use.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Finance lease ROU assets are those that meet one or more of the criteria outlined in ASC 842-10-25-2, such as transfer of ownership, purchase option, lease term for a major part of the asset’s economic life, or present value of lease payments substantially equal to the fair value of the asset. Finance lease ROU assets are initially measured at cost, which includes the initial lease liability, plus any lease payments made at or before commencement, less any lease incentives received. Finance lease ROU assets are amortized on a straight-line basis over the shorter of the lease term or the useful life of the underlying asset. Interest expense on the finance lease liability is recognized using the effective interest method.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ROU assets and liabilities are recognized based upon the present value of the lease payments over the respective lease term. Operating lease expense is recognized on a straight-line basis over the lease term, subject to any changes in the lease or expectation regarding the terms. Variable lease costs such as common area maintenance, property taxes and insurance are expensed as incurred.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generally uses its incremental borrowing rate to discount the lease payments to present value. The estimated incremental borrowing rate is derived from information available at the lease commencement date. The Company’s lease terms include periods under options to extend or terminate the lease. Options to renew or extend leases beyond their initial term have been excluded from measurement of the ROU assets and lease liabilities when exercise of such options is not reasonably certain. The Company generally uses the base, non-cancellable, lease term when determining the lease assets and liabilities. The Company records a right-of-use asset which is calculated based on the amount of the lease liability, adjusted for any advance lease payments made, lease incentives received, and initial direct costs incurred. Right-of-use assets are subject to evaluation for impairment or disposal on a basis consistent with other long-lived assets.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elected, for all classes of underlying assets, not to recognize ROU assets and lease liabilities for leases with an initial term of twelve months or less. The cost for short-term leases is recognized on a straight-line basis over the term of the contract.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Financial Accounting Standards Board (“FASB”) issued Accounting Standards Update (“ASU”) 2025-05 </w:t>
      </w:r>
      <w:r>
        <w:rPr>
          <w:rFonts w:ascii="Times New Roman" w:cs="Times New Roman" w:eastAsia="Times New Roman" w:hAnsi="Times New Roman"/>
          <w:sz w:val="18"/>
          <w:szCs w:val="18"/>
          <w:i w:val="1"/>
          <w:iCs w:val="1"/>
          <w:color w:val="auto"/>
        </w:rPr>
        <w:t>“Measurement of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Accounts Receivable and Contract Assets” </w:t>
      </w:r>
      <w:r>
        <w:rPr>
          <w:rFonts w:ascii="Times New Roman" w:cs="Times New Roman" w:eastAsia="Times New Roman" w:hAnsi="Times New Roman"/>
          <w:sz w:val="18"/>
          <w:szCs w:val="18"/>
          <w:color w:val="auto"/>
        </w:rPr>
        <w:t>which provides an update to all entities with a practical expedient when estimating expected credit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ASU 2025-05 in the fiscal year ended December 28, 2025. The impact of the adoption was not material to the Company’s consolidated financial statements.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adopted this ASU on a prospective basis in its annual report in the fiscal year ended December 28, 2025. The impact of the adoption was not material to the Company’s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Improvements-Amendments to Remove References to the Concepts Statements”</w:t>
      </w:r>
      <w:r>
        <w:rPr>
          <w:rFonts w:ascii="Times New Roman" w:cs="Times New Roman" w:eastAsia="Times New Roman" w:hAnsi="Times New Roman"/>
          <w:sz w:val="18"/>
          <w:szCs w:val="18"/>
          <w:color w:val="auto"/>
        </w:rPr>
        <w:t>, which removes various references to concepts statements from the FASB Accounting Standards Codification. This ASU is effective for the Company beginning in the first quarter of fiscal year 2026, with early adoption permitted. The Company expects the new guidance will have an immaterial impact on its consolidated financial statements and intends to adopt the guidance when it becomes effective in the first quarter of fiscal year 2026.</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which requires the disaggregation of certain expenses in the notes of the financial statements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 enhanced transparency into the expense captions presented on the face of the income statement. The FASB subsequently issued ASU 2025-01 </w:t>
      </w:r>
      <w:r>
        <w:rPr>
          <w:rFonts w:ascii="Times New Roman" w:cs="Times New Roman" w:eastAsia="Times New Roman" w:hAnsi="Times New Roman"/>
          <w:sz w:val="18"/>
          <w:szCs w:val="18"/>
          <w:i w:val="1"/>
          <w:iCs w:val="1"/>
          <w:color w:val="auto"/>
        </w:rPr>
        <w:t>“Income Statement-Reporting Comprehensive Income-Expense Disaggregation Disclosures (Subtopic 220-40): Clarifying the Effective Date”</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2024-04, “</w:t>
      </w:r>
      <w:r>
        <w:rPr>
          <w:rFonts w:ascii="Times New Roman" w:cs="Times New Roman" w:eastAsia="Times New Roman" w:hAnsi="Times New Roman"/>
          <w:sz w:val="18"/>
          <w:szCs w:val="18"/>
          <w:i w:val="1"/>
          <w:iCs w:val="1"/>
          <w:color w:val="auto"/>
        </w:rPr>
        <w:t>Debt-Debt with Conversion and Other Options (Subtopic 470-20) (“ASU 2024-04”)”</w:t>
      </w:r>
      <w:r>
        <w:rPr>
          <w:rFonts w:ascii="Times New Roman" w:cs="Times New Roman" w:eastAsia="Times New Roman" w:hAnsi="Times New Roman"/>
          <w:sz w:val="18"/>
          <w:szCs w:val="18"/>
          <w:color w:val="auto"/>
        </w:rPr>
        <w:t>.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is currently evaluating the impact that the adoption of ASU 2024-04 may have on its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xml:space="preserv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Narrow Scope Improvements”</w:t>
      </w:r>
      <w:r>
        <w:rPr>
          <w:rFonts w:ascii="Times New Roman" w:cs="Times New Roman" w:eastAsia="Times New Roman" w:hAnsi="Times New Roman"/>
          <w:sz w:val="18"/>
          <w:szCs w:val="18"/>
          <w:color w:val="auto"/>
        </w:rPr>
        <w:t xml:space="preserve"> which amends and clarifies interim reporting and disclosure requirements including additional guidance on what disclosures should be provided in interim reporting periods. This amendment also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for public companies. This ASU may be applied prospectively or retrospectively to any or all periods presented in the Company’s consolidated financial statements. Early adoption of this ASU is permitted. The Company is currently evaluating the impact that the adoption of this ASU may have on its consolidated financial statements.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makes changes to the Accounting Standards Codification that clarify, correct errors or make minor improvements and make ASCs easier to understand and apply. The amendments in this ASU are effective for all entities for annual reporting periods beginning after December 15, 2026, and interim reporting periods within those annual reporting periods. This ASU may be adopted prospectively or retrospectively, except as to the clarification of the calculation of earnings per share when a loss from continuing operations exists which must be adopted retrospectively. All other codification improvements may be adopted prospectively or retrospectively. Early adoption is permitted. The Company is currently evaluating the impact that the adoption of this ASU may have on its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Related Parties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Transactions with CRSEF Solis Holdings, LLC and its affiliates (“Carlyle”), have been disclosed as related party transactions until it ceased being a significant shareholder in the Company. Effective March 31, 2025, transactions with Carlyle are no longer deemed related party transactions. The Company continues to engage in transactions with Carlyle as it is a creditor of the Company’s 12.0% senior unsecured convertible notes. Refer to </w:t>
      </w:r>
      <w:r>
        <w:rPr>
          <w:rFonts w:ascii="Times New Roman" w:cs="Times New Roman" w:eastAsia="Times New Roman" w:hAnsi="Times New Roman"/>
          <w:sz w:val="18"/>
          <w:szCs w:val="18"/>
          <w:b w:val="1"/>
          <w:bCs w:val="1"/>
          <w:color w:val="auto"/>
        </w:rPr>
        <w:t>Note 10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Borrowings and Derivative Liabilities </w:t>
      </w:r>
      <w:r>
        <w:rPr>
          <w:rFonts w:ascii="Times New Roman" w:cs="Times New Roman" w:eastAsia="Times New Roman" w:hAnsi="Times New Roman"/>
          <w:sz w:val="18"/>
          <w:szCs w:val="18"/>
          <w:color w:val="auto"/>
        </w:rPr>
        <w:t>for additional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J. Daniel McCranie became a member of the Company’s Board of Directors in January 2025 and through a related trust, holds $750 thousand of the Company’s 12.0% senior unsecured convertible notes. The Company concluded that this relationship is a related party transaction effective in the Company’s fiscal year 2025.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for additional information.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Polar Multi-Strategy Master Fund (“Polar”) ceased to be a related party, and as a result, effective March 31, 2025, transactions with Polar are no longer deemed related party transactions. Transactions previously reported with Polar have been disclosed as related party transactions. The Company has a forward purchase agreement with Polar.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NASDAQ Deficiency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19, 2025, the Company received a letter from the Listing Qualifications staff of Nasdaq indicating that, as a result of the Company’s delay in filing its quarterly report on Form 10-Q for the period ended September 28, 2025, the Company was not in compliance with the timely filing requirements for continued listing under Nasdaq Listing Rule 5250(c)(1). The Nasdaq letter had no immediate effect on the listing or trading of the Company’s common stock or warrants. The Nasdaq listing rules require Nasdaq-listed companies to timely file all required periodic reports with the SEC. The Nasdaq letter stated that, under Nasdaq rules, the Company has 60 calendar days to submit a plan to regain compliance with Nasdaq’s continued listing requirements. The Company filed its quarterly report on Form 10-Q for the period ended September 28, 2025 on December 19,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SunPower Businesses Acquisition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5, 2024, the Company entered into an Asset Purchase Agreement (the “APA”) with SunPower Corporation and SunPower Corporation’s direct and indirect subsidiaries (collectively, the “SunPower Debtors”) providing for the sale and purchase of certain assets relating to the Blue Raven Solar business, New Homes Business and Non-Installing Dealer network previously operated by the SunPower Debtors. The APA was entered into in connection with a voluntary petition filed by SunPower Corporation under Chapter 11 of the United States Code, 11 U.S.C.§§ 101-1532. The transaction was approved on September 23, 2024, by the United States Bankruptcy Court for the District of Delaware. The Company completed the acquisition of the Acquired Assets (as defined in the APA) effective September 30, 2024, in the Company’s fourth quarter of fiscal year 2024, in consideration for a cash purchase price of $54.5 million (“SunPower Acquisition”). The assets and businesses acquired, including liabilities assumed, by the Company under the APA are referred to herein as the “SunPower Businesses.”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its acquisition, the SunPower Businesses operated as a solar technology and energy services provider that offered fully integrated solar, storage, and home energy solutions to customers in the United States through an array of hardware, software, and “Smart Energy” solutions. The financial results of the SunPower Businesses have been included in the Company’s consolidated financial statements since its date of acquisition. This transaction was accounted for as a business combination in accordance with ASC 805</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costs of $7.2 million incurred in connection with the close of the SunPower Businesses were expensed by the Company and included in general and administrative expenses on the Company’s statement of operations and comprehensive loss in the fiscal year ended December 29,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provisional fair values of assets acquired and liabilities assumed initially recorded were based upon a preliminary valuation in the fiscal year ended December 29, 2024. Upon finalization of the fair values in the fiscal year ended December 28, 2025, the Company recorded adjustments to acquired inventory related to (1) the resolution of work-in-progress at various stages of completion as of the acquisition date for which further analysis was required in order to determine which systems could be sold to a financing partner, and (2) completed systems that were acquired as of the acquisition date for which uncertainty existed due to unsettled matters with the SunPower Bankruptcy Estate, which were resolved in connection with the Company’s settlement with the SunPower Bankruptcy Estate. The settlement of these matters resulted in adjustments to the provisional fair values of the inventory and intangibles with an offsetting adjustment to goodwill during the measurement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7" w:name="page88"/>
    <w:bookmarkEnd w:id="87"/>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the provisional and final fair values of identifiable assets acquired and liabilities assumed and measurement period adjustments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Provisional</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fair values as</w:t>
            </w:r>
          </w:p>
        </w:tc>
        <w:tc>
          <w:tcPr>
            <w:tcW w:w="180" w:type="dxa"/>
            <w:vAlign w:val="bottom"/>
          </w:tcPr>
          <w:p>
            <w:pPr>
              <w:spacing w:after="0"/>
              <w:rPr>
                <w:sz w:val="18"/>
                <w:szCs w:val="18"/>
                <w:color w:val="auto"/>
              </w:rPr>
            </w:pPr>
          </w:p>
        </w:tc>
        <w:tc>
          <w:tcPr>
            <w:tcW w:w="11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of December</w:t>
            </w:r>
          </w:p>
        </w:tc>
        <w:tc>
          <w:tcPr>
            <w:tcW w:w="13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Final</w:t>
            </w:r>
          </w:p>
        </w:tc>
      </w:t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29, 2024</w:t>
            </w:r>
          </w:p>
        </w:tc>
        <w:tc>
          <w:tcPr>
            <w:tcW w:w="240" w:type="dxa"/>
            <w:vAlign w:val="bottom"/>
          </w:tcPr>
          <w:p>
            <w:pPr>
              <w:spacing w:after="0"/>
              <w:rPr>
                <w:sz w:val="21"/>
                <w:szCs w:val="21"/>
                <w:color w:val="auto"/>
              </w:rPr>
            </w:pP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in fiscal 2025</w:t>
            </w: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fair values</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11,999</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4,615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16,614</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4,615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27,706</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20,682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48,388</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5,867</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5,867</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541</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(2,206)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15,894</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(7,361)</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(5,270)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(13,955)</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(13,955)</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(2,963)</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(8,980)</w:t>
            </w:r>
          </w:p>
        </w:tc>
        <w:tc>
          <w:tcPr>
            <w:tcW w:w="18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(8,980)</w:t>
            </w:r>
          </w:p>
        </w:tc>
      </w:tr>
      <w:tr>
        <w:trPr>
          <w:trHeight w:val="236"/>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Goodwill recognized</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18,476</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(18,476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provisional and final fair values of the intangible assets acquired and estimated useful lives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Provisional</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fair values</w:t>
            </w:r>
          </w:p>
        </w:tc>
        <w:tc>
          <w:tcPr>
            <w:tcW w:w="180" w:type="dxa"/>
            <w:vAlign w:val="bottom"/>
          </w:tcPr>
          <w:p>
            <w:pPr>
              <w:spacing w:after="0"/>
              <w:rPr>
                <w:sz w:val="18"/>
                <w:szCs w:val="18"/>
                <w:color w:val="auto"/>
              </w:rPr>
            </w:pPr>
          </w:p>
        </w:tc>
        <w:tc>
          <w:tcPr>
            <w:tcW w:w="114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8"/>
                <w:szCs w:val="18"/>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80" w:type="dxa"/>
            <w:vAlign w:val="bottom"/>
          </w:tcPr>
          <w:p>
            <w:pPr>
              <w:spacing w:after="0"/>
              <w:rPr>
                <w:sz w:val="18"/>
                <w:szCs w:val="18"/>
                <w:color w:val="auto"/>
              </w:rPr>
            </w:pPr>
          </w:p>
        </w:tc>
        <w:tc>
          <w:tcPr>
            <w:tcW w:w="11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in fiscal</w:t>
            </w:r>
          </w:p>
        </w:tc>
        <w:tc>
          <w:tcPr>
            <w:tcW w:w="12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Final</w:t>
            </w:r>
          </w:p>
        </w:tc>
      </w:tr>
      <w:tr>
        <w:trPr>
          <w:trHeight w:val="245"/>
        </w:trPr>
        <w:tc>
          <w:tcPr>
            <w:tcW w:w="5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fair values</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 – Blue Raven Solar</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Trademark - SunPower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5,200</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4,300</w:t>
            </w: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18,100</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15,894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values of the trademarks were estimated using the relief-from-royalty method. This approach measures the value of the asset based on the hypothetical royalties the Company would avoid paying if it had to license the trademark from a third party. The analysis considers the established history and longevity of the trade names, including the Blue Raven brand, in use since 2014, and the SunPower brand, which has been in the market for over 20 years. Key assumptions include projecting sales attributable to business enterprise value for each respective business, applying a 1% royalty rate derived from a profit-split analysis and benchmarking against the median of comparable licensing arrangements, and utilizing a 10-year economic life in line with management’s plans to continue using the brands for the foreseeable future.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developed technology was estimated using the cost approach, which measures the economic resources required to recreate the asset, including direct costs and necessary entrepreneurial incentives. Direct costs were based on management’s estimate of the fees and profit margin that would be required to engage external consultants to rebuild the technology. In addition, an opportunity cost was incorporated to reflect the hypothetical return foregone during the development period, representing the income that could have been earned had these funds been invested elsewhere. The total replacement cost was calculated assuming a weighted-average redevelopment period of 19 months.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SunPower Acquisition contributed $83.8 million and $6.5 million in revenue and income before income taxes from continuing operations, respectively, for the period from the acquisition date to the fiscal year ended December 29,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Sunder Energy LLC Acquisition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September 21, 2025, a subsidiary of the Company entered into a Membership Interest Purchase Agreement (“Sunder MIPA”) with Sunder Energy LLC (“Sunder”) and the seller, Chicken Parm Pizza LLC (“Seller/Member”), the sole member of Sunder. On September 24, 2025 (“Sunder Closing”), the Company completed the acquisition of the membership interests of Sunder for an aggregate consideration of $57.8 million (“Sunder Acquisition”). Per the terms of the Sunder MIPA, the Company acquired all of the outstanding membership interest of Sunder for (1) $20.7 million in cash, subject to certain working capital and other adjustments; (2) a promissory note to the Member in the principal amount of $20.0 million (“Seller Note”); and (3) 10.0 million shares of the Company’s common stock (valued at the closing share price on September 24, 2025, of $1.71 per share), consisting of (i) 3,333,334 shares of the Company’s common stock issued at the Sunder Closing and (ii) subject to approval of such issuances by the Company’s stockholders, (x) 3,333,333 shares of the Company’s common stock to be issued on the 12-month anniversary of the Sunder Closing and (y) 3,333,333 shares of the Company’s common stock to be issued on the 18-month anniversary of the Sunder Closing (“Deferred Sunder Consideration Shares”). In lieu of issuing the Deferred Sunder Consideration Shares, the Company, in its sole discretion, may elect to pay the Member a cash payment equal to the number of Deferred Sunder Consideration Shares otherwise issuable by the Company multiplied by the volume-weighted average price of the Company’s common stock as quoted on Nasdaq for the 30-trading day period ending two business days prior to the date on which the applicable Deferred Sunder Consideration Shares are otherwise issuable (“Cash in Lieu Amount”). If the Company elects to pay the Cash in Lieu Amount, 50% of the Cash in Lieu Amount will be paid on the three-month anniversary of the date on which the applicable Deferred Sunder Consideration Shares are otherwise issuable, with the remaining 50% of the Cash in Lieu Amount payable on the 6 month anniversary of the date on which the applicable Deferred Sunder Consideration Shares are otherwise issuable. The shares of the Company’s common stock issued and expected to be issued were valued at aggregate of $17.1 million at the date of acquisition. The common stock issued at the Sunder Closing was valued at $5.7 million and accounted for within Additional paid-in-capital on the Company’s consolidated balance sheet. The Deferred Sunder Consideration Shares payable is presented as noted below on the Company’s consolidated balance sheet as of December 28, 2025. The fair value of the Sunder deferred consideration was subsequently adjusted downward to $10.8 million from the Sunder Closing to December 28, 2025. The Company concluded that since the sellers joined the Company and represent members of management, they have a level of influence that is not insignificant, they are related parties of the Company, and therefore the Deferred Consideration and Seller Note are a related party obligations.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consideration is summarized as follows </w:t>
            </w: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20,689</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Seller note</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3,333,334 shares of the Company’s common stock (classified within Additional paid-in-capital)</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5,700</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Sunder Consideration Shares (fair value of 6,666,666 shares of the Company’s common stock):</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Classified within Deferred consideration, current with related party</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5,700</w:t>
            </w: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Classified within Deferred consideration, noncurrent with related party</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5,700</w:t>
            </w:r>
          </w:p>
        </w:tc>
      </w:tr>
      <w:tr>
        <w:trPr>
          <w:trHeight w:val="223"/>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total consideration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financed a portion of the transaction through the issuance of $22.0 million of 7.0% senior unsecured convertible notes (the “September 2025 Notes”) and a $20.0 million Seller Note.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for details regarding these obligations.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Sunder is a solar sales company. The Company acquired Sunder as a strategic acquisition to expand its overall market share and its penetration into more U.S. states. The financial results of Sunder have been included in the Company’s consolidated financial statements since its date of acquisition.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provisional fair values of assets acquired and liabilities assumed were based upon a preliminary valuation, and the Company’s estimates and assumptions have been revised during the measurement period to refine the fair values of the assets acquired and liabilities assumed based upon the facts and circumstances existing at the date of acquisition which resulted in the measurement period adjustments noted below. The purchase price accounting remains open for the components of working capital, identification and valuation of intangibles and allocation of goodwill. The Company has elected the practical expedient within ASC 805-20-30-27 through 805-20-30-30 to recognize and measure contract liabilities in accordance with ASC 606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(“ASC 606”) as if it had originated the acquired contract. Thus, the amount of any contract liabilities immediately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acquisition will be the comparable amounts recognized in the determination of assets acquired and liabilities assumed by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provisional fair value of identifiable assets acquired and liabilities assumed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Provisional</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Provisional</w:t>
            </w: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fair values</w:t>
            </w:r>
          </w:p>
        </w:tc>
        <w:tc>
          <w:tcPr>
            <w:tcW w:w="180" w:type="dxa"/>
            <w:vAlign w:val="bottom"/>
          </w:tcPr>
          <w:p>
            <w:pPr>
              <w:spacing w:after="0"/>
              <w:rPr>
                <w:sz w:val="18"/>
                <w:szCs w:val="18"/>
                <w:color w:val="auto"/>
              </w:rPr>
            </w:pPr>
          </w:p>
        </w:tc>
        <w:tc>
          <w:tcPr>
            <w:tcW w:w="116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fair values</w:t>
            </w: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as of</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 in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73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24,</w:t>
            </w:r>
          </w:p>
        </w:tc>
        <w:tc>
          <w:tcPr>
            <w:tcW w:w="180" w:type="dxa"/>
            <w:vAlign w:val="bottom"/>
          </w:tcPr>
          <w:p>
            <w:pPr>
              <w:spacing w:after="0"/>
              <w:rPr>
                <w:sz w:val="18"/>
                <w:szCs w:val="18"/>
                <w:color w:val="auto"/>
              </w:rPr>
            </w:pPr>
          </w:p>
        </w:tc>
        <w:tc>
          <w:tcPr>
            <w:tcW w:w="116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3,039</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25,922</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11,578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(11,073)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(11,673)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(3,850)</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r>
      <w:tr>
        <w:trPr>
          <w:trHeight w:val="236"/>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Consideration transferred</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57,789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57,789</w:t>
            </w:r>
          </w:p>
        </w:tc>
        <w:tc>
          <w:tcPr>
            <w:tcW w:w="100" w:type="dxa"/>
            <w:vAlign w:val="bottom"/>
            <w:tcBorders>
              <w:bottom w:val="single" w:sz="8" w:color="CCEEFF"/>
            </w:tcBorders>
          </w:tcPr>
          <w:p>
            <w:pPr>
              <w:spacing w:after="0"/>
              <w:rPr>
                <w:sz w:val="18"/>
                <w:szCs w:val="18"/>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recognized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42,911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31,822</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acquisition, the intangible assets acquired and estimated useful lives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Provisional</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10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Provisional</w:t>
            </w: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fair values</w:t>
            </w: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fair values</w:t>
            </w: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as of</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adjustments in</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59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24,</w:t>
            </w: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fiscal</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r>
      <w:tr>
        <w:trPr>
          <w:trHeight w:val="245"/>
        </w:trPr>
        <w:tc>
          <w:tcPr>
            <w:tcW w:w="598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6"/>
              </w:rPr>
              <w:t>21,321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Trademark - Sunder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 years</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6,100</w:t>
            </w: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 - Sunder</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 years</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14,216</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(13,416)</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25,922</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center"/>
              <w:ind w:left="350"/>
              <w:spacing w:after="0" w:line="203" w:lineRule="exact"/>
              <w:rPr>
                <w:sz w:val="20"/>
                <w:szCs w:val="20"/>
                <w:color w:val="auto"/>
              </w:rPr>
            </w:pPr>
            <w:r>
              <w:rPr>
                <w:rFonts w:ascii="Times New Roman" w:cs="Times New Roman" w:eastAsia="Times New Roman" w:hAnsi="Times New Roman"/>
                <w:sz w:val="18"/>
                <w:szCs w:val="18"/>
                <w:color w:val="auto"/>
                <w:w w:val="96"/>
              </w:rPr>
              <w:t>11,578</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37,500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customer relationships was estimated using the excess earnings method, which measures the cash flows attributable to existing customers after deducting all supporting expenses and contributory asset charges. The assumptions used included revenue included all business enterprise valuation sales, reduced by a 5% attrition rate based on historical customer turnover, with operating expenses estimated as a percentage of sales and no sales-and-marketing adjustment since such efforts do not directly support existing customers. Contributory asset charges were applied for the use of working capital, fixed assets, workforce, trademarks, and internal-use software, and cash flows were projected over the period in which customer relationships were expected to produce meaningful benefit, with the economic life extending until those cash flows became minimal.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trademark was estimated using the relief-from-royalty method. This approach measures the value of the asset based on the hypothetical royalties the Company would avoid paying if it had to license the trademark from a third party. The assumptions used to value the trademark included projected sales based upon the business enterprise valuation considered attributable to the trademark, a royalty rate of 1.0% supported by a profit-split analysis and benchmarking against comparable licensing arrangements in the solar and broader energy industries and a useful economic life of 10 years consistent with management’s expectations for continued use and the anticipated longevity of the brand’s market relevance.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Sunder’s developed technology was estimated using the cost approach, which measures value based on the cost to reproduce or replace the existing software in its current state. The analysis considered the historical direct development costs, including Sunder’s ongoing investment of approximately since late 2023, representing labor, design, coding, and testing efforts required to build the technology. In addition to direct costs, the valuation incorporated opportunity costs, which reflect the portion of the software expected to be added, modified, or removed over time based on management’s estimates of ongoing development needs. Together, these inputs approximate the current replacement cost of the technology, adjusted for necessary updates and functional improvements.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0" w:name="page91"/>
    <w:bookmarkEnd w:id="9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Sunder contributed $14.4 million and $6.2 million in revenue and income before income taxes from continuing operations, respectively, for the period from the acquisition date to the fiscal year ended December 28,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Ambia Energy LLC Acquisition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21, 2025, the Company entered into a Membership Interest Purchase Agreement (the “Ambia MIPA”) with Ambia and Ambia Holdings, Inc., a Delaware corporation and the sole member of Ambia (“Ambia Holdings”) to acquire Ambia (the “Ambia Acquisition”). Ambia was the sole operating entity within Ambia Holdings.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Ambia and Ambia Holdings completed the closing under the Ambia MIPA on November 21, 2025 (the “Ambia Closing”). At the Ambia Closing, the Company acquired all of the outstanding membership interests of Ambia from Ambia Holdings for: (a) 10,243,924 shares of common stock of the Company (the “Ambia Closing Consideration Shares”), issued at the Ambia Closing to Ambia Holdings; and (b) an agreement to issue an additional $9.375 million of shares of the Company’s common stock on each of the six-month anniversary of the Ambia Closing and the 12-month anniversary of the Ambia Closing (collectively such additional shares of common stock, the “Deferred Ambia Consideration Shares”). The issuance of the Deferred Ambia Consideration Shares is subject to approval by the Company’s stockholders following the Ambia Closing.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actual number of Deferred Ambia Consideration Shares issuable by the Company on the six- and 12-month anniversaries of the Ambia Closing will be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fair value of the deferred consideration shares at the Ambia Closing was $16.9 million. The Company’s closing share price for its common stock of $1.61 on November 21, 2025 was used to fair value the shares issued at the Ambia Closing. The total consideration is summarized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0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Fair value of 10,243,924 shares of the Company’s common stock issued at Ambia Closing (classified within Additional paid-in</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16,493</w:t>
            </w:r>
          </w:p>
        </w:tc>
      </w:tr>
      <w:tr>
        <w:trPr>
          <w:trHeight w:val="23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Ambia Consideration Shares (Classified within Deferred consideration, current)</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16,879</w:t>
            </w:r>
          </w:p>
        </w:tc>
      </w:tr>
      <w:tr>
        <w:trPr>
          <w:trHeight w:val="223"/>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total consideration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Ambia is a residential solar energy system installer and operates in various markets throughout the United States.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provisional fair values of assets acquired and liabilities assumed were based upon the facts and circumstances existing at the date of acquisition. The purchase price accounting remains open for the valuation of the customer relationship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provisional fair values of identifiable assets acquired and liabilities assumed are identified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Provisional</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fair values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 - unbilled receivables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Fair value of net assets acquired</w:t>
            </w:r>
          </w:p>
        </w:tc>
        <w:tc>
          <w:tcPr>
            <w:tcW w:w="1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2,564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common stock issued (classified within Additional paid-in-capital)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Deferred Ambia Consideration Shares (Accrued expenses and other current liabilities)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recognized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30,808</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the date of acquisition, the intangible assets acquired and estimated useful lives were as follows:</w:t>
            </w: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Provisional</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Fair values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(Backlog)</w:t>
            </w:r>
          </w:p>
        </w:tc>
        <w:tc>
          <w:tcPr>
            <w:tcW w:w="124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2"/>
              </w:rPr>
              <w:t xml:space="preserve">1 year </w:t>
            </w:r>
            <w:r>
              <w:rPr>
                <w:rFonts w:ascii="Times New Roman" w:cs="Times New Roman" w:eastAsia="Times New Roman" w:hAnsi="Times New Roman"/>
                <w:sz w:val="29"/>
                <w:szCs w:val="29"/>
                <w:color w:val="auto"/>
                <w:w w:val="92"/>
                <w:vertAlign w:val="superscript"/>
              </w:rPr>
              <w:t>(1)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Trademarks - Ambia</w:t>
            </w:r>
          </w:p>
        </w:tc>
        <w:tc>
          <w:tcPr>
            <w:tcW w:w="13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 year</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Useful life is based upon customer consumption, expected to occur within one year.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Trademarks were derived using the relief from royalty method based upon the following key assumptions; (i) all sales based upon the business enterprise value; (ii) a royalty rate of 1% based upon profit split analysis and comparable licensing royalty agreements and (iii) an economic life of the Ambia name through the end of 2026, the Ambia name will only be used in certain small markets and that all sales, marketing and branding will be done under the SunPower brand name in relatively short order.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 relationships (backlog) was derived using the excess earnings method based upon the following key assumptions: (i) backlog meets the appropriate contractual criteria; (ii) sales were based upon the backlog of sales; (iii) expenses were based upon a percentage of sales with an adjustments for sales and marketing expenses, upon which management estimates that 100% of Ambia’s sales and marketing expenses are directed at acquiring new customers and is not required to support the backlog; (iv) charges were taken for the use of working capital, fixed assets, workforce and trademarks; (v) the economic life of the backlog is to the end of fiscal 2026 based upon management’s estimate of average deal length.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2" w:name="page93"/>
    <w:bookmarkEnd w:id="92"/>
    <w:p>
      <w:pPr>
        <w:ind w:right="2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Ambia contributed $7.0 million and $2.8 million in revenue and loss before income taxes from continuing operations, respectively, for the period from the acquisition date to the fiscal year ended December 28,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represents the consolidated financial statements of the Company for the periods presented, as if the SunPower Businesses acquisition occurred on January 1, 2023 and the Sunder and Ambia acquisitions occurred on December 30, 2024.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unaudited pro forma combined financial information does not give effect to any cost savings, operating synergies or revenue synergies that may result from the acquisitions. The pro forma results do not necessarily reflect the actual results of operations of the combined business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00" w:type="dxa"/>
            <w:vAlign w:val="bottom"/>
          </w:tcPr>
          <w:p>
            <w:pPr>
              <w:spacing w:after="0"/>
              <w:rPr>
                <w:sz w:val="19"/>
                <w:szCs w:val="19"/>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revenue</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429,689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480,427</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from continuing operations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(59,168)</w:t>
            </w: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(312,801)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 and Contract Balances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All revenue is generated in the U.S. Revenue is disaggregated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07"/>
        </w:trPr>
        <w:tc>
          <w:tcPr>
            <w:tcW w:w="42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34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42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4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160,987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67,460</w:t>
            </w: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Residential Solar Installation</w:t>
            </w:r>
          </w:p>
        </w:tc>
        <w:tc>
          <w:tcPr>
            <w:tcW w:w="44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160,987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67,460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32,205</w:t>
            </w:r>
          </w:p>
        </w:tc>
      </w:tr>
      <w:tr>
        <w:trPr>
          <w:trHeight w:val="25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4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77,909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9,077</w:t>
            </w: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New Homes Business</w:t>
            </w:r>
          </w:p>
        </w:tc>
        <w:tc>
          <w:tcPr>
            <w:tcW w:w="44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124,595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41,282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14,418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Dealer</w:t>
            </w:r>
          </w:p>
        </w:tc>
        <w:tc>
          <w:tcPr>
            <w:tcW w:w="44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108,742</w:t>
            </w:r>
          </w:p>
        </w:tc>
      </w:tr>
      <w:tr>
        <w:trPr>
          <w:trHeight w:val="216"/>
        </w:trPr>
        <w:tc>
          <w:tcPr>
            <w:tcW w:w="4280" w:type="dxa"/>
            <w:vAlign w:val="bottom"/>
            <w:tcBorders>
              <w:top w:val="single" w:sz="8" w:color="CCEEFF"/>
            </w:tcBorders>
            <w:shd w:val="clear" w:color="auto" w:fill="CCEEFF"/>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recognized over time</w:t>
            </w:r>
          </w:p>
        </w:tc>
        <w:tc>
          <w:tcPr>
            <w:tcW w:w="4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207,673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99,665</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recognized at a point in time</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92,327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9,077</w:t>
            </w:r>
          </w:p>
        </w:tc>
      </w:tr>
      <w:tr>
        <w:trPr>
          <w:trHeight w:val="655"/>
        </w:trPr>
        <w:tc>
          <w:tcPr>
            <w:tcW w:w="42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right"/>
              <w:ind w:right="3030"/>
              <w:spacing w:after="0"/>
              <w:rPr>
                <w:sz w:val="20"/>
                <w:szCs w:val="20"/>
                <w:color w:val="auto"/>
              </w:rPr>
            </w:pPr>
            <w:r>
              <w:rPr>
                <w:rFonts w:ascii="Times New Roman" w:cs="Times New Roman" w:eastAsia="Times New Roman" w:hAnsi="Times New Roman"/>
                <w:sz w:val="18"/>
                <w:szCs w:val="18"/>
                <w:color w:val="auto"/>
              </w:rPr>
              <w:t>F-27</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Accounts receivable, contract assets and contract liabilities from contracts with customers are as follows </w:t>
            </w: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25,842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 current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26,066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contract assets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80" w:type="dxa"/>
            <w:vAlign w:val="bottom"/>
            <w:vMerge w:val="continue"/>
          </w:tcPr>
          <w:p>
            <w:pPr>
              <w:spacing w:after="0"/>
              <w:rPr>
                <w:sz w:val="24"/>
                <w:szCs w:val="24"/>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26,066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20,336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receives payments from customers based upon contractual payment terms. Accounts receivable are recorded in an amount that reflects the consideration that is expected to be received in exchange for those goods or services when the right to consideration becomes unconditional.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contract liabilities is primarily attributed to the acquisition of Sunder in fiscal year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balances of contract assets in the fiscal years ended December 28, 2025 and December 29,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Reclassifications to accounts receivable</w:t>
      </w:r>
    </w:p>
    <w:p>
      <w:pPr>
        <w:spacing w:after="0" w:line="9" w:lineRule="exact"/>
        <w:rPr>
          <w:sz w:val="20"/>
          <w:szCs w:val="20"/>
          <w:color w:val="auto"/>
        </w:rPr>
      </w:pPr>
    </w:p>
    <w:p>
      <w:pPr>
        <w:ind w:right="3320"/>
        <w:spacing w:after="0" w:line="292" w:lineRule="auto"/>
        <w:rPr>
          <w:sz w:val="20"/>
          <w:szCs w:val="20"/>
          <w:color w:val="auto"/>
        </w:rPr>
      </w:pPr>
      <w:r>
        <w:rPr>
          <w:rFonts w:ascii="Times New Roman" w:cs="Times New Roman" w:eastAsia="Times New Roman" w:hAnsi="Times New Roman"/>
          <w:sz w:val="18"/>
          <w:szCs w:val="18"/>
          <w:color w:val="auto"/>
        </w:rPr>
        <w:t>Increase due to contract assets acquired in business combination Contract assets,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4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20" w:type="dxa"/>
            <w:vAlign w:val="bottom"/>
          </w:tcPr>
          <w:p>
            <w:pPr>
              <w:spacing w:after="0"/>
              <w:rPr>
                <w:sz w:val="18"/>
                <w:szCs w:val="18"/>
                <w:color w:val="auto"/>
              </w:rPr>
            </w:pPr>
          </w:p>
        </w:tc>
      </w:tr>
      <w:tr>
        <w:trPr>
          <w:trHeight w:val="245"/>
        </w:trPr>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r>
      <w:tr>
        <w:trPr>
          <w:trHeight w:val="198"/>
        </w:trPr>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26,066</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12,979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21,451</w:t>
            </w:r>
          </w:p>
        </w:tc>
      </w:tr>
      <w:tr>
        <w:trPr>
          <w:trHeight w:val="230"/>
        </w:trPr>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(26,066)</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1,143</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20" w:type="dxa"/>
            <w:vAlign w:val="bottom"/>
          </w:tcPr>
          <w:p>
            <w:pPr>
              <w:spacing w:after="0"/>
              <w:rPr>
                <w:sz w:val="20"/>
                <w:szCs w:val="20"/>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26,066</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7960" w:space="720"/>
            <w:col w:w="2560"/>
          </w:cols>
          <w:pgMar w:left="320" w:top="65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xml:space="preserve">Changes in the balances of contract liabilities in the fiscal years ended December 28, 2025 and December 29, 2024 were as follows </w:t>
      </w:r>
      <w:r>
        <w:rPr>
          <w:rFonts w:ascii="Times New Roman" w:cs="Times New Roman" w:eastAsia="Times New Roman" w:hAnsi="Times New Roman"/>
          <w:sz w:val="18"/>
          <w:szCs w:val="18"/>
          <w:i w:val="1"/>
          <w:iCs w:val="1"/>
          <w:color w:val="auto"/>
        </w:rPr>
        <w:t>(in thousands):</w:t>
      </w:r>
    </w:p>
    <w:p>
      <w:pPr>
        <w:sectPr>
          <w:pgSz w:w="11900" w:h="16838" w:orient="portrait"/>
          <w:cols w:equalWidth="0" w:num="1">
            <w:col w:w="11240"/>
          </w:cols>
          <w:pgMar w:left="320" w:top="657" w:right="3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liabilities,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due to billings or cash received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2960"/>
        <w:spacing w:after="0" w:line="270" w:lineRule="auto"/>
        <w:rPr>
          <w:sz w:val="20"/>
          <w:szCs w:val="20"/>
          <w:color w:val="auto"/>
        </w:rPr>
      </w:pPr>
      <w:r>
        <w:rPr>
          <w:rFonts w:ascii="Times New Roman" w:cs="Times New Roman" w:eastAsia="Times New Roman" w:hAnsi="Times New Roman"/>
          <w:sz w:val="17"/>
          <w:szCs w:val="17"/>
          <w:color w:val="auto"/>
        </w:rPr>
        <w:t>Revenue recognized from beginning balance of contract liabilities Increase due to contract liabilities assumed in a business combination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liabilities,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4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60" w:type="dxa"/>
            <w:vAlign w:val="bottom"/>
          </w:tcPr>
          <w:p>
            <w:pPr>
              <w:spacing w:after="0"/>
              <w:rPr>
                <w:sz w:val="18"/>
                <w:szCs w:val="18"/>
                <w:color w:val="auto"/>
              </w:rPr>
            </w:pPr>
          </w:p>
        </w:tc>
      </w:tr>
      <w:tr>
        <w:trPr>
          <w:trHeight w:val="245"/>
        </w:trPr>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r>
      <w:tr>
        <w:trPr>
          <w:trHeight w:val="198"/>
        </w:trPr>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10,921</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3,478</w:t>
            </w:r>
          </w:p>
        </w:tc>
        <w:tc>
          <w:tcPr>
            <w:tcW w:w="6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60" w:type="dxa"/>
            <w:vAlign w:val="bottom"/>
          </w:tcPr>
          <w:p>
            <w:pPr>
              <w:spacing w:after="0"/>
              <w:rPr>
                <w:sz w:val="18"/>
                <w:szCs w:val="18"/>
                <w:color w:val="auto"/>
              </w:rPr>
            </w:pPr>
          </w:p>
        </w:tc>
      </w:tr>
      <w:tr>
        <w:trPr>
          <w:trHeight w:val="229"/>
        </w:trPr>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(9,889)</w:t>
            </w: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(2,560)</w:t>
            </w:r>
          </w:p>
        </w:tc>
      </w:tr>
      <w:tr>
        <w:trPr>
          <w:trHeight w:val="234"/>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13,348</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60" w:type="dxa"/>
            <w:vAlign w:val="bottom"/>
          </w:tcPr>
          <w:p>
            <w:pPr>
              <w:spacing w:after="0"/>
              <w:rPr>
                <w:sz w:val="20"/>
                <w:szCs w:val="20"/>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60" w:type="dxa"/>
            <w:vAlign w:val="bottom"/>
          </w:tcPr>
          <w:p>
            <w:pPr>
              <w:spacing w:after="0"/>
              <w:rPr>
                <w:sz w:val="21"/>
                <w:szCs w:val="2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65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Substantially all of the revenue recognized from the beginning balance of contract liabilities was recognized in the current year.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tables set forth the Company’s financial assets and liabilities that are measured at fair value, on a recurring basis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28, 2025</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3,841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July 2024 Notes derivative liability </w:t>
            </w:r>
            <w:r>
              <w:rPr>
                <w:rFonts w:ascii="Times New Roman" w:cs="Times New Roman" w:eastAsia="Times New Roman" w:hAnsi="Times New Roman"/>
                <w:sz w:val="29"/>
                <w:szCs w:val="29"/>
                <w:color w:val="auto"/>
                <w:vertAlign w:val="superscript"/>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19,604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19,604</w:t>
            </w: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July 2024 Notes derivative liability – related parties </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12,615</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12,615</w:t>
            </w:r>
          </w:p>
        </w:tc>
        <w:tc>
          <w:tcPr>
            <w:tcW w:w="0" w:type="dxa"/>
            <w:vAlign w:val="bottom"/>
          </w:tcPr>
          <w:p>
            <w:pPr>
              <w:spacing w:after="0"/>
              <w:rPr>
                <w:sz w:val="1"/>
                <w:szCs w:val="1"/>
                <w:color w:val="auto"/>
              </w:rPr>
            </w:pP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September 2024 Notes derivative liability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37,930</w:t>
            </w:r>
          </w:p>
        </w:tc>
        <w:tc>
          <w:tcPr>
            <w:tcW w:w="22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37,930</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September 2024 Notes derivative liability – related parties </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5,870</w:t>
            </w: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July 2025 Note derivative liability– related party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3,246</w:t>
            </w:r>
          </w:p>
        </w:tc>
        <w:tc>
          <w:tcPr>
            <w:tcW w:w="2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September 2025 Notes derivative liability </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14,756</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14,756</w:t>
            </w:r>
          </w:p>
        </w:tc>
        <w:tc>
          <w:tcPr>
            <w:tcW w:w="0" w:type="dxa"/>
            <w:vAlign w:val="bottom"/>
          </w:tcPr>
          <w:p>
            <w:pPr>
              <w:spacing w:after="0"/>
              <w:rPr>
                <w:sz w:val="1"/>
                <w:szCs w:val="1"/>
                <w:color w:val="auto"/>
              </w:rPr>
            </w:pPr>
          </w:p>
        </w:tc>
      </w:tr>
      <w:tr>
        <w:trPr>
          <w:trHeight w:val="256"/>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November 2025 Note derivative liability – related party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c>
          <w:tcPr>
            <w:tcW w:w="2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2,475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 Sunder Consideration Shares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10,840</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10,840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Ambia Consideration Shares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16,879</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13,315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132,089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29,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r>
      <w:tr>
        <w:trPr>
          <w:trHeight w:val="25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3,841</w:t>
            </w:r>
          </w:p>
        </w:tc>
        <w:tc>
          <w:tcPr>
            <w:tcW w:w="26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3,841</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July 2024 Notes derivative liability </w:t>
            </w:r>
            <w:r>
              <w:rPr>
                <w:rFonts w:ascii="Times New Roman" w:cs="Times New Roman" w:eastAsia="Times New Roman" w:hAnsi="Times New Roman"/>
                <w:sz w:val="29"/>
                <w:szCs w:val="29"/>
                <w:color w:val="auto"/>
                <w:vertAlign w:val="superscript"/>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13,563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13,563</w:t>
            </w:r>
          </w:p>
        </w:tc>
      </w:tr>
      <w:tr>
        <w:trPr>
          <w:trHeight w:val="257"/>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July 2024 Notes derivative liability – related parties </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21,127</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21,127</w:t>
            </w:r>
          </w:p>
        </w:tc>
      </w:tr>
      <w:tr>
        <w:trPr>
          <w:trHeight w:val="256"/>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September 2024 Notes derivative liability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55,474</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55,474</w:t>
            </w:r>
          </w:p>
        </w:tc>
      </w:tr>
      <w:tr>
        <w:trPr>
          <w:trHeight w:val="257"/>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September 2024 Notes derivative liability – related parties </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6,958</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6,958</w:t>
            </w:r>
          </w:p>
        </w:tc>
      </w:tr>
      <w:tr>
        <w:trPr>
          <w:trHeight w:val="256"/>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Forward purchase agreement liabilities </w:t>
            </w:r>
            <w:r>
              <w:rPr>
                <w:rFonts w:ascii="Times New Roman" w:cs="Times New Roman" w:eastAsia="Times New Roman" w:hAnsi="Times New Roman"/>
                <w:sz w:val="29"/>
                <w:szCs w:val="29"/>
                <w:color w:val="auto"/>
                <w:vertAlign w:val="superscript"/>
              </w:rPr>
              <w:t>(2)</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3,494</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862</w:t>
            </w:r>
          </w:p>
        </w:tc>
        <w:tc>
          <w:tcPr>
            <w:tcW w:w="16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10" w:lineRule="auto"/>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derivative liabilities are associated with the Company’s outstanding senior unsecured convertible notes with stated interest rates of 7.0% (the “September 2024 Notes” and “September 2025 Notes”) and 12.0% (the “July 2024 Notes”, “July 2025 Note”, and “November 2025 Note”) all of which are defined in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w:t>
      </w:r>
    </w:p>
    <w:p>
      <w:pPr>
        <w:spacing w:after="0" w:line="89"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$1.3 million due to related parties as of and December 29, 2024.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5" w:name="page96"/>
    <w:bookmarkEnd w:id="95"/>
    <w:p>
      <w:pPr>
        <w:spacing w:after="0" w:line="282" w:lineRule="auto"/>
        <w:rPr>
          <w:sz w:val="20"/>
          <w:szCs w:val="20"/>
          <w:color w:val="auto"/>
        </w:rPr>
      </w:pPr>
      <w:r>
        <w:rPr>
          <w:rFonts w:ascii="Times New Roman" w:cs="Times New Roman" w:eastAsia="Times New Roman" w:hAnsi="Times New Roman"/>
          <w:sz w:val="18"/>
          <w:szCs w:val="18"/>
          <w:color w:val="auto"/>
        </w:rPr>
        <w:t xml:space="preserve">The reconciliation of liabilities by class and categorized within Level 3 under the fair value hierarchy is as follows for the fiscal years ended December 28, 2025 and December 29,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Fiscal Year Ended December 28, 2025</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Deferred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Ambia</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SAFE</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10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29,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97,122</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20,808</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16,879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37,687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(10,931)</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(10,931)</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(gain)/loss recognized within Other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non-operating income, net in the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 of operations</w:t>
            </w:r>
          </w:p>
        </w:tc>
        <w:tc>
          <w:tcPr>
            <w:tcW w:w="1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(11,490)</w:t>
            </w:r>
          </w:p>
        </w:tc>
        <w:tc>
          <w:tcPr>
            <w:tcW w:w="10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(9,681)</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28, 2025</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95,509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16,879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118,774</w:t>
            </w: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8"/>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Fiscal Year Ended December 29, 2024</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Forward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SAFE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Agreements</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137,108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(13,556)</w:t>
            </w:r>
          </w:p>
        </w:tc>
        <w:tc>
          <w:tcPr>
            <w:tcW w:w="0" w:type="dxa"/>
            <w:vAlign w:val="bottom"/>
          </w:tcPr>
          <w:p>
            <w:pPr>
              <w:spacing w:after="0"/>
              <w:rPr>
                <w:sz w:val="1"/>
                <w:szCs w:val="1"/>
                <w:color w:val="auto"/>
              </w:rPr>
            </w:pPr>
          </w:p>
        </w:tc>
      </w:tr>
      <w:tr>
        <w:trPr>
          <w:trHeight w:val="198"/>
        </w:trPr>
        <w:tc>
          <w:tcPr>
            <w:tcW w:w="466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Net (gain)/loss recognized within Other non-operating</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6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income, net in the consolidated statement of operations</w:t>
            </w:r>
          </w:p>
        </w:tc>
        <w:tc>
          <w:tcPr>
            <w:tcW w:w="1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(33,986)</w:t>
            </w:r>
          </w:p>
        </w:tc>
        <w:tc>
          <w:tcPr>
            <w:tcW w:w="1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(2,955)</w:t>
            </w:r>
          </w:p>
        </w:tc>
        <w:tc>
          <w:tcPr>
            <w:tcW w:w="2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(36,644)</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29, 2024</w:t>
            </w: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97,122</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101,699</w:t>
            </w: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Subsequent to issuance, changes in the fair value of derivative liabilities, FPAs, SAFEs and liability classified warrants, are recorded within Other non-operating income, net on the Company’s consolidated statements of operations and comprehensive loss. Refer to </w:t>
      </w:r>
      <w:r>
        <w:rPr>
          <w:rFonts w:ascii="Times New Roman" w:cs="Times New Roman" w:eastAsia="Times New Roman" w:hAnsi="Times New Roman"/>
          <w:sz w:val="18"/>
          <w:szCs w:val="18"/>
          <w:b w:val="1"/>
          <w:bCs w:val="1"/>
          <w:color w:val="auto"/>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Other Non-Operating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Income, Net </w:t>
      </w:r>
      <w:r>
        <w:rPr>
          <w:rFonts w:ascii="Times New Roman" w:cs="Times New Roman" w:eastAsia="Times New Roman" w:hAnsi="Times New Roman"/>
          <w:sz w:val="18"/>
          <w:szCs w:val="18"/>
          <w:color w:val="auto"/>
        </w:rPr>
        <w:t>for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recognized derivative liabilities arising from the conversion features of its senior unsecured convertible notes issued in the years ended December 28, 2025 and December 29, 2024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Derivative liabilities are measured at fair value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fair value of each respective derivative liability is measured using a Monte Carlo simulation that incorporates a binomial lattice model. Significant inputs to the binomial lattice model include the terms of the senior unsecured convertible notes (including the interest rate, conversion rate and conversion price), the underlying price of the Company’s common stock, risk-free rate and volatility. Certain of these inputs are unobservable. Thus, these derivative liabilities are classified within Level 3 of the fair value hierarchy. The binomial lattice model produces an estimated fair value based on changes in the price of the underlying shares of the Company’s common stock over successive periods of time. As a result of these interrelationships and inherent unobservable assumptions, the fair value of a derivative liability is subject to significant measurement uncertainty, and alternative reasonable assumptions could have produced materially different results as of December 28, 2025 and December 29, 2024.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The assumptions used to value the derivative liabilities as of December 28,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7.0% Senior Unsecured</w:t>
            </w:r>
          </w:p>
        </w:tc>
      </w:tr>
      <w:tr>
        <w:trPr>
          <w:trHeight w:val="245"/>
        </w:trPr>
        <w:tc>
          <w:tcPr>
            <w:tcW w:w="4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80" w:type="dxa"/>
            <w:vAlign w:val="bottom"/>
            <w:gridSpan w:val="9"/>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12.0% Senior Unsecured Convertible Notes</w:t>
            </w:r>
          </w:p>
        </w:tc>
        <w:tc>
          <w:tcPr>
            <w:tcW w:w="100" w:type="dxa"/>
            <w:vAlign w:val="bottom"/>
          </w:tcPr>
          <w:p>
            <w:pPr>
              <w:spacing w:after="0"/>
              <w:rPr>
                <w:sz w:val="21"/>
                <w:szCs w:val="21"/>
                <w:color w:val="auto"/>
              </w:rPr>
            </w:pPr>
          </w:p>
        </w:tc>
        <w:tc>
          <w:tcPr>
            <w:tcW w:w="25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Convertible Notes</w:t>
            </w:r>
          </w:p>
        </w:tc>
      </w:tr>
      <w:tr>
        <w:trPr>
          <w:trHeight w:val="194"/>
        </w:trPr>
        <w:tc>
          <w:tcPr>
            <w:tcW w:w="44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July 2024</w:t>
            </w: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July 2025</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November</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60" w:type="dxa"/>
            <w:vAlign w:val="bottom"/>
          </w:tcPr>
          <w:p>
            <w:pPr>
              <w:spacing w:after="0"/>
              <w:rPr>
                <w:sz w:val="16"/>
                <w:szCs w:val="16"/>
                <w:color w:val="auto"/>
              </w:rPr>
            </w:pPr>
          </w:p>
        </w:tc>
      </w:tr>
      <w:tr>
        <w:trPr>
          <w:trHeight w:val="245"/>
        </w:trPr>
        <w:tc>
          <w:tcPr>
            <w:tcW w:w="44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2025 Note</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2024 Notes</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160" w:type="dxa"/>
            <w:vAlign w:val="bottom"/>
            <w:tcBorders>
              <w:bottom w:val="single" w:sz="8" w:color="CCEEFF"/>
            </w:tcBorders>
          </w:tcPr>
          <w:p>
            <w:pPr>
              <w:spacing w:after="0"/>
              <w:rPr>
                <w:sz w:val="21"/>
                <w:szCs w:val="2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 rate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Conversion rate</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595.24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558.66</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626.96</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467.84</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467.84</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85.6%</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432"/>
        </w:trPr>
        <w:tc>
          <w:tcPr>
            <w:tcW w:w="7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assumptions used to value the derivative liabilities as of December 29, 2024 were as follows: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Senior Unsecured Convertible</w:t>
            </w:r>
          </w:p>
        </w:tc>
      </w:tr>
      <w:tr>
        <w:trPr>
          <w:trHeight w:val="245"/>
        </w:trPr>
        <w:tc>
          <w:tcPr>
            <w:tcW w:w="4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12.0% Notes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7.0% Notes</w:t>
            </w:r>
          </w:p>
        </w:tc>
        <w:tc>
          <w:tcPr>
            <w:tcW w:w="160" w:type="dxa"/>
            <w:vAlign w:val="bottom"/>
          </w:tcPr>
          <w:p>
            <w:pPr>
              <w:spacing w:after="0"/>
              <w:rPr>
                <w:sz w:val="20"/>
                <w:szCs w:val="20"/>
                <w:color w:val="auto"/>
              </w:rPr>
            </w:pPr>
          </w:p>
        </w:tc>
      </w:tr>
      <w:tr>
        <w:trPr>
          <w:trHeight w:val="194"/>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July 2024</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60" w:type="dxa"/>
            <w:vAlign w:val="bottom"/>
          </w:tcPr>
          <w:p>
            <w:pPr>
              <w:spacing w:after="0"/>
              <w:rPr>
                <w:sz w:val="16"/>
                <w:szCs w:val="16"/>
                <w:color w:val="auto"/>
              </w:rPr>
            </w:pPr>
          </w:p>
        </w:tc>
      </w:tr>
      <w:tr>
        <w:trPr>
          <w:trHeight w:val="245"/>
        </w:trPr>
        <w:tc>
          <w:tcPr>
            <w:tcW w:w="44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2024 Notes</w:t>
            </w:r>
          </w:p>
        </w:tc>
        <w:tc>
          <w:tcPr>
            <w:tcW w:w="160" w:type="dxa"/>
            <w:vAlign w:val="bottom"/>
            <w:tcBorders>
              <w:bottom w:val="single" w:sz="8" w:color="CCEEFF"/>
            </w:tcBorders>
          </w:tcPr>
          <w:p>
            <w:pPr>
              <w:spacing w:after="0"/>
              <w:rPr>
                <w:sz w:val="21"/>
                <w:szCs w:val="2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 rate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Conversion rate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595.24</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467.84</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FPAs are measured at fair value on a recurring basis using a Monte Carlo simulation analysis based upon the following inputs: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07"/>
        </w:trPr>
        <w:tc>
          <w:tcPr>
            <w:tcW w:w="34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8"/>
                <w:szCs w:val="18"/>
                <w:color w:val="auto"/>
              </w:rPr>
            </w:pPr>
          </w:p>
        </w:tc>
      </w:tr>
      <w:tr>
        <w:trPr>
          <w:trHeight w:val="245"/>
        </w:trPr>
        <w:tc>
          <w:tcPr>
            <w:tcW w:w="3400" w:type="dxa"/>
            <w:vAlign w:val="bottom"/>
            <w:tcBorders>
              <w:bottom w:val="single" w:sz="8" w:color="CCEEFF"/>
            </w:tcBorders>
          </w:tcPr>
          <w:p>
            <w:pPr>
              <w:spacing w:after="0"/>
              <w:rPr>
                <w:sz w:val="21"/>
                <w:szCs w:val="21"/>
                <w:color w:val="auto"/>
              </w:rPr>
            </w:pPr>
          </w:p>
        </w:tc>
        <w:tc>
          <w:tcPr>
            <w:tcW w:w="5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VWAP stock price</w:t>
            </w:r>
          </w:p>
        </w:tc>
        <w:tc>
          <w:tcPr>
            <w:tcW w:w="5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1.66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Simulation period</w:t>
            </w:r>
          </w:p>
        </w:tc>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0.55 years</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0.55 years</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5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77.3%</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w:t>
            </w:r>
          </w:p>
        </w:tc>
      </w:tr>
      <w:tr>
        <w:trPr>
          <w:trHeight w:val="637"/>
        </w:trPr>
        <w:tc>
          <w:tcPr>
            <w:tcW w:w="34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2"/>
          </w:tcPr>
          <w:p>
            <w:pPr>
              <w:ind w:left="2060"/>
              <w:spacing w:after="0"/>
              <w:rPr>
                <w:sz w:val="20"/>
                <w:szCs w:val="20"/>
                <w:color w:val="auto"/>
              </w:rPr>
            </w:pPr>
            <w:r>
              <w:rPr>
                <w:rFonts w:ascii="Times New Roman" w:cs="Times New Roman" w:eastAsia="Times New Roman" w:hAnsi="Times New Roman"/>
                <w:sz w:val="18"/>
                <w:szCs w:val="18"/>
                <w:color w:val="auto"/>
              </w:rPr>
              <w:t>F-31</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97" w:name="page98"/>
    <w:bookmarkEnd w:id="97"/>
    <w:p>
      <w:pPr>
        <w:jc w:val="both"/>
        <w:spacing w:after="0" w:line="254" w:lineRule="auto"/>
        <w:rPr>
          <w:sz w:val="20"/>
          <w:szCs w:val="20"/>
          <w:color w:val="auto"/>
        </w:rPr>
      </w:pPr>
      <w:r>
        <w:rPr>
          <w:rFonts w:ascii="Times New Roman" w:cs="Times New Roman" w:eastAsia="Times New Roman" w:hAnsi="Times New Roman"/>
          <w:sz w:val="18"/>
          <w:szCs w:val="18"/>
          <w:color w:val="auto"/>
        </w:rPr>
        <w:t>The volume-weighted average price (“VWAP”) reflects management’s judgment regarding expected future trading activity and price behavior as an active forward market does not exist for the Company’s common stock. Reasonably possible alternative VWAP outcomes at the reporting date could have resulted in a materially different fair value. The risk-free rate is derived from the applicable tenor of the U.S. Treasury yield curve. Changes in the risk-free rate would alter the present value of the simulated settlement amounts and could significantly impact the fair value estimate. The expected volatility is determined based on the historical equity volatility of comparable companies over a period that matches the simulation period. Because expected volatility drives the dispersion of simulated price paths, reasonably higher or lower volatility assumptions could materially increase or decrease the estimated fair value. These inputs are interrelated, and changes in one may affect the others. As a result of these interrelationships and inherent unobservable assumptions, the fair value of FPAs is subject to significant measurement uncertainty, and alternative reasonable assumptions could have produced materially different results as of December 28, 2025 and December 29, 2024. Thus, FPAs are classified within Level 3 of the fair value hierarchy.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and working capital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valued the private placement and working capital warrants, based on a binomial lattice model, which included the following inputs: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07"/>
        </w:trPr>
        <w:tc>
          <w:tcPr>
            <w:tcW w:w="860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8"/>
                <w:szCs w:val="18"/>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2.56 years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3.56 years</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expected term is the time period to the expiration date of the warrants. The risk-free rate is interpolated from the U.S. Constant Maturity Treasury curve for a term matching the corresponding remaining life. Volatility was calibrated based on the public warrants closing price as of the valuation date. As the private and working capital warrants have terms nearly identical to the publicly traded warrants, the volatility was calibrated until the model price equaled the public warrants closing price. These inherent unobservable assumptions are subject to significant measurement uncertainty, and alternative reasonable assumptions could have produced materially different results as of December 28, 2025 and December 29, 2024. Thus, the private placement and working capital warrant liabilities are classified within Level 3 of the fair value hierarchy.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public warrants are measured at fair value on a recurring basis. The public warrants were valued based on the closing price of the publicly traded instrument and therefore are considered a Level 1 instrument in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agreement with related party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measured the fair value of its SAFE using a valuation technique that incorporates significant unobservable inputs and is therefore classified within Level 3 of the fair value hierarchy. The fair value of the SAFE is subject to estimation uncertainty because it depends on management’s judgments about future events that are not directly observable in active markets. Management assigned a 50% probability that the SAFE will convert into shares of the Company’s stock in connection with a qualifying financing or other specified event. If the SAFE does not convert, management expects cash repayment in fiscal 2026 or fiscal 2027, with a 50% probability assigned to each repayment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8" w:name="page99"/>
    <w:bookmarkEnd w:id="98"/>
    <w:p>
      <w:pPr>
        <w:jc w:val="both"/>
        <w:spacing w:after="0" w:line="252" w:lineRule="auto"/>
        <w:rPr>
          <w:sz w:val="20"/>
          <w:szCs w:val="20"/>
          <w:color w:val="auto"/>
        </w:rPr>
      </w:pPr>
      <w:r>
        <w:rPr>
          <w:rFonts w:ascii="Times New Roman" w:cs="Times New Roman" w:eastAsia="Times New Roman" w:hAnsi="Times New Roman"/>
          <w:sz w:val="18"/>
          <w:szCs w:val="18"/>
          <w:color w:val="auto"/>
        </w:rPr>
        <w:t>The SAFE valuation also considers assumptions such as discount rates implied by the Company’s convertible notes as of the valuation date, the timing and likelihood of financing or liquidity events, and, for the conversion path, the expected equity valuation and any applicable conversion economics (e.g., discounts or valuation caps). Settlement of the SAFE is contingent on future financing or liquidity events and the Company’s funding plans. Accordingly, the measurement requires judgment about the likelihood and timing of conversion versus repayment and, where relevant, assumptions about the Company’s equity value at conversion. Because these factors are not directly observable, reasonably possible alternative assumptions at the reporting date could produce a materially different fair value. Increasing the probability of conversion would generally increase the fair value if the conversion terms imply a beneficial outcome to the holder relative to repayment; decreasing that probability would place more weight on the repayment scenarios and could increase or decrease the fair value depending on the applicable discount rate and timing of cash flows. Within the non-conversion path, shifting probability weight toward repayment in fiscal year 2026 would generally increase fair value (lower discounting), while shifting weight toward fiscal 2027 would generally decrease fair value (greater discounting), holding other inputs constant. A higher discount rate would decrease the present value of expected cash flows (and thus fair value), while a lower rate would increase fair value. Higher expected equity values or more favorable conversion economics would increase the fair value under the conversion path; lower expected equity values or less favorable terms would decrease it. These inputs are interrelated and unobservable. Because the valuation depends on significant unobservable inputs—including a 50% probability of conversion to equity and an even allocation between fiscal years 2026 and 2027 of repayment if conversion does not occur—there is significant measurement uncertainty, and alternative reasonable assumptions at the reporting date could have resulted in a materially different fair value of the SAFE liability as of December 28, 2025 and December 29, 2024. Thus, the SAFE liability is classified within Level 3 of the fair value hierarchy.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 not measured at fair value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senior unsecured convertible notes were fair valued using a binomial lattice model, which includes Level 3, unobservable inputs. The key inputs used are consistent with those used to fair value the derivative liabilities as discussed under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xml:space="preserve"> above. The following table sets forth the Company’s financial liabilities that were not measured at fair value and are considered a Level 3 instrument in the fair value hierarchy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 December 28, 2025</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3"/>
        </w:trPr>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center"/>
              <w:ind w:right="141"/>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Unamortized</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debt</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discount</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and debt</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7"/>
        </w:trPr>
        <w:tc>
          <w:tcPr>
            <w:tcW w:w="4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 xml:space="preserve">amount </w:t>
            </w:r>
            <w:r>
              <w:rPr>
                <w:rFonts w:ascii="Times New Roman" w:cs="Times New Roman" w:eastAsia="Times New Roman" w:hAnsi="Times New Roman"/>
                <w:sz w:val="29"/>
                <w:szCs w:val="29"/>
                <w:b w:val="1"/>
                <w:bCs w:val="1"/>
                <w:color w:val="auto"/>
                <w:w w:val="95"/>
                <w:vertAlign w:val="superscript"/>
              </w:rPr>
              <w:t>(1)</w:t>
            </w:r>
          </w:p>
        </w:tc>
        <w:tc>
          <w:tcPr>
            <w:tcW w:w="160" w:type="dxa"/>
            <w:vAlign w:val="bottom"/>
          </w:tcPr>
          <w:p>
            <w:pPr>
              <w:spacing w:after="0"/>
              <w:rPr>
                <w:sz w:val="24"/>
                <w:szCs w:val="24"/>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120" w:type="dxa"/>
            <w:vAlign w:val="bottom"/>
          </w:tcPr>
          <w:p>
            <w:pPr>
              <w:spacing w:after="0"/>
              <w:rPr>
                <w:sz w:val="24"/>
                <w:szCs w:val="24"/>
                <w:color w:val="auto"/>
              </w:rPr>
            </w:pPr>
          </w:p>
        </w:tc>
        <w:tc>
          <w:tcPr>
            <w:tcW w:w="1200" w:type="dxa"/>
            <w:vAlign w:val="bottom"/>
            <w:gridSpan w:val="2"/>
          </w:tcPr>
          <w:p>
            <w:pPr>
              <w:jc w:val="center"/>
              <w:ind w:right="320"/>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interest </w:t>
            </w:r>
            <w:r>
              <w:rPr>
                <w:rFonts w:ascii="Times New Roman" w:cs="Times New Roman" w:eastAsia="Times New Roman" w:hAnsi="Times New Roman"/>
                <w:sz w:val="29"/>
                <w:szCs w:val="29"/>
                <w:b w:val="1"/>
                <w:bCs w:val="1"/>
                <w:color w:val="auto"/>
                <w:w w:val="94"/>
                <w:vertAlign w:val="superscript"/>
              </w:rPr>
              <w:t>(1)</w:t>
            </w:r>
          </w:p>
        </w:tc>
        <w:tc>
          <w:tcPr>
            <w:tcW w:w="14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12.0% senior unsecured convertible notes</w:t>
            </w:r>
          </w:p>
        </w:tc>
        <w:tc>
          <w:tcPr>
            <w:tcW w:w="1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27,973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33,165</w:t>
            </w: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 related parties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18,000</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(10,369)</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21,204</w:t>
            </w:r>
          </w:p>
        </w:tc>
      </w:tr>
      <w:tr>
        <w:trPr>
          <w:trHeight w:val="236"/>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July 2024 Notes</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July 2025 Note – related party</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(3,557)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1,443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5,641</w:t>
            </w:r>
          </w:p>
        </w:tc>
        <w:tc>
          <w:tcPr>
            <w:tcW w:w="100" w:type="dxa"/>
            <w:vAlign w:val="bottom"/>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2025 Note – related party</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2,360</w:t>
            </w:r>
          </w:p>
        </w:tc>
      </w:tr>
      <w:tr>
        <w:trPr>
          <w:trHeight w:val="216"/>
        </w:trPr>
        <w:tc>
          <w:tcPr>
            <w:tcW w:w="4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7.0% senior unsecured convertible notes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56,543</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(42,211)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14,332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59,425</w:t>
            </w:r>
          </w:p>
        </w:tc>
      </w:tr>
      <w:tr>
        <w:trPr>
          <w:trHeight w:val="25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 – related parties</w:t>
            </w: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8,750</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(6,404)</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2,346</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8,880</w:t>
            </w:r>
          </w:p>
        </w:tc>
      </w:tr>
      <w:tr>
        <w:trPr>
          <w:trHeight w:val="210"/>
        </w:trPr>
        <w:tc>
          <w:tcPr>
            <w:tcW w:w="4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Subtotal September 2024 Notes</w:t>
            </w:r>
          </w:p>
        </w:tc>
        <w:tc>
          <w:tcPr>
            <w:tcW w:w="16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65,293</w:t>
            </w:r>
          </w:p>
        </w:tc>
        <w:tc>
          <w:tcPr>
            <w:tcW w:w="2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(48,615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16,678</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68,305</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 Notes</w:t>
            </w: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140,266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51,738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154,902</w:t>
            </w:r>
          </w:p>
        </w:tc>
      </w:tr>
      <w:tr>
        <w:trPr>
          <w:trHeight w:val="20"/>
        </w:trPr>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F-33</w:t>
            </w: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99" w:name="page100"/>
    <w:bookmarkEnd w:id="99"/>
    <w:p>
      <w:pPr>
        <w:ind w:left="7600"/>
        <w:spacing w:after="0"/>
        <w:rPr>
          <w:sz w:val="20"/>
          <w:szCs w:val="20"/>
          <w:color w:val="auto"/>
        </w:rPr>
      </w:pPr>
      <w:r>
        <w:rPr>
          <w:rFonts w:ascii="Times New Roman" w:cs="Times New Roman" w:eastAsia="Times New Roman" w:hAnsi="Times New Roman"/>
          <w:sz w:val="18"/>
          <w:szCs w:val="18"/>
          <w:b w:val="1"/>
          <w:bCs w:val="1"/>
          <w:color w:val="auto"/>
        </w:rPr>
        <w:t>As of December 29, 2024</w:t>
      </w:r>
    </w:p>
    <w:p>
      <w:pPr>
        <w:sectPr>
          <w:pgSz w:w="11900" w:h="16838" w:orient="portrait"/>
          <w:cols w:equalWidth="0" w:num="1">
            <w:col w:w="11240"/>
          </w:cols>
          <w:pgMar w:left="320" w:top="6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12.0% senior unsecured convertible notes </w:t>
      </w:r>
      <w:r>
        <w:rPr>
          <w:rFonts w:ascii="Times New Roman" w:cs="Times New Roman" w:eastAsia="Times New Roman" w:hAnsi="Times New Roman"/>
          <w:sz w:val="18"/>
          <w:szCs w:val="18"/>
          <w:color w:val="auto"/>
        </w:rPr>
        <w:t>July 2024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2024 Notes – related parties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Subtotal July 2024 Notes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Unamortized</w:t>
            </w: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debt</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discount</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and debt</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7"/>
        </w:trPr>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0"/>
              <w:spacing w:after="0" w:line="270" w:lineRule="exact"/>
              <w:rPr>
                <w:sz w:val="20"/>
                <w:szCs w:val="20"/>
                <w:color w:val="auto"/>
              </w:rPr>
            </w:pPr>
            <w:r>
              <w:rPr>
                <w:rFonts w:ascii="Times New Roman" w:cs="Times New Roman" w:eastAsia="Times New Roman" w:hAnsi="Times New Roman"/>
                <w:sz w:val="18"/>
                <w:szCs w:val="18"/>
                <w:b w:val="1"/>
                <w:bCs w:val="1"/>
                <w:color w:val="auto"/>
                <w:w w:val="92"/>
              </w:rPr>
              <w:t xml:space="preserve">amount </w:t>
            </w:r>
            <w:r>
              <w:rPr>
                <w:rFonts w:ascii="Times New Roman" w:cs="Times New Roman" w:eastAsia="Times New Roman" w:hAnsi="Times New Roman"/>
                <w:sz w:val="29"/>
                <w:szCs w:val="29"/>
                <w:b w:val="1"/>
                <w:bCs w:val="1"/>
                <w:color w:val="auto"/>
                <w:w w:val="92"/>
                <w:vertAlign w:val="superscript"/>
              </w:rPr>
              <w:t>(1)</w:t>
            </w: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0"/>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interest </w:t>
            </w:r>
            <w:r>
              <w:rPr>
                <w:rFonts w:ascii="Times New Roman" w:cs="Times New Roman" w:eastAsia="Times New Roman" w:hAnsi="Times New Roman"/>
                <w:sz w:val="29"/>
                <w:szCs w:val="29"/>
                <w:b w:val="1"/>
                <w:bCs w:val="1"/>
                <w:color w:val="auto"/>
                <w:w w:val="94"/>
                <w:vertAlign w:val="superscript"/>
              </w:rPr>
              <w:t>(1)</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414"/>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17,973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(6,205)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11,768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21,390</w:t>
            </w:r>
          </w:p>
        </w:tc>
      </w:tr>
      <w:tr>
        <w:trPr>
          <w:trHeight w:val="255"/>
        </w:trPr>
        <w:tc>
          <w:tcPr>
            <w:tcW w:w="120" w:type="dxa"/>
            <w:vAlign w:val="bottom"/>
          </w:tcPr>
          <w:p>
            <w:pPr>
              <w:spacing w:after="0"/>
              <w:rPr>
                <w:sz w:val="22"/>
                <w:szCs w:val="22"/>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28,000</w:t>
            </w:r>
          </w:p>
        </w:tc>
        <w:tc>
          <w:tcPr>
            <w:tcW w:w="160" w:type="dxa"/>
            <w:vAlign w:val="bottom"/>
          </w:tcPr>
          <w:p>
            <w:pPr>
              <w:spacing w:after="0"/>
              <w:rPr>
                <w:sz w:val="22"/>
                <w:szCs w:val="22"/>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(10,785)</w:t>
            </w:r>
          </w:p>
        </w:tc>
        <w:tc>
          <w:tcPr>
            <w:tcW w:w="120" w:type="dxa"/>
            <w:vAlign w:val="bottom"/>
          </w:tcPr>
          <w:p>
            <w:pPr>
              <w:spacing w:after="0"/>
              <w:rPr>
                <w:sz w:val="22"/>
                <w:szCs w:val="22"/>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17,215</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33,323</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2"/>
              </w:rPr>
              <w:t>45,973</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2"/>
              </w:rPr>
              <w:t>28,983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-454025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67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7.0% senior unsecured convertible notes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71,800</w:t>
            </w:r>
          </w:p>
        </w:tc>
        <w:tc>
          <w:tcPr>
            <w:tcW w:w="3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(66,164)</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77,245</w:t>
            </w:r>
          </w:p>
        </w:tc>
      </w:tr>
      <w:tr>
        <w:trPr>
          <w:trHeight w:val="250"/>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 related parties</w:t>
            </w: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8,000</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(7,524)</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8,583</w:t>
            </w:r>
          </w:p>
        </w:tc>
      </w:tr>
      <w:tr>
        <w:trPr>
          <w:trHeight w:val="210"/>
        </w:trPr>
        <w:tc>
          <w:tcPr>
            <w:tcW w:w="59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Subtotal September 2024 Notes</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79,800</w:t>
            </w:r>
          </w:p>
        </w:tc>
        <w:tc>
          <w:tcPr>
            <w:tcW w:w="2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(73,688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6,112</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85,828</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1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7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125,773</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1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capitalized interest (coupon interest, default interest and failure to file interest) of $10.8 million and $13.6 million as of December 28, 2025 and December 29, 2024, respectively, included in the July 2024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Supplemental Balance Sheet Information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Prepaid expenses and other current assets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Costs to obtain contracts and costs to fulfill contracts </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3,759</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Costs to obtain contracts and costs to fulfill contracts with customers are recognized within sales commissions and cost of revenues, respectively, when the related revenue is recognized.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Property and equipment, net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6,824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8,767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6,409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4,890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totaled $3.0 million and $2.0 million for the fiscal years ended December 28, 2025 and December 29, 2024, respectively. Finance leases are included within vehicles and account for $1.7 million and $3.9 million of the total balance as of the fiscal years ended December 28, 2025, and December 29,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fiscal year ended December 29, 2024, the Company capitalized $1.2 million, of internal-use software development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bookmarkStart w:id="100" w:name="page101"/>
    <w:bookmarkEnd w:id="100"/>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a total of $3.8 million on impairment and loss on disposal of property and equipment for the fiscal year ended December 29, 2024 consisting primarily of $3.4 million relating to its proprietary HelioTrackTM software system. The Company impaired the value of its HelioTrackTM software as this software has no future use following the completion of the migration to software acquired in the SunPower Acquisition.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settlements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rebates and credits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Investor financing deposit with related party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Accrued interest </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6,301</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19,194</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16,896</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56,081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10"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Company received a deposit of $2.0 million from the Rodgers Massey Revocable Living Trust (“Rodgers Revocable Trust”), a related party, in fiscal 2025. In January 2026, these proceeds along with an additional $1.3 million received in January 2026 was converted to a 12.0% convertible promissory note. </w:t>
      </w:r>
      <w:r>
        <w:rPr>
          <w:rFonts w:ascii="Times New Roman" w:cs="Times New Roman" w:eastAsia="Times New Roman" w:hAnsi="Times New Roman"/>
          <w:sz w:val="18"/>
          <w:szCs w:val="18"/>
          <w:b w:val="1"/>
          <w:bCs w:val="1"/>
          <w:color w:val="auto"/>
        </w:rPr>
        <w:t>Refer to Note 20 – Subsequent Events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12.0% Convertible Promissory Not</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for further details.</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4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accrued interest due to related parties of $2.6 million and $2.5 million as of December 28, 2025 and December 29, 2024, respectively.</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94" w:lineRule="auto"/>
        <w:tabs>
          <w:tab w:leader="none" w:pos="340"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No individual items exceed 5% of total current liabilities.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 Net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30, 2024, the Company completed the acquisition of the SunPower Businesses. As of December 29, 2024, the Company had assigned provisional goodwill of $18.3 million to the Residential Solar Installation reportable segment and $0.2 million to the New Homes Businesses reportable segment. Upon finalization of the fair values in fiscal 2025 related to the SunPower Businesses, the Company concluded that the purchase price did not include any excess purchase price over the fair value of net assets acquired related to the SunPower Businesses acquired.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24, 2025, the Company completed the acquisition of Sunder and assigned provisional goodwill of $31.8 million from this acquisition to the Dealer reportable segment. On November 21, 2025, the Company completed the acquisition of Ambia and assigned provisional goodwill of $30.8 million from this acquisition to the Residential Solar Installation reportable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as of and for the fiscal years ended December 28, 2025 and December 29, 2024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Residential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Solar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New Homes</w:t>
            </w:r>
          </w:p>
        </w:tc>
        <w:tc>
          <w:tcPr>
            <w:tcW w:w="2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Dealer</w:t>
            </w:r>
          </w:p>
        </w:tc>
        <w:tc>
          <w:tcPr>
            <w:tcW w:w="220" w:type="dxa"/>
            <w:vAlign w:val="bottom"/>
          </w:tcPr>
          <w:p>
            <w:pPr>
              <w:spacing w:after="0"/>
              <w:rPr>
                <w:sz w:val="21"/>
                <w:szCs w:val="21"/>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 in business combinations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18,276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as of December 29, 2024</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18,276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Measurement period adjustments</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(18,276)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ind w:left="7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(18,476)</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acquired in business combinations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30,808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31,822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28, 2025</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30,808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31,822</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30,808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31,822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340" w:hanging="332"/>
        <w:spacing w:after="0" w:line="210"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Subsequent to December 29, 2024, the Company recognized a measurement period adjustment attributable to the net assets of the SunPower Businesses acquired resulting in a measurement period adjustment that eliminated the goodwill provisionally recorded in fiscal 2024. The acquisitions of Sunder and Ambia account for the balance in goodwill as of December 28, 2025 as described above.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performed a qualitative assessment of goodwill and determined that at the acquisition date and the date at which the Company performed an impairment analysis, there were no relevant events or circumstances that would result in the fair value of a reportable unit being less than its carrying amount.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tables present intangible assets with finite useful lives as of December 28, 2025 and December 29,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7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28, 2025</w:t>
            </w:r>
          </w:p>
        </w:tc>
        <w:tc>
          <w:tcPr>
            <w:tcW w:w="140" w:type="dxa"/>
            <w:vAlign w:val="bottom"/>
          </w:tcPr>
          <w:p>
            <w:pPr>
              <w:spacing w:after="0"/>
              <w:rPr>
                <w:sz w:val="24"/>
                <w:szCs w:val="24"/>
                <w:color w:val="auto"/>
              </w:rPr>
            </w:pPr>
          </w:p>
        </w:tc>
        <w:tc>
          <w:tcPr>
            <w:tcW w:w="1240" w:type="dxa"/>
            <w:vAlign w:val="bottom"/>
            <w:gridSpan w:val="2"/>
          </w:tcPr>
          <w:p>
            <w:pPr>
              <w:jc w:val="center"/>
              <w:ind w:right="380"/>
              <w:spacing w:after="0" w:line="270" w:lineRule="exact"/>
              <w:rPr>
                <w:sz w:val="20"/>
                <w:szCs w:val="20"/>
                <w:color w:val="auto"/>
              </w:rPr>
            </w:pPr>
            <w:r>
              <w:rPr>
                <w:rFonts w:ascii="Times New Roman" w:cs="Times New Roman" w:eastAsia="Times New Roman" w:hAnsi="Times New Roman"/>
                <w:sz w:val="18"/>
                <w:szCs w:val="18"/>
                <w:b w:val="1"/>
                <w:bCs w:val="1"/>
                <w:color w:val="auto"/>
                <w:w w:val="95"/>
              </w:rPr>
              <w:t>Amount</w:t>
            </w:r>
            <w:r>
              <w:rPr>
                <w:rFonts w:ascii="Times New Roman" w:cs="Times New Roman" w:eastAsia="Times New Roman" w:hAnsi="Times New Roman"/>
                <w:sz w:val="29"/>
                <w:szCs w:val="29"/>
                <w:b w:val="1"/>
                <w:bCs w:val="1"/>
                <w:color w:val="auto"/>
                <w:w w:val="95"/>
                <w:vertAlign w:val="superscript"/>
              </w:rPr>
              <w:t>(1)</w:t>
            </w:r>
          </w:p>
        </w:tc>
        <w:tc>
          <w:tcPr>
            <w:tcW w:w="13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18,394</w:t>
            </w:r>
          </w:p>
        </w:tc>
        <w:tc>
          <w:tcPr>
            <w:tcW w:w="36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(1,707)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16,687</w:t>
            </w:r>
          </w:p>
        </w:tc>
      </w:tr>
      <w:tr>
        <w:trPr>
          <w:trHeight w:val="24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(1,975)</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3,325</w:t>
            </w:r>
          </w:p>
        </w:tc>
      </w:tr>
      <w:tr>
        <w:trPr>
          <w:trHeight w:val="237"/>
        </w:trPr>
        <w:tc>
          <w:tcPr>
            <w:tcW w:w="73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57,694</w:t>
            </w:r>
          </w:p>
        </w:tc>
        <w:tc>
          <w:tcPr>
            <w:tcW w:w="240" w:type="dxa"/>
            <w:vAlign w:val="bottom"/>
            <w:tcBorders>
              <w:top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50,814</w:t>
            </w:r>
          </w:p>
        </w:tc>
        <w:tc>
          <w:tcPr>
            <w:tcW w:w="100" w:type="dxa"/>
            <w:vAlign w:val="bottom"/>
            <w:tcBorders>
              <w:top w:val="single" w:sz="8" w:color="CCEEFF"/>
            </w:tcBorders>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7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29, 2024</w:t>
            </w:r>
          </w:p>
        </w:tc>
        <w:tc>
          <w:tcPr>
            <w:tcW w:w="140" w:type="dxa"/>
            <w:vAlign w:val="bottom"/>
          </w:tcPr>
          <w:p>
            <w:pPr>
              <w:spacing w:after="0"/>
              <w:rPr>
                <w:sz w:val="24"/>
                <w:szCs w:val="24"/>
                <w:color w:val="auto"/>
              </w:rPr>
            </w:pPr>
          </w:p>
        </w:tc>
        <w:tc>
          <w:tcPr>
            <w:tcW w:w="1240" w:type="dxa"/>
            <w:vAlign w:val="bottom"/>
            <w:gridSpan w:val="2"/>
          </w:tcPr>
          <w:p>
            <w:pPr>
              <w:jc w:val="center"/>
              <w:ind w:right="380"/>
              <w:spacing w:after="0" w:line="270" w:lineRule="exact"/>
              <w:rPr>
                <w:sz w:val="20"/>
                <w:szCs w:val="20"/>
                <w:color w:val="auto"/>
              </w:rPr>
            </w:pPr>
            <w:r>
              <w:rPr>
                <w:rFonts w:ascii="Times New Roman" w:cs="Times New Roman" w:eastAsia="Times New Roman" w:hAnsi="Times New Roman"/>
                <w:sz w:val="18"/>
                <w:szCs w:val="18"/>
                <w:b w:val="1"/>
                <w:bCs w:val="1"/>
                <w:color w:val="auto"/>
                <w:w w:val="95"/>
              </w:rPr>
              <w:t>Amount</w:t>
            </w:r>
            <w:r>
              <w:rPr>
                <w:rFonts w:ascii="Times New Roman" w:cs="Times New Roman" w:eastAsia="Times New Roman" w:hAnsi="Times New Roman"/>
                <w:sz w:val="29"/>
                <w:szCs w:val="29"/>
                <w:b w:val="1"/>
                <w:bCs w:val="1"/>
                <w:color w:val="auto"/>
                <w:w w:val="95"/>
                <w:vertAlign w:val="superscript"/>
              </w:rPr>
              <w:t>(1)</w:t>
            </w:r>
          </w:p>
        </w:tc>
        <w:tc>
          <w:tcPr>
            <w:tcW w:w="13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4,500</w:t>
            </w:r>
          </w:p>
        </w:tc>
        <w:tc>
          <w:tcPr>
            <w:tcW w:w="360" w:type="dxa"/>
            <w:vAlign w:val="bottom"/>
          </w:tcPr>
          <w:p>
            <w:pPr>
              <w:spacing w:after="0"/>
              <w:rPr>
                <w:sz w:val="20"/>
                <w:szCs w:val="20"/>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4,125</w:t>
            </w:r>
          </w:p>
        </w:tc>
      </w:tr>
      <w:tr>
        <w:trPr>
          <w:trHeight w:val="223"/>
        </w:trPr>
        <w:tc>
          <w:tcPr>
            <w:tcW w:w="73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right="20" w:hanging="332"/>
        <w:spacing w:after="0" w:line="210" w:lineRule="auto"/>
        <w:tabs>
          <w:tab w:leader="none" w:pos="34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gross carrying amounts as of December 28, 2025 reflect the final allocation of the purchase consideration in connection with the SunPower Businesses. The gross carrying amounts as of December 29, 2024 were provisional amounts. As a result of the measurement period adjustment to the intangible assets of the SunPower Businesses, amortization expense was $1.4 million lower in the fiscal year ended December 28, 2025.</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amortization expense for intangible assets was $6.2 million and $0.7 million for the fiscal years ended December 28, 2025, and December 29, 2024, respectively. Amortization expense for developed technology is classified in cost of revenues and all other amortization expense is classified in general and administrative expenses on the Company’s consolidated statements of operations and comprehensive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weighted average remaining life of these intangible assets as of December 28, 2025 and December 29, 2024 (</w:t>
      </w:r>
      <w:r>
        <w:rPr>
          <w:rFonts w:ascii="Times New Roman" w:cs="Times New Roman" w:eastAsia="Times New Roman" w:hAnsi="Times New Roman"/>
          <w:sz w:val="18"/>
          <w:szCs w:val="18"/>
          <w:i w:val="1"/>
          <w:iCs w:val="1"/>
          <w:color w:val="auto"/>
        </w:rPr>
        <w:t>in years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80" w:type="dxa"/>
            <w:vAlign w:val="bottom"/>
            <w:tcBorders>
              <w:bottom w:val="single" w:sz="8" w:color="auto"/>
            </w:tcBorders>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estimated remaining amortization expense of intangible assets with finite useful lives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0" w:type="dxa"/>
            <w:vAlign w:val="bottom"/>
          </w:tcPr>
          <w:p>
            <w:pPr>
              <w:spacing w:after="0"/>
              <w:rPr>
                <w:sz w:val="1"/>
                <w:szCs w:val="1"/>
                <w:color w:val="auto"/>
              </w:rPr>
            </w:pPr>
          </w:p>
        </w:tc>
      </w:tr>
      <w:tr>
        <w:trPr>
          <w:trHeight w:val="216"/>
        </w:trPr>
        <w:tc>
          <w:tcPr>
            <w:tcW w:w="8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4,809</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50,814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F-36</w:t>
            </w: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(8) Forward Purchase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and around July 13, 2023, FACT (now SunPower, formerly Complete Solaria, Inc. following the closing of the Business Combination) entered into separate Forward Purchase Agreements (“FPAs”) with (i) Meteora Special Opportunity Fund I, LP, Meteora Capital Partners, LP, and Meteora Select Trading Opportunities Master, LP (collectively, “Meteora”), (ii) Polar Multi-Strategy Master Fund (“Polar”), and (iii) Diametric True Alpha Market Neutral Master Fund, LP, Diametric True Alpha Enhanced Market Neutral Master Fund, LP, and Pinebridge Partners Master Fund, LP (collectively, “Sandia,” and together with Meteora and Polar, the “FPA Investors”). Under the FPAs, the Company agreed to purchase, subject to certain terms and limitations, up to 5,618,488 shares of common stock held by the FPA Investors on a date 24 months after execution of the FPAs (the “Maturity Date”). The FPA Investors agreed not to redeem their Class A ordinary shares in connection with the Business Combination, and the FPAs originally provided the FPA Investors with a minimum sale price of $5.00 per share at maturity.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18, 2023, the Company entered into amendments with each FPA Investor reducing the reset floor price from $5.00 to $3.00 and permitting the Company to raise up to $10.0 million of equity from existing stockholders without triggering anti-dilution protections, subject to specified per-share pricing requirements for insider investments. On May 7 and 8, 2024, the Company executed additional amendments with Sandia and Polar reducing the reset price to $1.00 per share and modifying the volume-weighted average price (“VWAP”) trigger event to occur if, after December 31, 2024, the Company’s VWAP is below $1.00 for 20 out of 30 consecutive trading days. On June 14, 2024, the Company and Sandia executed an additional amendment confirming a $1.00 reset price and the revised VWAP trigger and providing that Sandia will automatically receive any more favorable terms provided to Polar or Meteora, including with respect to the shares sold upon execution of its FPA. On July 17, 2024, the Company and Polar executed an amendment applying the “Most Favored Nation” provision of the Polar FPA to all of its shares covered by that agreement.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Between July 15 and August 1, 2025, the Company entered into further amendments with Meteora, Sandia, and Polar that extended the valuation date applicable to the FPAs to the earliest of (i) July 17, 2026, (ii) a date specified by Meteora or Sandia, as applicable, or (iii) 90 days after Company notice if the Company’s VWAP is below the applicable reset price for 20 out of 30 consecutive trading days occurring at least six months after the closing of the Business Combination, provided that a registration statement is effective throughout both the measurement and notice periods. These amendments also revised the settlement provisions to clarify that the Settlement Amount is used solely as a calculation mechanism to determine any liability owed by the Company to an FPA Investor. If the Settlement Amount Adjustment exceeds the Settlement Amount, the excess will be paid to the FPA Investor in cash or shares, at the Company’s election, and the FPA Investors are not required to remit the Settlement Amount or return any prepayment to the Company.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FPA Investors continue to hold some or all of the FPA shares on the Maturity Date and the trading price of the Company’s common stock is below the applicable FPA sale price, the Company expects the FPA Investors to exercise their repurchase rights.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these FPAs, the Company has recorded a liability on its consolidated balance sheets of $4.0 million and $3.5 million as of December 28, 2025 and December 29, 2024, respectively. The Company concluded that $1.3 million of the liability as of December 29, 2024 was with a related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SAFE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SAFE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31, 2024, the Company entered into a SAFE (the “First SAFE”) with the Rodgers Massey Freedom and Free Markets Charitable Trust (the “Purchaser”), a related party, affiliated with Thurman J. Rodgers, the Company’s Chief Executive Officer and a Director, in connection with the Purchaser investing $1.5 million in the Company. The First SAFE did not accrue interest. The First SAFE was initially convertible into shares of the Company’s common stock, par value $0.0001 per share, upon the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 (a)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w:t>
      </w:r>
    </w:p>
    <w:p>
      <w:pPr>
        <w:spacing w:after="0" w:line="6" w:lineRule="exact"/>
        <w:rPr>
          <w:sz w:val="20"/>
          <w:szCs w:val="20"/>
          <w:color w:val="auto"/>
        </w:rPr>
      </w:pPr>
    </w:p>
    <w:p>
      <w:pPr>
        <w:jc w:val="both"/>
        <w:ind w:firstLine="8"/>
        <w:spacing w:after="0" w:line="253" w:lineRule="auto"/>
        <w:tabs>
          <w:tab w:leader="none" w:pos="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3" w:name="page104"/>
    <w:bookmarkEnd w:id="103"/>
    <w:p>
      <w:pPr>
        <w:jc w:val="both"/>
        <w:spacing w:after="0" w:line="258" w:lineRule="auto"/>
        <w:rPr>
          <w:sz w:val="20"/>
          <w:szCs w:val="20"/>
          <w:color w:val="auto"/>
        </w:rPr>
      </w:pPr>
      <w:r>
        <w:rPr>
          <w:rFonts w:ascii="Times New Roman" w:cs="Times New Roman" w:eastAsia="Times New Roman" w:hAnsi="Times New Roman"/>
          <w:sz w:val="18"/>
          <w:szCs w:val="18"/>
          <w:color w:val="auto"/>
        </w:rPr>
        <w:t>On April 21, 2024, the Company entered into an amendment (“First SAFE Amendment”) that converted the First SAFE investment of $1.5 million into 4.2 million shares of the Company’s common stock based on a conversion price of $0.36 per share, defined in the First SAFE Amendment as the product of (i) $0.45, the closing price of the Company’s common stock on April 19, 2024, multiplied by (ii) 80%. Upon conversion to shares of the Company’s common stock, the Company recognized $1.9 million of Additional paid-in capital, and a loss on conversion of the First SAFE of $0.4 million within Other non-operating income, net in its consolidated statement of operations for the fiscal year ended December 29,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SAFE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2024, the Company entered into a second SAFE (the “Second SAFE”) with the Purchaser, in connection with the Purchaser investing $3.5 million in the Company. The Second SAFE did not accrue interest. The Second SAFE was initially convertible into shares of the Company’s common stock upon the initial closing of an Equity Financing at a per share conversion price which was equal to the lower of (i) the Second SAFE Price, and (ii) 80% of the price per share of the Company’s common stock sold in the Equity Financing. If the Company consummated a change of control prior to the termination of the Second SAFE, the Purchaser would have been automatically entitled to receive an amount equal to the greater of (i) $3.5 million and (ii) the amount payable on the number of shares of the Company’s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and (ii) 80%.</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21, 2024, the Company entered into an amendment (“Second SAFE Amendment”) that converted the Second SAFE investment of $3.5 million into 9.7 million shares of the Company’s common stock based on a conversion price of $0.36 per share, defined in the Second SAFE Amendment as the product of (i) $0.45, the closing price of the Company’s common stock on April 19, 2024, multiplied by (ii) 80%. Upon conversion to shares of the Company’s common stock, the Company recognized $4.4 million of Additional paid-in capital, and a loss on conversion of the Second SAFE of $0.9 million within Other non-operating income, net in its consolidated statement of operations for the fiscal year ended December 29,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SAFE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13, 2024, the Company entered into a third SAFE (the “Third SAFE”) with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SAFE liability represents the estimated fair value of the Company’s obligation to issue equity in the future. The fair value of the Third SAFE approximated $0.5 million and $0.4 million as of December 28, 2025 and December 29, 2024, respectively. Refer to </w:t>
      </w:r>
      <w:r>
        <w:rPr>
          <w:rFonts w:ascii="Times New Roman" w:cs="Times New Roman" w:eastAsia="Times New Roman" w:hAnsi="Times New Roman"/>
          <w:sz w:val="18"/>
          <w:szCs w:val="18"/>
          <w:b w:val="1"/>
          <w:bCs w:val="1"/>
          <w:color w:val="auto"/>
        </w:rPr>
        <w:t>Note 5 – 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 details.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Borrowings and Derivative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Company’s borrowings and derivative liabilities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 term:</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Seller Note – related party</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with related party</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debt with related parties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12.0% senior unsecured convertible notes and related derivative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2024 Notes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32,969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17,965</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2024 Notes – related parties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7,631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24,632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 July 2024 Notes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July 2025 Note – related party</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1,443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November 2025 Note –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2024 Notes derivative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19,604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13,563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2024 Notes derivative liability – related party</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12,615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21,127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 July 2024 Notes derivative liability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July 2025 Note derivative liability – related party</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3,246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November 2025 Note derivative liability – related party</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1,488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12.0% senior unsecured convertible notes and derivative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79,487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77,287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7.0% senior unsecured convertible notes and derivative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2024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14,332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5,636</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2024 Notes – related parties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2,346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 September 2024 Notes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September 2025 Notes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3,354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2024 Notes derivative liability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37,930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55,474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2024 Notes derivative liability – related parties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5,870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Subtotal September 2024 Notes derivative liability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43,800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62,432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2025 Notes derivative liability</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7.0% senior unsecured convertible notes and derivative liabilities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78,588</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68,544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notes payable and derivative liabilities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158,075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unsecured convertible notes payable and derivative liabilities, net of current portion</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155,289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145,831</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and derivative liabilities, net of current portion</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120,159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92,638</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and derivative liabilities with related parties</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35,130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53,193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155,289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145,831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F-39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12.0% Senior Unsecured Convertible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July 2024, the Company issued $46.0 million of senior unsecured convertible notes (“July 2024 Notes”) consisting of $28.0 million in cash proceeds and $18.0 million arising from an exchange of debt (“Debt Exchange”) as described below under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xml:space="preserve">. Cash proceeds of $28.0 million included $18.0 million from the Rodgers Revocable Trust, a related party. The $18.0 million exchange of debt included $10.0 million issued to Carlyle. Carlyle was deemed to be a related party in the fiscal year ended December 29, 2024. Carlyle was no longer deemed a related party to the Company during the fiscal year ended December 28, 2025. Refer to </w:t>
      </w:r>
      <w:r>
        <w:rPr>
          <w:rFonts w:ascii="Times New Roman" w:cs="Times New Roman" w:eastAsia="Times New Roman" w:hAnsi="Times New Roman"/>
          <w:sz w:val="18"/>
          <w:szCs w:val="18"/>
          <w:b w:val="1"/>
          <w:bCs w:val="1"/>
          <w:color w:val="auto"/>
        </w:rPr>
        <w:t>Note 2 – Summary of Significant Accounting Policies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Changes in Related Parties</w:t>
      </w:r>
      <w:r>
        <w:rPr>
          <w:rFonts w:ascii="Times New Roman" w:cs="Times New Roman" w:eastAsia="Times New Roman" w:hAnsi="Times New Roman"/>
          <w:sz w:val="18"/>
          <w:szCs w:val="18"/>
          <w:color w:val="auto"/>
        </w:rPr>
        <w:t xml:space="preserve"> for details.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July 2024 Notes bear interest at 12.0% per annum, and the principal is payable in full at maturity on July 1, 2029. The interest is payable in cash on January 1 and July 1 of each year, beginning on July 1, 2025. The interest rate increases by 3% in the event of default. The conversion rate of the July 2024 Notes is initially equal to 595.2381 shares of common stock per $1,000 of principal amount due under the July 2024 Notes. Holders of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 derivative liability of $28.7 million on the issuance date. Of this amount $17.5 million was recognized as a debt discount to the $28.0 million cash proceeds and $11.2 million associated with the Debt Exchange was recognized as an expense in the calculation of the Company’s “Gain on the Troubled Debt Restructuring” on the Company’s consolidated statement of operations and comprehensive loss in the year ended December 29, 2024.</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connection with the Debt Exchange, the Company issued the Cantor Warrant, as described in </w:t>
      </w:r>
      <w:r>
        <w:rPr>
          <w:rFonts w:ascii="Times New Roman" w:cs="Times New Roman" w:eastAsia="Times New Roman" w:hAnsi="Times New Roman"/>
          <w:sz w:val="18"/>
          <w:szCs w:val="18"/>
          <w:b w:val="1"/>
          <w:bCs w:val="1"/>
          <w:color w:val="auto"/>
        </w:rPr>
        <w:t>Note 14 – Common Stock and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for shares of the Company’s common stock. At issuance, the Cantor Warrant had a fair value of $1.4 million, of which $0.9 million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recorded as a debt discount, and $0.5 million was included in the calculation of the Company’s “Gain on the Troubled Debt Restructuring” on the Company’s consolidated statement of operations and comprehensive loss in the year ended December 29, 2024, as discussed below in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interest rate on the July 2024 Notes cash proceeds of $28.0 million approximates 45% as of December 28, 2025. Coupon interest, default interest and failure to file interest on the $18.0 million Debt Exchange were capitalized as part of the July 2024 Notes. Accordingly, the effective interest rate on the $18.0 million arising from the Debt Exchange is nil as of December 28,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no financial covenants. The July 2024 Notes are not in default. However, due to the delayed filing of its Form 10-K for the year ended December 29, 2024, the Company was required to accrue incremental interest of 0.5% beginning April 16, 2025 through April 30, 2025, the date upon which the Form 10-K was filed. The interest accrued was not material. Due to the Company’s delayed filing of its Form 10Q for the third quarter ended September 28, 2025 (“Q3 2025 Form 10Q”), the Company was required to accrue incremental interest of 0.5% beginning November 17, 2025, through December 19, 2025, the date upon which the Q3 2025 Form 10Q was filed. The interest accrued was not material.</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carrying amount of the July 2024 Notes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 principal amount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56,801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59,587</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240" w:type="dxa"/>
            <w:vAlign w:val="bottom"/>
          </w:tcPr>
          <w:p>
            <w:pPr>
              <w:spacing w:after="0"/>
              <w:rPr>
                <w:sz w:val="20"/>
                <w:szCs w:val="20"/>
                <w:color w:val="auto"/>
              </w:rPr>
            </w:pPr>
          </w:p>
        </w:tc>
        <w:tc>
          <w:tcPr>
            <w:tcW w:w="11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(16,201)</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(16,990)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of July 2024 Notes</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40,600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years ended December 28, 2025 and December 29, 2024, the total interest expense was $3.0 million and $4.6 million, respectively, with coupon interest expense of $2.2 million and $2.8 million, respectively, and debt discount and issuance costs of $0.8 million and $1.8 million, respectively. Of the coupon interest expense, related party interest expense was $1.5 million and $1.7 million in the fiscal years ended December 28, 2025 and December 29, 2024, respectively. Related party amortization expense was $0.7 million and $1.1 million in the fiscal years ended December 28, 2025 and December 29, 2024,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On July 1, 2024, the Company entered into an Exchange Agreement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with Carlyle and Kline Hill (as defined below) resulting in the Debt Exchange and providing for:</w:t>
      </w:r>
    </w:p>
    <w:p>
      <w:pPr>
        <w:spacing w:after="0" w:line="160" w:lineRule="exact"/>
        <w:rPr>
          <w:sz w:val="20"/>
          <w:szCs w:val="20"/>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all indebtedness, inclusive of the CS Solis Debt,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note for the principal amount of $10.0 million to Carlyle as part of the July 2024 Notes;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previously issued warrant to Carlyle (“Carlyle Warrant”) for shares of the Company’s common stock was fixed at 4,936,483. At the July 1, 2024, modification date, the Carlyle Warrant had a fair value of $7.3 million compared to its fair value of $6.6 million on June 30, 2024. The Company recognized this $0.7 million of expense related to the remeasurement of the Carlyle Warrant liability to its fair value within “Gain on Troubled Debt Restructuring” on the Company’s consolidated statement of operations and comprehensive loss in the year ended December 29, 2024. The modification of the Carlyle Warrant also resulted in the reclassification of the Carlyle Warrant from liability to equity classification, resulting in an increase to additional paid-in capital of $7.3 million and a reduction in the warrant liability of $7.3 million. Carlyle exercised the warrant in full in the year ended December 29, 2024.</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all indebtedness owed to Kline Hill Partners Fund LP, Kline Hill Partners IV SPV LLC, and Kline Hill Partners Opportunity IV SPV, LLC (collectively “Kline Hill”) by the Company, termination of all debt instruments by and between the Company and Kline Hill, including 2018 bridge notes, a portion of a revolving loan (“Revolving Loan”) and a secured credit facility (“Secured Credit Facility”), and the satisfaction of all obligations owed to Kline Hill by the Company under the terminated debt instruments;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note for the principal amount of $8.0 million to Kline Hill as part of the July 2024 Notes;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1,500,000 shares of the Company’s common stock to Kline Hill.</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At the date of the cancellation under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the Company’s indebtedness to CS Solis was $37.2 million and the indebtedness to Kline Hill was comprised of 2018 bridge notes of $11.7 million, a revolving loan balance of $3.9 million, and the Secured Credit Facility balance of $13.1 million.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concluded that the transactions entered into in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xml:space="preserve"> represented a troubled debt restructuring as the Company was experiencing financial difficulty, and the terms of the July 2024 Notes resulted in a concession to the Company. As the carrying amount of the debt exceeded the future undiscounted cash payments under the new terms on the date of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the Company recorded a gain on the troubled debt restructuring of $22.3 million in the year ended December 29, 2024.</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the year ended December 29, 2024, prior to entering into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the Company recognized (i) accretion of the liability of the debt in CS Solis as related party interest expense of $3.9 million, (ii) $0.7 million of interest on the 2018 bridge notes, and (iii) $1.0 million of interest on the Secured Credit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2025 Note – related party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10, 2025, the Company issued a convertible promissory note (the “July 2025 Note”) to the Rodgers Revocable Trust, a related party, in exchange for $5.0 million of proceeds.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07" w:name="page108"/>
    <w:bookmarkEnd w:id="107"/>
    <w:p>
      <w:pPr>
        <w:jc w:val="both"/>
        <w:spacing w:after="0" w:line="254" w:lineRule="auto"/>
        <w:rPr>
          <w:sz w:val="20"/>
          <w:szCs w:val="20"/>
          <w:color w:val="auto"/>
        </w:rPr>
      </w:pPr>
      <w:r>
        <w:rPr>
          <w:rFonts w:ascii="Times New Roman" w:cs="Times New Roman" w:eastAsia="Times New Roman" w:hAnsi="Times New Roman"/>
          <w:sz w:val="18"/>
          <w:szCs w:val="18"/>
          <w:color w:val="auto"/>
        </w:rPr>
        <w:t>The July 2025 Note is a general unsecured obligation of the Company and will mature on July 1, 2029, unless earlier converted, redeemed or repurchased. The July 2025 Note has an annual coupon interest rate of 12.0% which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of principal amount due under the July 2025 Note. The conversion rate is subject to adjustment from time to time pursuant to the terms of the July 2025 Note. The conversion option related to the July 2025 Note was required to be bifurcated as a derivative liability. The Company recorded a derivative liability of $3.7 million with a corresponding offset to debt discount on the issuance date. The July 2025 Note has an effective interest rate of 62%.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the July 2025 Note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December 28,</w:t>
      </w:r>
    </w:p>
    <w:p>
      <w:pPr>
        <w:spacing w:after="0" w:line="9"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2025 Note – related party</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 – related party</w:t>
            </w:r>
          </w:p>
        </w:tc>
        <w:tc>
          <w:tcPr>
            <w:tcW w:w="3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(3,557)</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of July 2025 Note – related party</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28, 2025, the total interest expense was $0.4 million with coupon interest expense of $0.3 million and debt discount and issuance costs of $0.1 million, all of which was with a related party.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2025 Note – related party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20, 2025, the Company issued a convertible note (the “November 2025 Note”) to the Rodgers Massey Freedom and Free Markets Charitable Trust in exchange for $2.0 million of proceeds.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November 2025 Note is a general unsecured obligation of the Company and will mature on July 1, 2029, unless earlier converted, redeemed or repurchased. The November 2025 Note has an annual coupon interest rate of 12.0% which is payable semiannually in arrears on January 1 and July 1 of each year, beginning on January 1, 2026. The November 2025 Note is convertible at the option of the holder at any time prior to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November 2025 Note prior to July 5, 2026. The conversion option related to the November 2025 Note was required to be bifurcated as a derivative liability, and the Company recorded a derivative liability of $1.5 million on the issuance date with a corresponding offset to debt discount. The November 2025 Note has an effective interest rate of 71% as of December 28,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the convertible November 2025 Note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December 28,</w:t>
      </w:r>
    </w:p>
    <w:p>
      <w:pPr>
        <w:spacing w:after="0" w:line="9"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2025 Note – related party</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tcBorders>
            <w:shd w:val="clear" w:color="auto" w:fill="CCEEFF"/>
          </w:tcPr>
          <w:p>
            <w:pPr>
              <w:spacing w:after="0"/>
              <w:rPr>
                <w:sz w:val="19"/>
                <w:szCs w:val="19"/>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 – related party</w:t>
            </w:r>
          </w:p>
        </w:tc>
        <w:tc>
          <w:tcPr>
            <w:tcW w:w="3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(1,509)</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of November 2025 Note – related party</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28, 2025, the total interest expense was less than $0.1 million with each of coupon interest and amortization of debt discount and issuance costs being less than $0.1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7.0% Senior Unsecured Convertible Notes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16, 2024, the Company entered into an Indenture agreement with U.S. Bank Trust Company, National Association, as trustee (the “Indenture”), for the issuance of 7.0% senior unsecured convertible notes (“7.0% Notes”). The 7.0% Notes issued under the Indenture bear interest at 7.0% per annum, and the interest is payable semiannually in arrears on January 1 and July 1 of each year beginning on January 1, 2025. The principal is payable in full at maturity on July 1, 2029. Holders of the 7.0% Senior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conversion rate for the 7.0% Notes was initially 467.8363 shares of common stock per $1,000 principal amount of 7.0% Notes. The conversion rate for the 7.0% Notes is subject to adjustment from time to time in accordance with the terms of the Indenture, and as of December 28, 2025 the 7.0% Notes are convertible at the rate of 584.7953 shares of common stock per $1,000 principal amount of the notes. In addition, upon a conversion of the 7.0% Notes, following certain corporate events that occur prior to the maturity date of the 7.0% Notes or if the Company delivers a notice of redemption in respect of the 7.0% Notes, the Company will, under certain circumstances, increase the conversion rate of the 7.0% Notes for a holder who elects to convert its 7.0% Notes following September 16, 2025, in connection with such a corporate event that occurs prior to the maturity date, or if the Company delivers a notice of redemption in respect of the 7.0%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2024 Notes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issued an aggregate of $80.0 million of 7.0% Notes to various lenders (the “September 2024 Notes”), of which the Company received cash proceeds in two tranches of $66.8 million and $13.0 million in fiscal 2024. The remainder was received in fiscal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cash proceeds of $66.8 million included $4.0 million from the Rodgers Family Freedom and Free Markets Charitable Trust (“Massey Charitable Trust”), a related party, and $4.0 million from the Rodgers Revocable Trust (collectively with Massey Charitable Trust, “Massey Trusts”), also a related party. In fiscal 2025, a holder of $0.75 million of the September 2024 Notes became a member of the Company’s board of directors and this note is now deemed to be with a related party beginning in fiscal 2025. Refer to </w:t>
      </w:r>
      <w:r>
        <w:rPr>
          <w:rFonts w:ascii="Times New Roman" w:cs="Times New Roman" w:eastAsia="Times New Roman" w:hAnsi="Times New Roman"/>
          <w:sz w:val="18"/>
          <w:szCs w:val="18"/>
          <w:b w:val="1"/>
          <w:bCs w:val="1"/>
          <w:color w:val="auto"/>
        </w:rPr>
        <w:t>Note 2 Summary of Significant Accounting Policies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Changes in related parties</w:t>
      </w:r>
      <w:r>
        <w:rPr>
          <w:rFonts w:ascii="Times New Roman" w:cs="Times New Roman" w:eastAsia="Times New Roman" w:hAnsi="Times New Roman"/>
          <w:sz w:val="18"/>
          <w:szCs w:val="18"/>
          <w:color w:val="auto"/>
        </w:rPr>
        <w:t>, for further detail. The conversion option of this first tranche was required to be bifurcated as a derivative, and the Company recorded a derivative liability of $91.5 million on the issuance date. In connection with the derivative liability, the Company recorded a debt discount of $66.8 million at the date of issuance. As the fair value of the derivative liability exceeded the proceeds received, the remaining portion of the derivative liability of $24.7 million was recorded as a financing loss, of which $3.0 million was with a related party. At the date of issuance, the $66.8 million of notes were issued with a debt discount equal to the entire principal amount, resulting in an initial net carrying amount of zero. The debt discount is being amortized on a straight-line basis over the term of the September 2024 Notes.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December 2024, the Company received proceeds of $13.0 million in a second tranche. The Company recognized a $10.9 million debt discount in connection with these additional proceeds. The effective interest rate on this tranche is 64% as of December 28,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holders of the September 2024 Notes exercised their rights to convert this debt to shares of the Company’s common stock. In the fiscal year ended December 29, 2025, $14.7 million of the September 2024 Notes were converted into 8.6 million shares of the Company’s common stock.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carrying amount of the convertible September 2024 Notes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65,293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79,800</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240" w:type="dxa"/>
            <w:vAlign w:val="bottom"/>
          </w:tcPr>
          <w:p>
            <w:pPr>
              <w:spacing w:after="0"/>
              <w:rPr>
                <w:sz w:val="20"/>
                <w:szCs w:val="20"/>
                <w:color w:val="auto"/>
              </w:rPr>
            </w:pPr>
          </w:p>
        </w:tc>
        <w:tc>
          <w:tcPr>
            <w:tcW w:w="11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(48,615)</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(73,688)</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of September 2024 Notes</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16,678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years ended December 28, 2025 and December 29, 2024, the total interest expense was $19.6 million and $5.4 million with coupon interest expense of $5.5 million and $1.4 million, respectively, and debt discount and issuance costs of $14.1 million and $4.0 million, respectively. Of the coupon interest expense, related party interest expense was $0.6 million and $0.2 million in the fiscal years ended December 28, 2025 and December 29, 2024, respectively. Related party amortization expense was $1.8 million and $0.5 million in the fiscal years ended December 28, 2025 and December 29, 2024,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i w:val="1"/>
          <w:iCs w:val="1"/>
          <w:color w:val="auto"/>
        </w:rPr>
        <w:t>September 2025 Notes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21, 2025, the Company issued an additional $22.0 million of the 7.0% Notes (the “September 2025 Notes”) pursuant to the Indenture to various parties. The September 2025 Notes contain a conversion option which required bifurcation and recognition of a derivative, and the Company recorded a derivative liability of $15.4 million on the issuance date. The Company also recognized a $2.2 million debt discount and $1.4 million of debt issuance costs in connection with the September 2025 Notes. The debt issuance costs include an estimate of the value of a warrant that will be issued in the subsequent fiscal year to the entity that arranged the financing. The effective interest rate on the September 2025 Notes approximated 67% as of December 28, 2025. The net proceeds from the issuance of the September 2025 Notes were principally used to pay a portion of the cash consideration for the Company’s acquisition of Sunder.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the September 2025 Notes, inclusive of the fair value of the derivative liabilities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December 28,</w:t>
      </w:r>
    </w:p>
    <w:p>
      <w:pPr>
        <w:spacing w:after="0" w:line="9"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 Notes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tcBorders>
              <w:top w:val="single" w:sz="8" w:color="CCEEFF"/>
            </w:tcBorders>
            <w:shd w:val="clear" w:color="auto" w:fill="CCEEFF"/>
          </w:tcPr>
          <w:p>
            <w:pPr>
              <w:spacing w:after="0"/>
              <w:rPr>
                <w:sz w:val="19"/>
                <w:szCs w:val="19"/>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(18,646)</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of September 2025 Notes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28, 2025 the total interest expense was $0.7 million with coupon interest of $0.4 million and amortization of debt discount and issuance costs $0.3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Seller Note – related party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September 24, 2025, the Company issued a note payable to the sellers of Sunder (“Seller Note”) in connection with the acquisition of 100% of the membership interests in Sunder and concluded that the Seller Note is a related party obligation (see </w:t>
      </w:r>
      <w:r>
        <w:rPr>
          <w:rFonts w:ascii="Times New Roman" w:cs="Times New Roman" w:eastAsia="Times New Roman" w:hAnsi="Times New Roman"/>
          <w:sz w:val="18"/>
          <w:szCs w:val="18"/>
          <w:b w:val="1"/>
          <w:bCs w:val="1"/>
          <w:color w:val="auto"/>
        </w:rPr>
        <w:t>Note 3 – Business Combinations</w:t>
      </w:r>
      <w:r>
        <w:rPr>
          <w:rFonts w:ascii="Times New Roman" w:cs="Times New Roman" w:eastAsia="Times New Roman" w:hAnsi="Times New Roman"/>
          <w:sz w:val="18"/>
          <w:szCs w:val="18"/>
          <w:color w:val="auto"/>
        </w:rPr>
        <w:t>). The Seller Note has an original principal amount of $20.0 million. The Seller Note bears interest at 7.0% per annum, compounded at the end of each calendar quarter. Interest is due and payable concurrent with the payment of the principal balance. The maturity date of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Management concluded that the carrying value of the Seller Note approximates its fair value due to the short-term nature of the obligation. Interest expense recognized on the Seller Note was $0.4 million in the fiscal year ended December 28,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with related party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Prior to entering into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xml:space="preserve">, the Company had a Revolving Loan due to Kline Hill and Rodgers Revocable Trust which is a related party. The Revolving Loan arrangement was entered into in 2020 and in 2023, the Rodgers Revocable Trust became a party to the Revolving Loan. The Revolving Loan has an annual interest rate equal to the greater of 7.75% or Prime plus 4.5%. In connection with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xml:space="preserve"> in July 2024, $3.5 million of the Revolving Loan, plus accrued interest owed to Kline Hill, was exchanged for a portion of the July 2024 Notes. The remaining principal balance of $1.5 million is payable to the Rodgers Revocable Trust and remains outstanding as of December 28, 2025. There are no financial covenants.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interest expense recognized on this obligation in the fiscal years ended December 28, 2025 and December 29, 2024 was $0.2 million and $0.5 million, respectively. Of the interest expense recognized, related party interest expense was $0.2 million and $0.2 million in the fiscal years ended December 28, 2025 and December 29, 2024,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payments due in the next five fiscal years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amount of all short and long-term debt, excluding capitalized interest in connection with the exchanged notes,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143,266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Other Non-Operating Income, Net</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non-operating income, net consists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Change in fair value of derivative liabilities </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33,986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FACT public, private placement and working capital warrants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conversion of SAFE agreements to common stock with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SAFE Agreement with related party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Change in fair value of forward purchase agreement liabilities </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Loss on issuance of derivative liabilities </w:t>
            </w:r>
            <w:r>
              <w:rPr>
                <w:rFonts w:ascii="Times New Roman" w:cs="Times New Roman" w:eastAsia="Times New Roman" w:hAnsi="Times New Roman"/>
                <w:sz w:val="29"/>
                <w:szCs w:val="29"/>
                <w:color w:val="auto"/>
                <w:vertAlign w:val="superscript"/>
              </w:rPr>
              <w:t>(3)</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Carlyle Warrants with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(3,769)</w:t>
            </w:r>
          </w:p>
        </w:tc>
        <w:tc>
          <w:tcPr>
            <w:tcW w:w="0" w:type="dxa"/>
            <w:vAlign w:val="bottom"/>
          </w:tcPr>
          <w:p>
            <w:pPr>
              <w:spacing w:after="0"/>
              <w:rPr>
                <w:sz w:val="1"/>
                <w:szCs w:val="1"/>
                <w:color w:val="auto"/>
              </w:rPr>
            </w:pPr>
          </w:p>
        </w:tc>
      </w:tr>
      <w:tr>
        <w:trPr>
          <w:trHeight w:val="277"/>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 net </w:t>
            </w:r>
            <w:r>
              <w:rPr>
                <w:rFonts w:ascii="Times New Roman" w:cs="Times New Roman" w:eastAsia="Times New Roman" w:hAnsi="Times New Roman"/>
                <w:sz w:val="29"/>
                <w:szCs w:val="29"/>
                <w:color w:val="auto"/>
                <w:vertAlign w:val="superscript"/>
              </w:rPr>
              <w:t>(4)</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1,279</w:t>
            </w:r>
          </w:p>
        </w:tc>
        <w:tc>
          <w:tcPr>
            <w:tcW w:w="14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non-operating income, net</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 gain of $3.5 million and $0.3 million on the change in the fair value of derivative liabilities with related parties in the fiscal years ended December 28, 2025 and December 29, 2024, respectively.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for details.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income of $0.1 million in each of the years ended December 28, 2025 and December 29, 2024.</w:t>
      </w:r>
    </w:p>
    <w:p>
      <w:pPr>
        <w:spacing w:after="0" w:line="221"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 loss of $3.0 million on the issuance of a derivative liability with a related party in the fiscal year ended December 29, 2024. Refer to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10 – Borrowings and Derivative Liabilities </w:t>
      </w:r>
      <w:r>
        <w:rPr>
          <w:rFonts w:ascii="Times New Roman" w:cs="Times New Roman" w:eastAsia="Times New Roman" w:hAnsi="Times New Roman"/>
          <w:sz w:val="18"/>
          <w:szCs w:val="18"/>
          <w:color w:val="auto"/>
        </w:rPr>
        <w:t>for details.</w:t>
      </w:r>
    </w:p>
    <w:p>
      <w:pPr>
        <w:spacing w:after="0" w:line="15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income with related party of $0.1 million in the fiscal year ended December 28,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its facilities under non-cancelable operating lease agreements. The Company leases vehicles under finance lease agreements.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and financing lease activity was as follows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8"/>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194"/>
        </w:trPr>
        <w:tc>
          <w:tcPr>
            <w:tcW w:w="8600" w:type="dxa"/>
            <w:vAlign w:val="bottom"/>
          </w:tcPr>
          <w:p>
            <w:pPr>
              <w:spacing w:after="0"/>
              <w:rPr>
                <w:sz w:val="16"/>
                <w:szCs w:val="16"/>
                <w:color w:val="auto"/>
              </w:rPr>
            </w:pPr>
          </w:p>
        </w:tc>
        <w:tc>
          <w:tcPr>
            <w:tcW w:w="1380" w:type="dxa"/>
            <w:vAlign w:val="bottom"/>
            <w:tcBorders>
              <w:top w:val="single" w:sz="8" w:color="auto"/>
            </w:tcBorders>
            <w:gridSpan w:val="5"/>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100" w:type="dxa"/>
            <w:vAlign w:val="bottom"/>
            <w:tcBorders>
              <w:top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29,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 cost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2,008</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lease cost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1,754</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lease cost</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1,754</w:t>
            </w:r>
          </w:p>
        </w:tc>
        <w:tc>
          <w:tcPr>
            <w:tcW w:w="1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1,003</w:t>
            </w:r>
          </w:p>
        </w:tc>
        <w:tc>
          <w:tcPr>
            <w:tcW w:w="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tcBorders>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2,292</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Future minimum lease payments under non-cancellable leases are as follows as of December 28,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45"/>
        </w:trPr>
        <w:tc>
          <w:tcPr>
            <w:tcW w:w="8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Fiscal year ending</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5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3"/>
        </w:trPr>
        <w:tc>
          <w:tcPr>
            <w:tcW w:w="8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undiscounted liabilities</w:t>
            </w: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3,303</w:t>
            </w: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5,810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liabilities</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3,126</w:t>
            </w: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5,186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The Company’s consolidated balance sheet includes the following lease liabilities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4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(Accrued expenses and other current liabilities)</w:t>
            </w: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3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 (Other long-term 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3,156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(Accrued expenses and other current liabilities)</w:t>
            </w: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3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 noncurrent (Other long-term 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1,149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F-46</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0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Provision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Warranty activity by period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beginning of period</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Warranty liability from Business Combination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for new warranties issued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Settlements and other</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(1,561)</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end of period</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warranty current (Classified in Accrued expenses and other current liabilities)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37"/>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warranty liability</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dispute with SunPower Debtors Bankruptcy Estate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held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with such that no amounts were required to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$9.5 million and $7.7 million recorded within accrued expenses and other current liabilities on its consolidated balance sheets as of December 28, 2025 and December 29, 2024,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SolarPark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2023, SolarPark filed a complaint against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 The litigation remains ongoing.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liability has been recorded on the Company’s consolidated financial statements as the likelihood of a loss is not probable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Siemens Litigation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22, 2021, Siemens Government Technologies, Inc. (“Siemens Government Technologies”) filed a lawsuit against Solaria Corporation in Fairfax Circuit Court (the “Circuit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4" w:name="page115"/>
    <w:bookmarkEnd w:id="114"/>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22, 2024, the Circuit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Circuit Court entered a final order which awarded Siemens a total of $2.0 million in attorneys’ fees and costs. The Company appealed these judgments.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$6.9 million as a legal settlement loss related to this litigation as of December 31, 2023. The Company recorded additional expense of $1.1 million and $2.0 million within discontinued operations in the years ended December 28, 2025 and December 29, 2024, respectively, for attorneys’ fees, expenses, and pre-judgment interest related to this matter. The legal settlement liability associated with this matter is included within accrued expenses and other current liabilities on the Company’s consolidated balance sheet as of December 28,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4, 2025, the Company entered into a global Settlement Agreement (“Settlement Agreement”) with Siemens to resolve the case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The settlement payment to Siemens is secured by a first-priority continuing security interest in $9.5 million of Company collateral. This security interest is reduced on a one-to-one basis as the settlement payments are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LGCY Power, LLC Matter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LGCY Power, LLC (“LGCY”) markets and sells residential solar energy systems throughout the United States, and is a competitor of the Company. In 2019, LGCY filed suit against Sunder and several individuals associated with Sunder. LGCY asserts claims of over $16.0 million against Sunder and its associated individuals. LGCY’s claims against Sunder and its associated individuals center on the alleged misappropriation of LGCY’s confidential information, the alleged wrongful solicitation of LGCY’s customers and potential customers, and the alleged wrongful solicitation of LGCY’s sales representatives. In addition, several of the Sunder associated individuals have filed counterclaims against LGCY for declaratory relief, unjust enrichment, and breach of contract based on LGCY’s failure to pay these individuals earned sales commissions following their resignations as LGCY sales managers. LGCY denies these claims. The Company denies LGCY’s claims.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assumed the defense of the case, including the costs of defense, following the Company’s acquisition of Sunder in September 2025. Under the terms of the Sunder MIPA, the Seller agreed to indemnify the Company in the event of damages (such as a settlement or an adverse judgement) stemming from LGCY’s claims, separate and apart from their other indemnification obligations or limitations in the Sunder MIPA. Discovery is complete and no trial date has been set. Both sides have filed various summary judgment motions, and oral arguments for these motions are scheduled for July 2,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information currently available, management is unable to determine the probability of an adverse outcome or to reasonably estimate the amount or range of potential loss, if any. Accordingly, no provision for loss has been recorded in the accompanying consolidated financial statements. While the ultimate resolution of these matters could have a material effect on the Company’s results of operations, cash flows, or financial position, management believes that the resolution will not have a material adverse effect on the Company’s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had $3.5 million of outstanding letters of credit as of December 28, 2025 and December 29, 2024. The Company is required to maintain specified amounts of cash as collateral in segregated accounts to support the letters of credit issued thereunder. As discussed in </w:t>
      </w:r>
      <w:r>
        <w:rPr>
          <w:rFonts w:ascii="Times New Roman" w:cs="Times New Roman" w:eastAsia="Times New Roman" w:hAnsi="Times New Roman"/>
          <w:sz w:val="18"/>
          <w:szCs w:val="18"/>
          <w:b w:val="1"/>
          <w:bCs w:val="1"/>
          <w:color w:val="auto"/>
        </w:rPr>
        <w:t>Note 2 –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Significant Accounting Policies</w:t>
      </w:r>
      <w:r>
        <w:rPr>
          <w:rFonts w:ascii="Times New Roman" w:cs="Times New Roman" w:eastAsia="Times New Roman" w:hAnsi="Times New Roman"/>
          <w:sz w:val="18"/>
          <w:szCs w:val="18"/>
          <w:color w:val="auto"/>
        </w:rPr>
        <w:t>, the cash collateral in these restricted cash accounts was $3.8 million at each of December 28, 2025 and December 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loss from continuing and discontinued operations before provision for income taxes for the fiscal years ended December 28,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29, 2024,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income tax benefit from continuing and discontinued operations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income tax expense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as a component of discontinued operations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ASU 2023-09 prospectively for the fiscal year ended December 28, 2025. The following table presents required disclosure pursuant of ASU 2023-09 and reconciles the Company’s federal statutory tax amount and rate, based on its results from continuing operations, to its actual effective amount and rate: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Effect on</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Dollars (</w:t>
            </w:r>
            <w:r>
              <w:rPr>
                <w:rFonts w:ascii="Times New Roman" w:cs="Times New Roman" w:eastAsia="Times New Roman" w:hAnsi="Times New Roman"/>
                <w:sz w:val="18"/>
                <w:szCs w:val="18"/>
                <w:b w:val="1"/>
                <w:bCs w:val="1"/>
                <w:i w:val="1"/>
                <w:iCs w:val="1"/>
                <w:color w:val="auto"/>
              </w:rPr>
              <w:t>in</w:t>
            </w:r>
          </w:p>
        </w:tc>
        <w:tc>
          <w:tcPr>
            <w:tcW w:w="140" w:type="dxa"/>
            <w:vAlign w:val="bottom"/>
          </w:tcPr>
          <w:p>
            <w:pPr>
              <w:spacing w:after="0"/>
              <w:rPr>
                <w:sz w:val="18"/>
                <w:szCs w:val="18"/>
                <w:color w:val="auto"/>
              </w:rPr>
            </w:pPr>
          </w:p>
        </w:tc>
        <w:tc>
          <w:tcPr>
            <w:tcW w:w="11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Effective</w:t>
            </w:r>
          </w:p>
        </w:tc>
        <w:tc>
          <w:tcPr>
            <w:tcW w:w="0" w:type="dxa"/>
            <w:vAlign w:val="bottom"/>
          </w:tcPr>
          <w:p>
            <w:pPr>
              <w:spacing w:after="0"/>
              <w:rPr>
                <w:sz w:val="1"/>
                <w:szCs w:val="1"/>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w w:val="99"/>
              </w:rPr>
              <w:t>thousands</w:t>
            </w:r>
            <w:r>
              <w:rPr>
                <w:rFonts w:ascii="Times New Roman" w:cs="Times New Roman" w:eastAsia="Times New Roman" w:hAnsi="Times New Roman"/>
                <w:sz w:val="18"/>
                <w:szCs w:val="18"/>
                <w:b w:val="1"/>
                <w:bCs w:val="1"/>
                <w:color w:val="auto"/>
                <w:w w:val="99"/>
              </w:rPr>
              <w:t>)</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Tax Rate</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(benefit) at statutory rate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56"/>
        </w:trPr>
        <w:tc>
          <w:tcPr>
            <w:tcW w:w="8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State income taxes, net of federal tax benefit </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tcPr>
          <w:p>
            <w:pPr>
              <w:spacing w:after="0"/>
              <w:rPr>
                <w:sz w:val="22"/>
                <w:szCs w:val="22"/>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Tax law changes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items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liability</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nondeductible items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true-up</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8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50"/>
        </w:trPr>
        <w:tc>
          <w:tcPr>
            <w:tcW w:w="86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460" w:right="3420" w:hanging="5452"/>
        <w:spacing w:after="0" w:line="623" w:lineRule="auto"/>
        <w:tabs>
          <w:tab w:leader="none" w:pos="338"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State taxes in California made up the majority (greater than 50 percent) of the tax effect in this category. 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6" w:name="page117"/>
    <w:bookmarkEnd w:id="116"/>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represents the required disclosures prior to the Company’s adoption of ASU 2023-09 and is a reconciliation of the Company’s income tax applied at the federal statutory income tax rate compared to the income tax provision reported on its consolidated statements of operations for continuing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items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Debt extinguishment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earnings taxed at different rates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changes in tax rates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Prior year adjustments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16,171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Significant components of deferred tax assets and liabilities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35,792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34,749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Debt derivatives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27,508</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24,591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 reserve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10,543</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4,633</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carryover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7,267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2,556</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(70,253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(55,714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22,624</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21,846</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Deferred income tax liabilities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loan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(21,731)</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(19,175)</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(2,193)</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(2,671)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regularly assesses its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or realizable deferred tax assets, the Company will adjust its valuation allowance with a corresponding impact to the provision for income taxes in the period in which such determination is made. The Company’s management believes that, based upon a number of factors, it is more likely than not that all or some portion of the deferred tax assets will not be realized. Accordingly, for the fiscal years ended December 28, 2025 and December 29, 2024, the Company provided a valuation allowance against its U.S. net deferred tax assets of $70.3 million and $55.7 million, respectively. The net change in the valuation allowance was an increase of $14.6 million and $17.3 million in the fiscal years ended December 28, 2025 and 2024,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7" w:name="page118"/>
    <w:bookmarkEnd w:id="117"/>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28, 2025, the Company had net operating loss carryforwards for federal and state income tax purposes of approximately $131.4 million and $114.8 million, respectively. Excluding $115.3 million of federal net operating losses which carryforward indefinitely, the net operating loss carryforwards will expire between 2030 and 2044.</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Internal Revenue Code (“IRC”) of 1986, as amended, imposes restrictions on the utilization of net operating losses in the event of an “ownership change” of a corporation. Accordingly, a company’s ability to use net operating losses may be limited as prescribed under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IRC Section 382 and similar provisions. Such limitations may result in the expiration of these carryforwards before their utilization. The Company’s acquired net operating loss carryforwards have been reduced based on the estimated amount which will be lost due to these limitations. If the Company has experienced subsequent ownership changes, the Company’s losses may be further limited, which may result in the expiration of net operating losses before utilization. To date, Company has not yet completed a Section 382 ownership change analysis. During the fiscal year ended December 29, 2024, the Company had undergone restructuring and strategic transformation, including the completion of the SunPower Businesses. As a result of the change in facts and lack of certainty regarding the acquired losses of the legacy Solaria business, the Company wrote off the remaining acquired net operating losses as the Company does not intend to pursue the potential tax benefits as it believes those benefits will be lost due to the continuation of business enterprise rules. As a result, the corresponding uncertain tax position was also reversed as the Company does not intend to pursue utilization of those attributes.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for federal and various state jurisdictions as well as foreign jurisdictions each of which have varying statutes of limitations. The Company is in the process of filing returns for prior years, and the penalties related to the delinquent filings are not material. Due to the history of losses, the Company’s tax years remain open for examination by all tax authorities since inception. The Company is not currently under examination in any tax jurisdictions.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 unrecognized tax benefits as of December 28, 2025 and December 29, 2024, respectively. The reversal of the uncertain tax benefits would not affect the Company’s effective tax rate to the extent that it continues to maintain a full valuation allowance against its deferred tax assets. As outlined above, the reduction in the uncertain tax positions during the fiscal year ended December 29, 2024, is a result of the Company’s decision to forgo the right to certain acquired attributes for which the Company does not intend to claim any tax benefits.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provisions set forth in FASB ASC Topic 740, Income Taxes, to account for the uncertainty in income taxes. In the preparation of income tax returns in federal and state jurisdictions, the Company asserts certain tax positions based on its understanding and interpretation of income tax laws.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following is a tabular reconciliation of the total amounts of unrecognized tax benefits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as of beginning of year</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2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(53,153)</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as of end of year</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within the income tax expense line in its consolidated statements of operations and comprehensive loss. Accrued interest and penalties are included as part of income tax payable in the consolidated balance sheets. No accrued interest or penalties have been recorded for the fiscal years ended December 28, 2025 and December 29,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The Company did not pay any federal, state or foreign income taxes during the fiscal year ended December 28,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provided U.S. income or foreign withholding taxes on the undistributed earnings of its foreign subsidiary as of December 28, 2025 or December 29, 2024, as there are no undistributed earnings within the foreign subsidiaries, which were inactive throughout the years ended December 28, 2025 and December 29,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OBBA enacted on July 4, 2025 contains significant changes to corporate taxation, including accelerated deductions for capital expenditures, expensing of research and development costs incurred in the U.S., and increased deductibility of interest expense. As the Company maintains a full valuation allowance against its deferred tax assets, any adjustments to the gross value of these assets resulting from the enactment of the OBBBA were offset by a corresponding change in the valuation allowance, resulting in no net impact to the consolidated financial statements. The Company will continue to monitor the impact of the OBBBA as additional guidance is issued and further provisions become effective in future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Common Stock and Common Stock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authorized the issuance of 1,000,000,000 shares of common stock and 10,000,000 shares of preferred stock as of December 28,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preferred stock has been issued and none are outstanding as of December 28, 2025 and December 29,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purchase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w:t>
      </w:r>
    </w:p>
    <w:p>
      <w:pPr>
        <w:spacing w:after="0" w:line="3" w:lineRule="exact"/>
        <w:rPr>
          <w:sz w:val="20"/>
          <w:szCs w:val="20"/>
          <w:color w:val="auto"/>
        </w:rPr>
      </w:pPr>
    </w:p>
    <w:p>
      <w:pPr>
        <w:jc w:val="both"/>
        <w:ind w:firstLine="8"/>
        <w:spacing w:after="0" w:line="253" w:lineRule="auto"/>
        <w:tabs>
          <w:tab w:leader="none" w:pos="2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White Lion Amended SPA, the Company issued 4.0 million and 2.9 million shares of the Company’s common stock for proceeds of $6.7 million and $6.7 million in the years ended December 28, 2025 and December 29, 2024, respectively.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Note 20 – Subsequent Events</w:t>
      </w:r>
      <w:r>
        <w:rPr>
          <w:rFonts w:ascii="Times New Roman" w:cs="Times New Roman" w:eastAsia="Times New Roman" w:hAnsi="Times New Roman"/>
          <w:sz w:val="18"/>
          <w:szCs w:val="18"/>
          <w:color w:val="auto"/>
        </w:rPr>
        <w:t xml:space="preserve"> for information regarding an amendment to the White Lion SPA entered into on after the fiscal year ended December 28,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the Employee Stock Purchase Plan (the “ESPP Plan”) in July 2023. All qualified employees may voluntarily enroll to purchase the Company’s common stock through payroll deductions at a price equal to 85% of the lower of the fair market value of the stock in the offering period or the applicable purchase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potential number of shares of the Company’s common stock for outstanding warrants were as follows: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520" w:type="dxa"/>
            <w:vAlign w:val="bottom"/>
          </w:tcPr>
          <w:p>
            <w:pPr>
              <w:spacing w:after="0"/>
              <w:rPr>
                <w:sz w:val="24"/>
                <w:szCs w:val="24"/>
                <w:color w:val="auto"/>
              </w:rPr>
            </w:pPr>
          </w:p>
        </w:tc>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Potential shares of common</w:t>
            </w:r>
          </w:p>
        </w:tc>
        <w:tc>
          <w:tcPr>
            <w:tcW w:w="160" w:type="dxa"/>
            <w:vAlign w:val="bottom"/>
          </w:tcPr>
          <w:p>
            <w:pPr>
              <w:spacing w:after="0"/>
              <w:rPr>
                <w:sz w:val="24"/>
                <w:szCs w:val="24"/>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stock as of</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380" w:type="dxa"/>
            <w:vAlign w:val="bottom"/>
            <w:gridSpan w:val="2"/>
          </w:tcPr>
          <w:p>
            <w:pPr>
              <w:jc w:val="right"/>
              <w:ind w:right="280"/>
              <w:spacing w:after="0" w:line="202"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340" w:type="dxa"/>
            <w:vAlign w:val="bottom"/>
            <w:gridSpan w:val="3"/>
          </w:tcPr>
          <w:p>
            <w:pPr>
              <w:jc w:val="right"/>
              <w:ind w:right="260"/>
              <w:spacing w:after="0" w:line="202"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7"/>
                <w:szCs w:val="17"/>
                <w:color w:val="auto"/>
              </w:rPr>
            </w:pPr>
          </w:p>
        </w:tc>
        <w:tc>
          <w:tcPr>
            <w:tcW w:w="1160" w:type="dxa"/>
            <w:vAlign w:val="bottom"/>
            <w:gridSpan w:val="2"/>
          </w:tcPr>
          <w:p>
            <w:pPr>
              <w:jc w:val="center"/>
              <w:ind w:right="380"/>
              <w:spacing w:after="0" w:line="202" w:lineRule="exact"/>
              <w:rPr>
                <w:sz w:val="20"/>
                <w:szCs w:val="20"/>
                <w:color w:val="auto"/>
              </w:rPr>
            </w:pPr>
            <w:r>
              <w:rPr>
                <w:rFonts w:ascii="Times New Roman" w:cs="Times New Roman" w:eastAsia="Times New Roman" w:hAnsi="Times New Roman"/>
                <w:sz w:val="18"/>
                <w:szCs w:val="18"/>
                <w:b w:val="1"/>
                <w:bCs w:val="1"/>
                <w:color w:val="auto"/>
              </w:rPr>
              <w:t>price per</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520" w:type="dxa"/>
            <w:vAlign w:val="bottom"/>
          </w:tcPr>
          <w:p>
            <w:pPr>
              <w:spacing w:after="0"/>
              <w:rPr>
                <w:sz w:val="24"/>
                <w:szCs w:val="24"/>
                <w:color w:val="auto"/>
              </w:rPr>
            </w:pPr>
          </w:p>
        </w:tc>
        <w:tc>
          <w:tcPr>
            <w:tcW w:w="1140" w:type="dxa"/>
            <w:vAlign w:val="bottom"/>
          </w:tcPr>
          <w:p>
            <w:pPr>
              <w:jc w:val="right"/>
              <w:ind w:right="19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2025 </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Expiration date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Liability classified warrants</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8,625,000</w:t>
            </w: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c>
          <w:tcPr>
            <w:tcW w:w="168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 xml:space="preserve">July 18, 2028 </w:t>
            </w:r>
            <w:r>
              <w:rPr>
                <w:rFonts w:ascii="Times New Roman" w:cs="Times New Roman" w:eastAsia="Times New Roman" w:hAnsi="Times New Roman"/>
                <w:sz w:val="29"/>
                <w:szCs w:val="29"/>
                <w:color w:val="auto"/>
                <w:w w:val="96"/>
                <w:vertAlign w:val="superscript"/>
              </w:rPr>
              <w:t>(2)</w:t>
            </w:r>
          </w:p>
        </w:tc>
        <w:tc>
          <w:tcPr>
            <w:tcW w:w="0" w:type="dxa"/>
            <w:vAlign w:val="bottom"/>
          </w:tcPr>
          <w:p>
            <w:pPr>
              <w:spacing w:after="0"/>
              <w:rPr>
                <w:sz w:val="1"/>
                <w:szCs w:val="1"/>
                <w:color w:val="auto"/>
              </w:rPr>
            </w:pPr>
          </w:p>
        </w:tc>
      </w:tr>
      <w:tr>
        <w:trPr>
          <w:trHeight w:val="25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6,266,667</w:t>
            </w:r>
          </w:p>
        </w:tc>
        <w:tc>
          <w:tcPr>
            <w:tcW w:w="3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6,266,667</w:t>
            </w: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c>
          <w:tcPr>
            <w:tcW w:w="16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 xml:space="preserve">July 18, 2028 </w:t>
            </w:r>
            <w:r>
              <w:rPr>
                <w:rFonts w:ascii="Times New Roman" w:cs="Times New Roman" w:eastAsia="Times New Roman" w:hAnsi="Times New Roman"/>
                <w:sz w:val="29"/>
                <w:szCs w:val="29"/>
                <w:color w:val="auto"/>
                <w:w w:val="96"/>
                <w:vertAlign w:val="superscript"/>
              </w:rPr>
              <w:t>(2)</w:t>
            </w:r>
          </w:p>
        </w:tc>
        <w:tc>
          <w:tcPr>
            <w:tcW w:w="0" w:type="dxa"/>
            <w:vAlign w:val="bottom"/>
          </w:tcPr>
          <w:p>
            <w:pPr>
              <w:spacing w:after="0"/>
              <w:rPr>
                <w:sz w:val="1"/>
                <w:szCs w:val="1"/>
                <w:color w:val="auto"/>
              </w:rPr>
            </w:pPr>
          </w:p>
        </w:tc>
      </w:tr>
      <w:tr>
        <w:trPr>
          <w:trHeight w:val="29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Working Capital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716,668</w:t>
            </w: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716,668</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c>
          <w:tcPr>
            <w:tcW w:w="1680" w:type="dxa"/>
            <w:vAlign w:val="bottom"/>
            <w:shd w:val="clear" w:color="auto" w:fill="CCEEFF"/>
          </w:tcPr>
          <w:p>
            <w:pPr>
              <w:jc w:val="center"/>
              <w:spacing w:after="0" w:line="270" w:lineRule="exact"/>
              <w:rPr>
                <w:sz w:val="20"/>
                <w:szCs w:val="20"/>
                <w:color w:val="auto"/>
              </w:rPr>
            </w:pPr>
            <w:r>
              <w:rPr>
                <w:rFonts w:ascii="Times New Roman" w:cs="Times New Roman" w:eastAsia="Times New Roman" w:hAnsi="Times New Roman"/>
                <w:sz w:val="18"/>
                <w:szCs w:val="18"/>
                <w:color w:val="auto"/>
                <w:w w:val="96"/>
              </w:rPr>
              <w:t xml:space="preserve">July 18, 2028 </w:t>
            </w:r>
            <w:r>
              <w:rPr>
                <w:rFonts w:ascii="Times New Roman" w:cs="Times New Roman" w:eastAsia="Times New Roman" w:hAnsi="Times New Roman"/>
                <w:sz w:val="29"/>
                <w:szCs w:val="29"/>
                <w:color w:val="auto"/>
                <w:w w:val="96"/>
                <w:vertAlign w:val="superscript"/>
              </w:rPr>
              <w:t>(2)</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shares of common stock – liability classified warrants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15,608,335</w:t>
            </w:r>
          </w:p>
        </w:tc>
        <w:tc>
          <w:tcPr>
            <w:tcW w:w="2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15,608,335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classified warrants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B Warrants (converted to common stock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5,054</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2026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C Warrants (converted to common stock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482,969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482,969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C-1 Warrants (converted to common stock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173,067</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173,067</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2030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SVB Common Stock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0.38</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SVB Common Stock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2,525</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2,525</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0.62</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Promissory Note Common Stock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24,148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24,148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2031</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2023 Common Stock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38,981</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38,981</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Warrants Issued in 2023 (“Merger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6,266,572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6,266,572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18, 2033</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Ayna Warrant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6,000,000</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2029</w:t>
            </w: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Cantor Warrant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3,066,141</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3,066,141</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2029</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shares of common stock – equity classified warrants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10,061,930</w:t>
            </w:r>
          </w:p>
        </w:tc>
        <w:tc>
          <w:tcPr>
            <w:tcW w:w="2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16,061,930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 shares of common stock</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25,670,265</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31,670,265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Excludes the 2025 Cantor Warrant (as defined below) which was not issued as of December 28, 2025.</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warrants expire five years after the Closing date of the Mergers, which date was July 18, 2023, or earlier upon redemption or liquidation.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Ayna warrant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17, 2024, a warrant to purchase 6,000,000 shares of the Company’s common stock (“Ayna Warrant”) was issued to Ayna.AI LLC (“Ayna”) at an exercise price per share of $0.01, subject to the provisions and upon the terms and conditions set forth in the Ayna Warrant. At issuance, the fair value of the Ayna Warrant was determined to be $9.2 million, based on the intrinsic value of the Ayna Warrant and the $0.01 per share exercise price. The Ayna Warrant was set to expire on June 17, 2029. The issuance of the Ayna Warrant by the Company was in satisfaction of the compensation for services provided to the Company by Ayna under the terms of a statement of work (“Ayna SOW”), signed May 21, 2024 (and effective as of March 12, 2024), as incorporated into a master services agreement dated March 12, 2024. Under the Ayna SOW, Ayna provided services in connection with the anticipated return of the Company to cash-flow positive performance.</w:t>
      </w:r>
    </w:p>
    <w:p>
      <w:pPr>
        <w:spacing w:after="0" w:line="18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The Ayna Warrant was accounted for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 it met the conditions for equity classification, and therefore, the Ayna Warrant was not subsequently remeasured in future periods. The Company recognized expense of $9.2 million in the year ended December 29, 2024 for the Ayna Warrant.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Ayna Warrant became fully exercisable for the 6,000,000 shares of the Company’s common stock on September 9, 2024. The Ayna Warrant was exercised in full for cash of $0.06 million in January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auto"/>
        </w:rPr>
        <w:t>Cantor warrant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July 2024, the Company issued a warrant (“Cantor Warrant”) to a Cantor Fitzgerald &amp; Co., (“Cantor”) to purchase 3,066,141 shares of the Company’s common stock in exchange for services provided in the issuance of the July 2024 Notes (refer to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The Cantor Warrant was immediately exercisable at a price of $1.68 per share and has an expiration date in July 2029. At issuance, the fair value of the Cantor Warrant was determined to be $1.4 million, of which $0.9 million was recorded as a debt discount and $0.5 million was attributable to the convertible notes issued in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xml:space="preserve"> (as described in </w:t>
      </w:r>
      <w:r>
        <w:rPr>
          <w:rFonts w:ascii="Times New Roman" w:cs="Times New Roman" w:eastAsia="Times New Roman" w:hAnsi="Times New Roman"/>
          <w:sz w:val="18"/>
          <w:szCs w:val="18"/>
          <w:b w:val="1"/>
          <w:bCs w:val="1"/>
          <w:color w:val="auto"/>
        </w:rPr>
        <w:t>Note 10 – Borrowings and Derivative Liabilities)</w:t>
      </w:r>
      <w:r>
        <w:rPr>
          <w:rFonts w:ascii="Times New Roman" w:cs="Times New Roman" w:eastAsia="Times New Roman" w:hAnsi="Times New Roman"/>
          <w:sz w:val="18"/>
          <w:szCs w:val="18"/>
          <w:color w:val="auto"/>
        </w:rPr>
        <w:t xml:space="preserve"> and reduced the gain on the troubled debt restructuring recognized in the Company’s annual consolidated statement of operations and comprehensive loss for fiscal 2024 as described in </w:t>
      </w:r>
      <w:r>
        <w:rPr>
          <w:rFonts w:ascii="Times New Roman" w:cs="Times New Roman" w:eastAsia="Times New Roman" w:hAnsi="Times New Roman"/>
          <w:sz w:val="18"/>
          <w:szCs w:val="18"/>
          <w:b w:val="1"/>
          <w:bCs w:val="1"/>
          <w:color w:val="auto"/>
        </w:rPr>
        <w:t>Note 10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Borrowings and Derivative Liabilities</w:t>
      </w:r>
      <w:r>
        <w:rPr>
          <w:rFonts w:ascii="Times New Roman" w:cs="Times New Roman" w:eastAsia="Times New Roman" w:hAnsi="Times New Roman"/>
          <w:sz w:val="18"/>
          <w:szCs w:val="18"/>
          <w:color w:val="auto"/>
        </w:rPr>
        <w:t>. The fair value of the Cantor Warrant was derived using the Black-Scholes model with the following assumptions: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volatility of 55%; risk-free interest rate of 4.2%; expected term of 5 years; and no dividend yield. The fair value of this warrant is recorded within additional paid-in capital on the Company’s consolidated balance sheets and has not been subsequently remeasured in future periods as it met the conditions for equity classification.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Shares of common stock reserved for future issuance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has reserved shares of common stock for issuance related to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560" w:type="dxa"/>
            <w:vAlign w:val="bottom"/>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25,670,265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31,670,265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3,174,434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2,628,996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19,164,660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11,979,368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RSUs, authorized for future issuance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11,603,508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2,577,895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82,460,428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58,579,636</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purchase price consideration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11,640,506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reserved</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163,183,801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116,906,160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the Company’s common stock may be issued under the 2023 Plan. In addition, the number of shares of the Company’s common stock reserved for issuance under the 2023 Plan automatically increases on January 1 of each year, effective January 1, 2024 through January 1, 2033, in an amount equal to the lesser of (1) 4% of the total number of shares of the Company’s common stock outstanding on December 31 of the preceding year, or</w:t>
      </w:r>
    </w:p>
    <w:p>
      <w:pPr>
        <w:spacing w:after="0" w:line="3" w:lineRule="exact"/>
        <w:rPr>
          <w:sz w:val="20"/>
          <w:szCs w:val="20"/>
          <w:color w:val="auto"/>
        </w:rPr>
      </w:pPr>
    </w:p>
    <w:p>
      <w:pPr>
        <w:jc w:val="both"/>
        <w:ind w:firstLine="8"/>
        <w:spacing w:after="0" w:line="255" w:lineRule="auto"/>
        <w:tabs>
          <w:tab w:leader="none" w:pos="27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lesser number of shares of the Company’s common stock determined by the Company’s Board of Directors prior to the date of the increase. The maximum number of shares of the Company’s common stock that may be issued on the exercise of incentive stock options (“ISOs”) under the 2023 Plan is three times the number of shares available for issuance upon the 2023 Plan becoming effective (or 26,289,966 shares).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1" w:name="page122"/>
    <w:bookmarkEnd w:id="121"/>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awards were granted under the Amended and Restated Complete Solaria Omnibus Incentive Plan (“2022 Plan”), the Complete Solar 2011 Stock Plan (“2011 Plan”), the Solaria Corporation 2016 Stock Plan (“2016 Plan”) and the Solaria Corporation 2006 Stock Plan (“2006 Plan”) (collectively with the 2023 Plan, “the Plans”). Under the Plans, the Company has granted service-based stock options and restricted stock units (“RSUs”). Compensation expense for stock options under the Company’s cliff vesting schedule is generally recognized equally over the vesting period of five years. RSUs granted during the fiscal year ended December 28, 2025 are also generally recognized under the cliff vesting schedule that is recognized equally over the vesting period of five years.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information below summarizes the stock option activity under the Plans.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11,716,646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8.53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6,121,251</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(398,883)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0.77</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(7,441,781)</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29,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9,997,233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1320" w:type="dxa"/>
            <w:vAlign w:val="bottom"/>
            <w:tcBorders>
              <w:top w:val="single" w:sz="8" w:color="CCEEFF"/>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6,356</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Options granted</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(712,467)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0.72</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(4,354,466)</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28, 2025</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32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shd w:val="clear" w:color="auto" w:fill="CCEEFF"/>
          </w:tcPr>
          <w:p>
            <w:pPr>
              <w:spacing w:after="0"/>
              <w:rPr>
                <w:sz w:val="2"/>
                <w:szCs w:val="2"/>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4,930,300</w:t>
            </w:r>
          </w:p>
        </w:tc>
        <w:tc>
          <w:tcPr>
            <w:tcW w:w="14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December 28, 2025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320" w:type="dxa"/>
            <w:vAlign w:val="bottom"/>
            <w:tcBorders>
              <w:top w:val="single" w:sz="8" w:color="CCEEFF"/>
              <w:bottom w:val="single" w:sz="8" w:color="CCEEFF"/>
            </w:tcBorders>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4,930,300</w:t>
            </w:r>
          </w:p>
        </w:tc>
        <w:tc>
          <w:tcPr>
            <w:tcW w:w="2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gridSpan w:val="2"/>
            <w:vMerge w:val="continue"/>
          </w:tcPr>
          <w:p>
            <w:pPr>
              <w:spacing w:after="0"/>
              <w:rPr>
                <w:sz w:val="22"/>
                <w:szCs w:val="22"/>
                <w:color w:val="auto"/>
              </w:rPr>
            </w:pPr>
          </w:p>
        </w:tc>
        <w:tc>
          <w:tcPr>
            <w:tcW w:w="1320" w:type="dxa"/>
            <w:vAlign w:val="bottom"/>
            <w:tcBorders>
              <w:bottom w:val="single" w:sz="8" w:color="CCEEFF"/>
            </w:tcBorders>
            <w:gridSpan w:val="2"/>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Vested and exercisable— December 28,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1,909,809</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5.94</w:t>
            </w:r>
          </w:p>
        </w:tc>
        <w:tc>
          <w:tcPr>
            <w:tcW w:w="1320" w:type="dxa"/>
            <w:vAlign w:val="bottom"/>
            <w:tcBorders>
              <w:bottom w:val="single" w:sz="8" w:color="CCEEFF"/>
            </w:tcBorders>
            <w:gridSpan w:val="2"/>
            <w:shd w:val="clear" w:color="auto" w:fill="CCEEFF"/>
          </w:tcPr>
          <w:p>
            <w:pPr>
              <w:ind w:left="800"/>
              <w:spacing w:after="0" w:line="194" w:lineRule="exact"/>
              <w:rPr>
                <w:sz w:val="20"/>
                <w:szCs w:val="20"/>
                <w:color w:val="auto"/>
              </w:rPr>
            </w:pPr>
            <w:r>
              <w:rPr>
                <w:rFonts w:ascii="Times New Roman" w:cs="Times New Roman" w:eastAsia="Times New Roman" w:hAnsi="Times New Roman"/>
                <w:sz w:val="18"/>
                <w:szCs w:val="18"/>
                <w:color w:val="auto"/>
              </w:rPr>
              <w:t>5.87</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fair value of the Company’s stock options that vested during the fiscal years ended 2025 and 2024 was $0.4 million and $1.9 million, respectively.</w:t>
      </w:r>
    </w:p>
    <w:p>
      <w:pPr>
        <w:sectPr>
          <w:pgSz w:w="11900" w:h="16838" w:orient="portrait"/>
          <w:cols w:equalWidth="0" w:num="1">
            <w:col w:w="11240"/>
          </w:cols>
          <w:pgMar w:left="320" w:top="661"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below summarizes the RSU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 and released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 or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December 29,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 and released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 or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December 28,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3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13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58,097</w:t>
            </w:r>
          </w:p>
        </w:tc>
        <w:tc>
          <w:tcPr>
            <w:tcW w:w="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17"/>
                <w:szCs w:val="17"/>
                <w:color w:val="auto"/>
              </w:rPr>
            </w:pPr>
          </w:p>
        </w:tc>
      </w:tr>
      <w:tr>
        <w:trPr>
          <w:trHeight w:val="216"/>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2,593,097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(669,059)</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r>
      <w:tr>
        <w:trPr>
          <w:trHeight w:val="241"/>
        </w:trPr>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1,982,135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r>
      <w:tr>
        <w:trPr>
          <w:trHeight w:val="198"/>
        </w:trPr>
        <w:tc>
          <w:tcPr>
            <w:tcW w:w="114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22,235,871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1.73</w:t>
            </w:r>
          </w:p>
        </w:tc>
      </w:tr>
      <w:tr>
        <w:trPr>
          <w:trHeight w:val="216"/>
        </w:trPr>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(4,632,212)</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r>
      <w:tr>
        <w:trPr>
          <w:trHeight w:val="241"/>
        </w:trPr>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(5,351,434)</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r>
      <w:tr>
        <w:trPr>
          <w:trHeight w:val="223"/>
        </w:trPr>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14,234,360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r>
      <w:tr>
        <w:trPr>
          <w:trHeight w:val="34"/>
        </w:trPr>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66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aggregate fair value of the Company’s RSUs that vested during the fiscal years ended 2025 and 2024 was $8.1 million and $1.2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estimated the grant-date fair value of stock options using the Black-Scholes-Merton option-pricing model. The determination of the fair value of each stock award using this option-pricing model is affected by the Company’s assumptions regarding a number of complex and subjective variables. These variables include, but are not limited to, the expected stock price volatility over the term of the awards. Stock-based compensation is measured at the grant date based on the fair value of the award and is recognized as expense on a straight-line basis over the requisite service period, which is generally the vesting period of the respective award.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22" w:name="page123"/>
    <w:bookmarkEnd w:id="122"/>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assumptions were used to calculate the fair value of stock-based compensation for the options granted in the fiscal year ended December 29,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6.32</w:t>
            </w:r>
          </w:p>
        </w:tc>
      </w:tr>
      <w:tr>
        <w:trPr>
          <w:trHeight w:val="198"/>
        </w:trPr>
        <w:tc>
          <w:tcPr>
            <w:tcW w:w="5940" w:type="dxa"/>
            <w:vAlign w:val="bottom"/>
          </w:tcPr>
          <w:p>
            <w:pPr>
              <w:spacing w:after="0"/>
              <w:rPr>
                <w:sz w:val="17"/>
                <w:szCs w:val="17"/>
                <w:color w:val="auto"/>
              </w:rPr>
            </w:pPr>
          </w:p>
        </w:tc>
        <w:tc>
          <w:tcPr>
            <w:tcW w:w="5300" w:type="dxa"/>
            <w:vAlign w:val="bottom"/>
            <w:gridSpan w:val="2"/>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58.45% –</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4.71%</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46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Company uses the simplified method to calculate the expected term of stock option grants to employees as the Company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sufficient comparable historical exercise data to provide a reasonable basis upon which to estimate the expected term of stock options granted to employees. The expected term equals the arithmetic average of the vesting term and the original contractual term of the option (generally 10 years).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Due to the Company’s limited operating history and a lack of company specific historical and implied volatility data,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based its estimate of expected volatility on the historical volatility of a group of peer companies that are publicly traded. The historical volatility data was computed using the daily closing prices for the selected companies’ shares during the equivalent period of the calculated expected term of the stock-based awards.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rate assumption is based on U.S. Treasury instruments with maturities similar to the expected term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dividends </w:t>
      </w:r>
      <w:r>
        <w:rPr>
          <w:rFonts w:ascii="Times New Roman" w:cs="Times New Roman" w:eastAsia="Times New Roman" w:hAnsi="Times New Roman"/>
          <w:sz w:val="18"/>
          <w:szCs w:val="18"/>
          <w:color w:val="auto"/>
        </w:rPr>
        <w:t>— The Company has not issued any dividends in its history and does not expect to issue dividends over the life of the options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has estimated the dividend yield to be zero.</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 The fair value of the shares of common stock underlying the stock-based awards is based on the price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in the open market on the date of the grant.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stock-based compensation expense and its allocation within the accompanying consolidated statements of operations and comprehensive loss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4,867</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28, 2025, there was a total of $1.1 million and $23.1 million of unrecognized stock-based compensation costs related to service-based options and RSUs, respectively. Such compensation cost is expected to be recognized over a weighted-average period of approximately 2.4 years and 4.0 years,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2024, the Company’s Board of Directors approved the modification to accelerate the vesting of 788,192 options, for employees that were terminated. Additionally, the Board of Directors approved an extension of the post termination exercise period for 4,343,172 vested options of terminated employees in the fiscal years ended December 29, 2024. In connection with the modifications, the Company recorded incremental stock-based compensation expense of $0.7 million in the fiscal year ended December 29,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(16) Basic and Diluted Net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two-class method to calculate net loss per share. No dividends were declared or paid in the fiscal years ended December 28, 2025, or December 29, 2024.</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sets forth the computation of the Company’s basic and diluted net loss per share attributable to common stockholders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except share and per share amounts)</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tcBorders>
              <w:top w:val="single" w:sz="8" w:color="auto"/>
            </w:tcBorders>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 for basic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(44,254)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Numerator for diluted loss per share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of September 2024 Notes derivative liability and interest expense, net of tax</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(35,886)</w:t>
            </w: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(45,354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(92,337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 for basic loss per share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87,108,928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66,655,837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2024 Notes derivative liability</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9,137,711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Denominator for diluted loss per share</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87,108,928</w:t>
            </w:r>
          </w:p>
        </w:tc>
        <w:tc>
          <w:tcPr>
            <w:tcW w:w="200" w:type="dxa"/>
            <w:vAlign w:val="bottom"/>
          </w:tcPr>
          <w:p>
            <w:pPr>
              <w:spacing w:after="0"/>
              <w:rPr>
                <w:sz w:val="24"/>
                <w:szCs w:val="24"/>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75,793,548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(0.51)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(0.51)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computation of basic net loss per share attributable to common stockholders is inclusive of warrants with an insignificant exercise price and the minimum number of shares to be issued in connection with the deferred consideration related to the Ambia acquisition. The Company’s calculation of the weighted average shares outstanding with an insignificant exercise price was 234,610 and 3,427,324 warrants (which assumes that the warrants were outstanding as of the beginning of the period or the date of the grant, whichever is earlier) for the fiscal years ended December 28, 2025, and December 29, 2024, respectively. The computation of diluted net loss per share attributable to common stockholders is inclusive of the impact of the Company’s September 2024 Notes (which were dilutive) using the if-converted method for the year ended December 29,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4" w:name="page125"/>
    <w:bookmarkEnd w:id="124"/>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outstanding that were excluded from the computation of diluted net loss per share of common stock as of the periods presented because including them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07"/>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25,434,069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82,460,428</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27,364,717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8,084,064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11,979,368</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SAFE Agreement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2,750,000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consideration shares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11,640,506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Potential common shares excluded from diluted net loss per share</w:t>
            </w: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105,153,845</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64,778,154</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8"/>
          </w:tcPr>
          <w:p>
            <w:pPr>
              <w:ind w:left="1020"/>
              <w:spacing w:after="0"/>
              <w:rPr>
                <w:sz w:val="20"/>
                <w:szCs w:val="20"/>
                <w:color w:val="auto"/>
              </w:rPr>
            </w:pPr>
            <w:r>
              <w:rPr>
                <w:rFonts w:ascii="Times New Roman" w:cs="Times New Roman" w:eastAsia="Times New Roman" w:hAnsi="Times New Roman"/>
                <w:sz w:val="18"/>
                <w:szCs w:val="18"/>
                <w:b w:val="1"/>
                <w:bCs w:val="1"/>
                <w:color w:val="auto"/>
                <w:w w:val="99"/>
              </w:rPr>
              <w:t>Fiscal Year Ended December 28, 2025</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Residential</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Solar</w:t>
            </w:r>
          </w:p>
        </w:tc>
        <w:tc>
          <w:tcPr>
            <w:tcW w:w="1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New Homes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21"/>
                <w:szCs w:val="21"/>
                <w:color w:val="auto"/>
              </w:rPr>
            </w:pPr>
          </w:p>
        </w:tc>
        <w:tc>
          <w:tcPr>
            <w:tcW w:w="12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60" w:type="dxa"/>
            <w:vAlign w:val="bottom"/>
          </w:tcPr>
          <w:p>
            <w:pPr>
              <w:spacing w:after="0"/>
              <w:rPr>
                <w:sz w:val="21"/>
                <w:szCs w:val="21"/>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160" w:type="dxa"/>
            <w:vAlign w:val="bottom"/>
          </w:tcPr>
          <w:p>
            <w:pPr>
              <w:spacing w:after="0"/>
              <w:rPr>
                <w:sz w:val="21"/>
                <w:szCs w:val="21"/>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Dealer</w:t>
            </w:r>
          </w:p>
        </w:tc>
        <w:tc>
          <w:tcPr>
            <w:tcW w:w="200" w:type="dxa"/>
            <w:vAlign w:val="bottom"/>
          </w:tcPr>
          <w:p>
            <w:pPr>
              <w:spacing w:after="0"/>
              <w:rPr>
                <w:sz w:val="21"/>
                <w:szCs w:val="21"/>
                <w:color w:val="auto"/>
              </w:rPr>
            </w:pPr>
          </w:p>
        </w:tc>
        <w:tc>
          <w:tcPr>
            <w:tcW w:w="10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160,987</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124,595</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88,400</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82,288</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26,298</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25,154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98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58,597</w:t>
            </w:r>
          </w:p>
        </w:tc>
        <w:tc>
          <w:tcPr>
            <w:tcW w:w="160" w:type="dxa"/>
            <w:vAlign w:val="bottom"/>
            <w:shd w:val="clear" w:color="auto" w:fill="CCEEFF"/>
          </w:tcPr>
          <w:p>
            <w:pPr>
              <w:spacing w:after="0"/>
              <w:rPr>
                <w:sz w:val="24"/>
                <w:szCs w:val="24"/>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29,648</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1,859</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Segment operating income (loss)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(37,462</w:t>
            </w:r>
          </w:p>
        </w:tc>
        <w:tc>
          <w:tcPr>
            <w:tcW w:w="2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4,374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6,157</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(26,931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61" w:right="339" w:bottom="1440" w:gutter="0" w:footer="0" w:header="0"/>
        </w:sectPr>
      </w:pPr>
    </w:p>
    <w:p>
      <w:pPr>
        <w:ind w:left="180" w:right="3900" w:hanging="161"/>
        <w:spacing w:after="0" w:line="250" w:lineRule="auto"/>
        <w:rPr>
          <w:sz w:val="20"/>
          <w:szCs w:val="20"/>
          <w:color w:val="auto"/>
        </w:rPr>
      </w:pPr>
      <w:r>
        <w:rPr>
          <w:rFonts w:ascii="Times New Roman" w:cs="Times New Roman" w:eastAsia="Times New Roman" w:hAnsi="Times New Roman"/>
          <w:sz w:val="18"/>
          <w:szCs w:val="18"/>
          <w:i w:val="1"/>
          <w:iCs w:val="1"/>
          <w:color w:val="auto"/>
        </w:rPr>
        <w:t>Reconciliation of segment income (loss) from continuing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Unallocated amounts: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non-operating income, net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continuing operations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(25,095)</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9,347</w:t>
      </w:r>
    </w:p>
    <w:p>
      <w:pPr>
        <w:spacing w:after="0" w:line="45" w:lineRule="exact"/>
        <w:rPr>
          <w:sz w:val="20"/>
          <w:szCs w:val="20"/>
          <w:color w:val="auto"/>
        </w:rPr>
      </w:pPr>
    </w:p>
    <w:p>
      <w:pPr>
        <w:ind w:left="560" w:hanging="555"/>
        <w:spacing w:after="0"/>
        <w:tabs>
          <w:tab w:leader="none" w:pos="5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0294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661" w:right="339" w:bottom="1440" w:gutter="0" w:footer="0" w:header="0"/>
          <w:type w:val="continuous"/>
        </w:sectPr>
      </w:pPr>
    </w:p>
    <w:p>
      <w:pPr>
        <w:spacing w:after="0" w:line="7"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For the year ended December 28, 2025, depreciation and amortization expense was as follows</w:t>
      </w:r>
    </w:p>
    <w:p>
      <w:pPr>
        <w:sectPr>
          <w:pgSz w:w="11900" w:h="16838" w:orient="portrait"/>
          <w:cols w:equalWidth="0" w:num="1">
            <w:col w:w="11240"/>
          </w:cols>
          <w:pgMar w:left="320" w:top="6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71157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71157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classified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Residential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Solar</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New Homes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5"/>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Dealer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27"/>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661"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0" w:type="dxa"/>
            <w:vAlign w:val="bottom"/>
            <w:gridSpan w:val="8"/>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Fiscal Year Ended December 29, 2024</w:t>
            </w: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281"/>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Residential</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Solar</w:t>
            </w:r>
          </w:p>
        </w:tc>
        <w:tc>
          <w:tcPr>
            <w:tcW w:w="100" w:type="dxa"/>
            <w:vAlign w:val="bottom"/>
          </w:tcPr>
          <w:p>
            <w:pPr>
              <w:spacing w:after="0"/>
              <w:rPr>
                <w:sz w:val="18"/>
                <w:szCs w:val="18"/>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8"/>
              </w:rPr>
              <w:t>New Homes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1"/>
                <w:szCs w:val="21"/>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00" w:type="dxa"/>
            <w:vAlign w:val="bottom"/>
          </w:tcPr>
          <w:p>
            <w:pPr>
              <w:spacing w:after="0"/>
              <w:rPr>
                <w:sz w:val="21"/>
                <w:szCs w:val="21"/>
                <w:color w:val="auto"/>
              </w:rPr>
            </w:pPr>
          </w:p>
        </w:tc>
        <w:tc>
          <w:tcPr>
            <w:tcW w:w="12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220" w:type="dxa"/>
            <w:vAlign w:val="bottom"/>
          </w:tcPr>
          <w:p>
            <w:pPr>
              <w:spacing w:after="0"/>
              <w:rPr>
                <w:sz w:val="21"/>
                <w:szCs w:val="21"/>
                <w:color w:val="auto"/>
              </w:rPr>
            </w:pPr>
          </w:p>
        </w:tc>
        <w:tc>
          <w:tcPr>
            <w:tcW w:w="10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45,266</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23,974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23,388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0"/>
        </w:trPr>
        <w:tc>
          <w:tcPr>
            <w:tcW w:w="732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57,641</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18,953</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10"/>
        </w:trPr>
        <w:tc>
          <w:tcPr>
            <w:tcW w:w="73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Segment operating (loss)</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(65,662</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(68,509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71" w:right="339" w:bottom="1440" w:gutter="0" w:footer="0" w:header="0"/>
        </w:sectPr>
      </w:pPr>
    </w:p>
    <w:p>
      <w:pPr>
        <w:spacing w:after="0"/>
        <w:rPr>
          <w:sz w:val="20"/>
          <w:szCs w:val="20"/>
          <w:color w:val="auto"/>
        </w:rPr>
      </w:pPr>
      <w:r>
        <w:rPr>
          <w:rFonts w:ascii="Times New Roman" w:cs="Times New Roman" w:eastAsia="Times New Roman" w:hAnsi="Times New Roman"/>
          <w:sz w:val="17"/>
          <w:szCs w:val="17"/>
          <w:i w:val="1"/>
          <w:iCs w:val="1"/>
          <w:color w:val="auto"/>
        </w:rPr>
        <w:t>Reconciliation of segment loss from continuing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Unallocated amounts: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non-operating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Gain on troubled debt restructuring</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from continuing operations before taxes</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(16,223)</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19</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7,932</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22,337</w:t>
      </w:r>
    </w:p>
    <w:p>
      <w:pPr>
        <w:spacing w:after="0" w:line="45" w:lineRule="exact"/>
        <w:rPr>
          <w:sz w:val="20"/>
          <w:szCs w:val="20"/>
          <w:color w:val="auto"/>
        </w:rPr>
      </w:pPr>
    </w:p>
    <w:p>
      <w:pPr>
        <w:ind w:left="560" w:hanging="555"/>
        <w:spacing w:after="0"/>
        <w:tabs>
          <w:tab w:leader="none" w:pos="5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0294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51435</wp:posOffset>
            </wp:positionV>
            <wp:extent cx="70294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671" w:right="339" w:bottom="1440" w:gutter="0" w:footer="0" w:header="0"/>
          <w:type w:val="continuous"/>
        </w:sectPr>
      </w:pPr>
    </w:p>
    <w:p>
      <w:pPr>
        <w:spacing w:after="0" w:line="106" w:lineRule="exact"/>
        <w:rPr>
          <w:sz w:val="20"/>
          <w:szCs w:val="20"/>
          <w:color w:val="auto"/>
        </w:rPr>
      </w:pPr>
    </w:p>
    <w:p>
      <w:pPr>
        <w:ind w:left="340" w:hanging="332"/>
        <w:spacing w:after="0" w:line="195"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year ended December 29, 2024, depreciation and amortization expense was $2.6 million and $0.1 million for the Residential Solar Installation and New Homes Business reportable segments, respectively.</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General corporate expense represents costs primarily legacy costs that were not expected to be ongoing subsequent to the acquisition of the SunPower Businesses.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recast its general and administrative expenses within results of operations by reportable segment for the fiscal year ended December 29, 2024 to conform to the fiscal 2025 presentation. In fiscal 2024, the Company allocated those costs which were specifically associated with the specific reportable segment with the remainder being presented as unallocated. Beginning in fiscal 2025, the Company changed its method to an allocation of general and administrative costs based upon relative revenue of each reportable segment consistent with the presentation of fiscal 2025 results segment results of operations.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Employee Benefit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sponsors a 401(k) defined contribution and profit-sharing plan (“401(k) Plan”) for its eligible employees. This 401(k) Plan provides for tax-deferred salary deductions for all eligible employees. Employee contributions are voluntary. Employees may contribute the maximum amount allowed by law, as limited by the annual maximum amount as determined by the Internal Revenue Service. The Company may match employee contributions in amounts to be determined at the Company’s sole discretion. The Company made no contributions to the 401(k) Plan for the fiscal years ended December 28, 2025 and December 29,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Refer to the consolidated financial statements and the following notes to the consolidated financial statements for details and disclosures relating to related party transactions entered into by the Company; </w:t>
      </w:r>
      <w:r>
        <w:rPr>
          <w:rFonts w:ascii="Times New Roman" w:cs="Times New Roman" w:eastAsia="Times New Roman" w:hAnsi="Times New Roman"/>
          <w:sz w:val="18"/>
          <w:szCs w:val="18"/>
          <w:b w:val="1"/>
          <w:bCs w:val="1"/>
          <w:color w:val="auto"/>
        </w:rPr>
        <w:t>Note 2 – Basis of Presentation and Summary of Significant Accounting Policies; Note 6 –</w:t>
      </w: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Supplemental Balance Sheet Information; Note 8 – Forward Purchase Agreements, Note 9 – SAFE Agreements, Note 10 – Borrowings and Derivative Liabilities,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Note 11 – Other Non-Operating Income, Net</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White Lion SPA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11, 2026, the Company and White Lion entered into Amendment No. 3 (“Amendment No. 3”) to the White Lion SPA. Amendment No. 3 extends the commitment period under the White Lion SPA (the “Commitment Period”) to the earlier of December 31,2027 and the date on which White Lion has purchased an aggregate number of shares of the Company’s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White Lion SPA, from time to time in the Company’s sole discretion, during the Commitment Period.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Amendment No. 3 adds an option for the Company to submit three hour rapid purchase notices to White Lion that, if accepted by White Lion and otherwise delivered in accordance with the Purchase Agreement, would enable the Company to sell shares of its common stock to White Lion based on the lowest traded price of the Company’s common stock during the three-hour valuation period following White Lion’s written acceptance of a three hour purchase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 Convertible Note; Convertible Debenture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27, 2026 (the “Effective Date”), SunPower entered into a Standby Equity Purchase Agreement (the “SEPA”) with YA II PN, LTD., a Cayman Islands exempt limited company (the “Investor”). Pursuant to the SEPA, the Investor will advance up to $20.0 million to the Company in the form of a promissory note (“Promissory Note”). Promissory Notes will accrue interest on the outstanding principal balance at an annual rate equal to 0%, which will increase to an annual rate of 18% upon the occurrence of an Event of Default (as defined in the Promissory Notes) for so long as such event remains uncured. The Promissory Notes will mature on January 27, 2027, which may be extended at the option of the Investor. The Promissory Notes are convertible into shares of the Company’s common stock. Each tranche of a Promissory Note will be advanced less a discount in the amount equal to 10% of the principal amount of such tranche. The first tranche was disbursed on January 27, 2026 in the principal amount of $1.9 million.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SEPA the Company will have the right, from time to time, until January 27, 2029 (unless the SEPA is terminated earlier), to require the Investor to purchase up to $25.0 million of shares of the Company’s common stock (“Commitment Amount”) subject to certain limitations and conditions set forth in the SEPA.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paid the Investor a structuring and due diligence fee of $0.05 million and agreed to issue to the Investor 175,000 shares of the Company’s common stock within three days of the Effective Date as a commitment fee.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SEPA will automatically terminate on the earliest to occur of (i) January 27, 2029 or (ii) the date on which the Investor has purchased from the Company under the SEPA the Commitment Amount in full. The Company may terminate the SEPA at any time upon five trading days’ prior written notice to the Investor, provided that there are no outstanding advance notices under which the Company is yet to issue shares of its common stock, there are no amounts outstanding under the Promissory Notes, and provided that the Company has paid all amounts owed to the Investor pursuant to the SEPA. The Company and the Investor may also agree to terminate the SEPA by mutual written consent.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6, 2026 the Company entered into a further Purchase Agreement pursuant to which the Investor purchased and the Company issued a convertible debenture in the principal amount of $10.0 million (the “Debenture”). At the closing under such purchase agreement, the Company issued the Debenture to the Investor in the original principal amount of $10.0 million for a purchase price of $9.0 million less certain fees payable under the purchase agreement. The Debenture accrues interest on the outstanding principal balance at an annual rate equal to 0%, which will increase to an annual rate of 18% upon the occurrence of an event of default under the Debenture for so long as such event remains uncured. The Debenture will mature on March 6, 2027, which may be extended at the option of the Investor.</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each of May 6, 2026, June 6, 2026, July 6, 2026, August 6, 2026 and September 6, 2026 (each an “Installment Date”), the Company is required to pay an installment amount under the Debenture equal to (i) $2.0 million, plus (ii) a $0.06 million payment premium, and plus (iii) any accrued and unpaid interest (collectively, the “Installment Amount”). The Company may repay each applicable Installment Amount, at the Company’s option, (a) in cash on or before the applicable Installment Date or (b) by submitting an advance notice under the SEPA, or a combination of a payment in cash and delivery of such advance notice. At any time after the Effective Date, the Investor may convert any portion of the outstanding balance under the Debenture into shares of the Company’s common stock at a fixed price of $2.50 per share (the “Fixed Price”). Additionally, at any time on or after any Installment Date, the Investor may convert any portion of any due and unpaid Installment Amount outstanding under the Debenture into shares of the Company’s common stock at a price equal to 95% of the volume weighted average price (“VWAP”) of the common stock during the five trading days prior to the conversion date (but the conversion price will not be lower than the “Floor Price” then in effect.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at its option, shall have the right to redeem early all or a portion of the amounts outstanding under the Debenture upon written notice to the Investor (an “Optional Redemption”), provided, that the Company may only deliver a notice of Optional Redemption if the VWAP of the Common Stock at the time the notice is delivered is less than the Fixed Price. In connection with an Optional Redemption, the redemption price payable by the Company will be equal to (i) the outstanding principal amount of the Debenture being redeemed, plus (ii) a payment premium equal to 3% of the principal amount being repaid, and plus (iii) accrued and unpaid interest under the Debenture; however, the prepayment premium shall not apply to any Optional Redemption of the Debenture if the redemption price is paid on or before April 30, 2026.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i w:val="1"/>
          <w:iCs w:val="1"/>
          <w:color w:val="auto"/>
        </w:rPr>
        <w:t>12.0% Convertible Promissory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a deposit of $2.0 million from the Rodgers Revocable Trust, a related party, in the fiscal year ended December 28, 2025. In January 2026, the Company received an additional $1.3 million in proceeds from the Rodgers Revocable Trust. On January 29, 2026, the Company issued a convertible promissory note in the original principal amount of $3.3 million (the “January 2026 Note”) with respect to the aggregate proceeds received.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January 2026 Note bears an interest rate of 12.0% and is a general unsecured obligation of the Company. The January 2026 Note will mature on July 1, 2029, unless earlier converted, redeemed or repurchased. Interest on the January 2026 Note is payable semiannually in arrears on January1 and July 1 of each year, beginning on July 1, 2026. The January 2026 Note is convertible at the option of the holder at any time prior to the payment of the principal amount of the January 2026 Note in full. The conversion rate of the January 2026 Note is initially equal to 540.5405 shares of the Company’s common stock per $1,000 of principal amount due under the January 2026 Note. The conversion rate is subject to adjustment from time to time pursuant to the terms of the January 2026 Note.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Cobalt Power Systems,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30, 2026, the Company entered into a share purchase agreement (“Share Purchase Agreement”) with Cobalt Power Systems, Inc., a California corporation (“Cobalt”) and its stockholders to acquire all of the outstanding stock of Cobalt (“Cobalt Acquisition”). The Company completed the Cobalt Acquisition on February 2, 2026 (“Cobalt Closing”) for (a) 1.8 million shares of the Company’s common stock issued at the Cobalt Closing and (ii) an agreement to issue an additional $3.33 million shares of the Company’s common stock on each of the 12-month and 18-month anniversaries of the Cobalt Closing. Additionally, the Company agreed to issue up to $2.0 million of restricted stock units to those Cobalt employees who continue their employment with the Company following the Cobalt Closing, and 850,000 restricted stock units will be issued as inducement grants to certain Cobalt key employees. Cobalt designs and installs solar systems. The initial accounting for the business combination is incomplete as a result of the timing of the acquisition.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Seller Note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5, 2026, the Company entered into an amendment of the Seller Note (“Amendment”) that if the SEPA Debenture restricts repayment of the Seller Note on May 15, 2026, then the maturity date of the Seller Note will be extended to the earlier of (a) the date that is two business days following the date on which the Seller Note may be repaid pursuant to the restrictions set forth in the SEPA Debenture and (b) September 30, 2026 (or, if the registration statement required to be filed pursuant to the Registration Rights Agreement has not been declared effective prior to April 30, 2026, then the outside maturity date will extend to December 31, 2026). Additionally, the Company and the Member agreed that the interest rate applicable to the Seller Note will increase to 10.0% per annum if the principal amount of the Seller Note remains outstanding after May 15, 2026. As an inducement to the Member’s agreement to the foregoing,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the Member pursuant to the Sunder MIPA. On April 8, 2026, the Company issued the remaining shares due under the Seller Note, 6.7 million shares of its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Deposit by a Related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received a deposit of $5.0 million (“Purchase Amount”) from the Rodgers Revocable Trust on March 27, 2026. On April 8, 2026, the Company entered into a SAFE with the Rodgers Revocable Trust in exchange for the $5.0 million received. The SAFE is automatically convertible into equity securities of the Company in an amount equal to the Purchase Amount divided by the applicable price per share, unit or other increment of the equity securities issued by the Company in its next equity financing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September 2024 Notes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December 28, 2025, $2.8 million of the September 2024 Notes were converted by holders into 1.6 million shares of common stock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(“Disclosure Controls”) within the meaning of Rules 13a-15(e) and 15d-15(e) of the Securities Exchange Act of 1934, as amended, (the “Exchange Act”). Our Disclosure Controls are designed to ensure that information required to be disclosed by us in the reports we file or submit under the Exchange Act, such as this Annual Report on Form 10-K, is recorded, processed, summarized and reported within the time periods specified in the Securities and Exchange Commission’s rules and forms. Our Disclosure Controls are also designed to ensure that such information is accumulated and communicated to our management, including our Chief Executive Officer and Chief Financial Officer, as appropriate, to allow timely decisions regarding required disclosure. In designing and evaluating our Disclosure Controls, management recognizes that any controls and procedures, no matter how well designed and operated, can provide only reasonable assurance of achieving the desired control objectives, and management necessarily applied its judgment in evaluating and implementing possible controls and procedures.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we evaluated the effectiveness of the design and operation of our Disclosure Controls, which was done under the supervision and with the participation of our management, including our Chief Executive Officer and our Chief Financial Officer. Based on the evaluation of our Disclosure Controls, our Chief Executive Officer and Chief Financial Officer have concluded that, as of December 28, 2025, our Disclosure Controls were not effective due to material weaknesses in the Company’s internal control over financial reporting as disclosed below in the remainder of this Item 9A.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expect that our Disclosure Controls will prevent all errors and all instances of fraud. Disclosure Controls, no matter how well conceived and operated, can provide only reasonable, not absolute, assurance that the objectives of the Disclosure Controls are met. Further, the design of Disclosure Controls must reflect the fact that there are resource constraints, and the benefits must be considered relative to their costs. Because of the inherent limitations in all Disclosure Controls, no evaluation of Disclosure Controls can provide absolute assurance that we have detected all of our control deficiencies and instances of fraud, if any. The design of Disclosure Controls also is based partly on certain assumptions about the likelihood of future events, and there can be no assurance that any design will succeed in achieving its stated goals under all potential future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Controls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the responsibility of the Company’s management including our Chief Executive Officer and Chief Financial Officer to establish and maintain adequate internal control over financial reporting (as defined in Rule 13a-15(f) under the Exchange Act).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9" w:name="page130"/>
    <w:bookmarkEnd w:id="12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Management has performed an assessment of the effectiveness of our internal control over financial reporting as of December 28, 2025 based upon criteria set forth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Based on this assessment, management determined that our internal control over financial reporting was ineffective as of December 28, 2025, because of the material weaknesses described below.</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24, 2025, we completed the acquisition of Sunder Energy LLC (“Sunder”) and on November 21, 2025, we completed the acquisition of Ambia Energy LLC (“Ambia”). As permitted by Securities and Exchange Commission guidance, management elected to exclude these acquisitions from its assessment of internal control over financial reporting as of December 28, 2025. Because the Company reported a loss for the year, percentage comparisons to continuing loss from operations are not meaningful. As of and for the fiscal year ended December 28, 2025, Sunder assets (excluding goodwill and intangibles) accounted for 6% of our consolidated total assets and 5% of our consolidated revenues. Sunder’s operating income was $6.2 million compared to our consolidated operating loss of $26.9 million. As of and for the fiscal year ended December 28, 2025, Ambia assets (excluding goodwill and intangibles) accounted for 5% of our consolidated total assets and 2% of our consolidated revenues. Ambia’s operating loss was $2.7 million compared to our consolidated operating loss of $26.9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Identified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and audit of our financial statements for the year ended December 28, 2025, our management identified material weaknesses in our internal control over financial reporting. A material weakness is a deficiency, or a combination of deficiencies, in internal control over financial reporting, such that a reasonable possibility exists that a material misstatement of annual or interim financial statements would not be prevented or detected on a timely basis. The material weaknesses are as follows: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did not maintain controls to execute the criteria established in the COSO Framework for (i) the control environment, (ii) control activities, (iii) information and communication, and (iv) monitoring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control deficiencies identified below constitute a material weakness, either individually or in the aggregate.</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Control Environment. </w:t>
      </w:r>
      <w:r>
        <w:rPr>
          <w:rFonts w:ascii="Times New Roman" w:cs="Times New Roman" w:eastAsia="Times New Roman" w:hAnsi="Times New Roman"/>
          <w:sz w:val="18"/>
          <w:szCs w:val="18"/>
          <w:color w:val="auto"/>
        </w:rPr>
        <w:t>Our Company did not maintain an effective control environment and identified the following material weakness: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lacked appropriate policies and resources to develop and operate effective internal control over financial reporting and a lack of appropriate and consistent IT policies given the significant volume of financially relevant IT changes, which contributed to our Company’s inability to properly analyze, record and disclose accounting matters timely and accurately.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xml:space="preserve">Control Activities. </w:t>
      </w:r>
      <w:r>
        <w:rPr>
          <w:rFonts w:ascii="Times New Roman" w:cs="Times New Roman" w:eastAsia="Times New Roman" w:hAnsi="Times New Roman"/>
          <w:sz w:val="18"/>
          <w:szCs w:val="18"/>
          <w:color w:val="auto"/>
        </w:rPr>
        <w:t>Our Company did not design and implement effective control activities and identified the following material weakness:</w:t>
      </w:r>
    </w:p>
    <w:p>
      <w:pPr>
        <w:spacing w:after="0" w:line="227" w:lineRule="exact"/>
        <w:rPr>
          <w:sz w:val="20"/>
          <w:szCs w:val="20"/>
          <w:color w:val="auto"/>
        </w:rPr>
      </w:pPr>
    </w:p>
    <w:p>
      <w:pPr>
        <w:ind w:left="980" w:right="20" w:hanging="324"/>
        <w:spacing w:after="0" w:line="282"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design and operation of certain control activities due to significant personnel changes throughout 2025. Control deficiencies, which aggregate to a material weakness, occurred within substantially all areas of financial reporting.</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Information and Communication. </w:t>
      </w:r>
      <w:r>
        <w:rPr>
          <w:rFonts w:ascii="Times New Roman" w:cs="Times New Roman" w:eastAsia="Times New Roman" w:hAnsi="Times New Roman"/>
          <w:sz w:val="18"/>
          <w:szCs w:val="18"/>
          <w:color w:val="auto"/>
        </w:rPr>
        <w:t>Our Company did not design and implement effective information and communication activities and 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material weaknesses:</w:t>
      </w:r>
    </w:p>
    <w:p>
      <w:pPr>
        <w:spacing w:after="0" w:line="160" w:lineRule="exact"/>
        <w:rPr>
          <w:sz w:val="20"/>
          <w:szCs w:val="20"/>
          <w:color w:val="auto"/>
        </w:rPr>
      </w:pPr>
    </w:p>
    <w:p>
      <w:pPr>
        <w:jc w:val="both"/>
        <w:ind w:left="980" w:hanging="324"/>
        <w:spacing w:after="0" w:line="258"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 did not design and maintain effective general information technology controls over logical access and program change management for our key information systems used to support the financial reporting process. Specifically, management did not maintain effective controls to ensure proper segregation of duties related to user administration and other privileged access functions and in implementing program changes in information systems. Due to the pervasive nature of these deficiencies, business process controls that are dependent upon information from these systems were also not effective.</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 did not have adequate processes and controls for communicating information among the accounting, finance, operations, and legal departments, necessary to support the proper functioning of internal controls.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0" w:name="page131"/>
    <w:bookmarkEnd w:id="130"/>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Monitoring Activities. </w:t>
      </w:r>
      <w:r>
        <w:rPr>
          <w:rFonts w:ascii="Times New Roman" w:cs="Times New Roman" w:eastAsia="Times New Roman" w:hAnsi="Times New Roman"/>
          <w:sz w:val="18"/>
          <w:szCs w:val="18"/>
          <w:color w:val="auto"/>
        </w:rPr>
        <w:t>Our Company did not design and implement effective monitoring activities and identified the following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weaknesses: (i) failure to adequately monitor compliance with accounting policies, procedures and controls related to substantially all areas of financial reporting; and (ii) failure to properly select, develop and perform ongoing evaluations of the components of internal controls (including the monitoring of service providers’ control environments).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Correction of Accounting Errors; Restatement of 2025 Quarterly Financial Statements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material weaknesses described in the paragraphs above contributed to material accounting errors identified and corrected during the audit of our financial statements. Additionally, in connection with the preparation of our audited financial statements for the year ended December, 28, 2025, we identified material errors to our interim results for the thirteen weeks ended March 30, 2025, the thirteen and twenty-six weeks ended June 29, 2025, and the thirteen and thirty-nine weeks ended September 28, 2025 (the “Prior Periods”) and we determined that the Prior Periods included in our Quarterly Reports on Form 10-Q for the quarters ended March 30, 2025, June 29, 2025, and September 28, 2025 (the “Prior Filings”) should no longer be relied upon and should be restated. The Company has determined that material weaknesses in its internal control over financial reporting resulted in misstatements across multiple financial statement line items. As a result, the Company will restate the financial statements included in the Prior Filings. If we fail to adequately remediate these material weaknesses, there could be material misstatements that may not be prevented or detected.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Plan and Status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Company is committed to remediating the material weaknesses identified above, fostering continuous improvement in internal controls and enhancing the effectiveness of our overall internal control environment. Since identifying the above material weaknesses, we have begun the process of implementing the remediation activities described below. We believe that these activities, when fully implemented, should remediate the identified material weaknesses and strengthen our internal control over financial reporting. These remediation efforts remain ongoing, and additional remediation initiatives may be necessary.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cannot be considered completely remediated until the applicable controls have operated for a sufficient period of time such that management can conclude, through testing, that the controls are operating effectively. If not remediated, material weaknesses or control deficiencies could result in material misstatements.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Accordingly, as management continues to monitor the effectiveness of our internal control over financial reporting, we will continue to perform additional procedures prescribed by management, including the use of certain manual mitigating control procedures and the employment of additional tools and resources deemed necessary, to ensure that our future consolidated financial statements are fairly stated in all material respects. The following planned remediation activities highlight our commitment to remediating the identified material weaknesses:</w:t>
      </w:r>
    </w:p>
    <w:p>
      <w:pPr>
        <w:spacing w:after="0" w:line="180" w:lineRule="exact"/>
        <w:rPr>
          <w:sz w:val="20"/>
          <w:szCs w:val="20"/>
          <w:color w:val="auto"/>
        </w:rPr>
      </w:pPr>
    </w:p>
    <w:p>
      <w:pPr>
        <w:jc w:val="both"/>
        <w:ind w:left="980" w:hanging="324"/>
        <w:spacing w:after="0" w:line="266"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finance and accounting professionals with the appropriate level of experience and training necessary to develop, maintain and improve our accounting policies, procedures and internal controls, utilize third-party consultants and internal audit professionals to enhance the control environment, and continue to hire other qualified finance and accounting professionals.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continue to provide, training for employees regarding their responsibilities related to the performance or oversight of internal controls.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 the importance of communication between the operations, accounting, and legal departments regarding key terms of, and changes or modifications to, customer, debt, equity, legal and other contracts by establishing controls requiring finance department approval of certain non-standard terms and agreements.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the implementation of a process to reevaluate, revise and improve our Sarbanes-Oxley compliance program, including governance, risk assessment, testing methodologies and corrective action. We plan to enhance our risk assessment procedures and conduct a comprehensive risk assessment.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continue to develop, internal control documentation over financial processes and related disclosures. We plan to continue to design and implement control activities to mitigate risks identified and test the operating effectiveness of such controls.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not able to maintain effective internal control over financial reporting and Disclosure Controls,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our annual and quarterly reports under the Exchange Act, restatements of financial statements or other corrective disclosures, an inability to access commercial lending markets, defaults under our credit agreements and other agreements, or other material adverse effects on our business, reputation, results of operations, financial condition or liquidity.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Registered Public Accounting Firm</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This Annual Report on Form 10-K does not include an attestation report of the Company’s registered public accounting firm due to the Company’s status as a non-accelerated filer and an EGC and is exempted from the auditor attestation requirement of Section 404(b) of the Sarbanes-Oxley Act.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the material weaknesses and remediation efforts described above, there were no changes in our internal control over financial reporting during the fourth quarter that have materially affected, would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adopted an Insider Trading Policy that applies to all Directors, officers and employees, a copy of which is included as Exhibit 19.1 to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28, 2025, none of our Directors or officers (as defined in Rule 16a-1(f) under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Directors and their ages as of April 14, 2026 are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Thurman J. Rodgers</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 CEO, Director</w:t>
            </w:r>
          </w:p>
        </w:tc>
        <w:tc>
          <w:tcPr>
            <w:tcW w:w="3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Antonio R. Alvarez</w:t>
            </w:r>
          </w:p>
        </w:tc>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Anderson</w:t>
            </w:r>
          </w:p>
        </w:tc>
        <w:tc>
          <w:tcPr>
            <w:tcW w:w="2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57"/>
        </w:trPr>
        <w:tc>
          <w:tcPr>
            <w:tcW w:w="33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Adam Gishen </w:t>
            </w:r>
            <w:r>
              <w:rPr>
                <w:rFonts w:ascii="Times New Roman" w:cs="Times New Roman" w:eastAsia="Times New Roman" w:hAnsi="Times New Roman"/>
                <w:sz w:val="29"/>
                <w:szCs w:val="29"/>
                <w:color w:val="auto"/>
                <w:vertAlign w:val="superscript"/>
              </w:rPr>
              <w:t>(1) (3)</w:t>
            </w:r>
          </w:p>
        </w:tc>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Lundell</w:t>
            </w:r>
          </w:p>
        </w:tc>
        <w:tc>
          <w:tcPr>
            <w:tcW w:w="2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257"/>
        </w:trPr>
        <w:tc>
          <w:tcPr>
            <w:tcW w:w="33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Lothar Maier </w:t>
            </w:r>
            <w:r>
              <w:rPr>
                <w:rFonts w:ascii="Times New Roman" w:cs="Times New Roman" w:eastAsia="Times New Roman" w:hAnsi="Times New Roman"/>
                <w:sz w:val="29"/>
                <w:szCs w:val="29"/>
                <w:color w:val="auto"/>
                <w:vertAlign w:val="superscript"/>
              </w:rPr>
              <w:t>(1) (2)</w:t>
            </w:r>
          </w:p>
        </w:tc>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Daniel McCranie</w:t>
            </w:r>
          </w:p>
        </w:tc>
        <w:tc>
          <w:tcPr>
            <w:tcW w:w="2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r>
      <w:tr>
        <w:trPr>
          <w:trHeight w:val="257"/>
        </w:trPr>
        <w:tc>
          <w:tcPr>
            <w:tcW w:w="33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Ronald Pasek </w:t>
            </w:r>
            <w:r>
              <w:rPr>
                <w:rFonts w:ascii="Times New Roman" w:cs="Times New Roman" w:eastAsia="Times New Roman" w:hAnsi="Times New Roman"/>
                <w:sz w:val="29"/>
                <w:szCs w:val="29"/>
                <w:color w:val="auto"/>
                <w:vertAlign w:val="superscript"/>
              </w:rPr>
              <w:t>(1) (3)</w:t>
            </w:r>
          </w:p>
        </w:tc>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Lead Independent</w:t>
            </w:r>
          </w:p>
        </w:tc>
        <w:tc>
          <w:tcPr>
            <w:tcW w:w="3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257"/>
        </w:trPr>
        <w:tc>
          <w:tcPr>
            <w:tcW w:w="33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Tidjane Thiam </w:t>
            </w:r>
            <w:r>
              <w:rPr>
                <w:rFonts w:ascii="Times New Roman" w:cs="Times New Roman" w:eastAsia="Times New Roman" w:hAnsi="Times New Roman"/>
                <w:sz w:val="29"/>
                <w:szCs w:val="29"/>
                <w:color w:val="auto"/>
                <w:vertAlign w:val="superscript"/>
              </w:rPr>
              <w:t>(2)</w:t>
            </w:r>
          </w:p>
        </w:tc>
        <w:tc>
          <w:tcPr>
            <w:tcW w:w="2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56"/>
        </w:trPr>
        <w:tc>
          <w:tcPr>
            <w:tcW w:w="33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Devin Whatley </w:t>
            </w:r>
            <w:r>
              <w:rPr>
                <w:rFonts w:ascii="Times New Roman" w:cs="Times New Roman" w:eastAsia="Times New Roman" w:hAnsi="Times New Roman"/>
                <w:sz w:val="29"/>
                <w:szCs w:val="29"/>
                <w:color w:val="auto"/>
                <w:vertAlign w:val="superscript"/>
              </w:rPr>
              <w:t>(2)</w:t>
            </w:r>
          </w:p>
        </w:tc>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57"/>
        </w:trPr>
        <w:tc>
          <w:tcPr>
            <w:tcW w:w="3380" w:type="dxa"/>
            <w:vAlign w:val="bottom"/>
            <w:shd w:val="clear" w:color="auto" w:fill="CF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Jamie Haenggi </w:t>
            </w:r>
            <w:r>
              <w:rPr>
                <w:rFonts w:ascii="Times New Roman" w:cs="Times New Roman" w:eastAsia="Times New Roman" w:hAnsi="Times New Roman"/>
                <w:sz w:val="29"/>
                <w:szCs w:val="29"/>
                <w:color w:val="auto"/>
                <w:vertAlign w:val="superscript"/>
              </w:rPr>
              <w:t>(2) (3)</w:t>
            </w:r>
          </w:p>
        </w:tc>
        <w:tc>
          <w:tcPr>
            <w:tcW w:w="2840" w:type="dxa"/>
            <w:vAlign w:val="bottom"/>
            <w:gridSpan w:val="2"/>
            <w:shd w:val="clear" w:color="auto" w:fill="CF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580" w:type="dxa"/>
            <w:vAlign w:val="bottom"/>
            <w:shd w:val="clear" w:color="auto" w:fill="CFEEFF"/>
          </w:tcPr>
          <w:p>
            <w:pPr>
              <w:spacing w:after="0"/>
              <w:rPr>
                <w:sz w:val="22"/>
                <w:szCs w:val="22"/>
                <w:color w:val="auto"/>
              </w:rPr>
            </w:pPr>
          </w:p>
        </w:tc>
        <w:tc>
          <w:tcPr>
            <w:tcW w:w="100" w:type="dxa"/>
            <w:vAlign w:val="bottom"/>
            <w:shd w:val="clear" w:color="auto" w:fill="CFEEFF"/>
          </w:tcPr>
          <w:p>
            <w:pPr>
              <w:spacing w:after="0"/>
              <w:rPr>
                <w:sz w:val="22"/>
                <w:szCs w:val="22"/>
                <w:color w:val="auto"/>
              </w:rPr>
            </w:pPr>
          </w:p>
        </w:tc>
        <w:tc>
          <w:tcPr>
            <w:tcW w:w="1340" w:type="dxa"/>
            <w:vAlign w:val="bottom"/>
            <w:shd w:val="clear" w:color="auto" w:fill="CF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bl>
    <w:p>
      <w:pPr>
        <w:spacing w:after="0" w:line="198"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221"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Thurman J. Rodgers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Thurman J. (T.J.) Rodgers, 78, has served as the Chief Executive Officer of the Company since April 2024 and as a member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Company’s Board of Directors since November 2022 and as Executive Chairman since June 2023. Mr. Rodgers founded Cypress Semiconductor in</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1982 and served as Cypress’ Chief Executive Officer from 1982 to 2016. Mr. Rodgers currently serves on the boards of other energy-related companies: including Enovix and Enphase Energy Inc. (energy and storage technologies). From 2004 to 2012, he served as a member of Dartmouth’s board of trustees. Mr. Rodgers was a Sloan scholar at Dartmouth, where he graduated in 1970 as the Salutatorian with a double major in Physics and Chemistry. He won the Townsend Prize and the Haseltine Chemistry-Physics Prize as the top physics and chemistry student in his class. Mr. Rodgers holds a master’s degree and a Ph.D. in Electrical Engineering from Stanford University, where he attended on a Hertz fellowship.</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Antonio R. Alvarez</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Antonio R. Alvarez, 69, has served as a member of the Company’s Board of Directors since November 2022. Mr. Alvarez</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President of the Company since the merger of Complete Solar and Solaria in November 2022 until March 2023. From 2020 to 2022, Mr. Alvarez served as Solaria’s Chief Executive Officer. Prior to 2020, Mr. Alvarez served in various executive roles at Altierre Corporation, Aptina Imaging, Advanced Analogic Technologies, Leadis Technology and Cypress Semiconductor. Currently, Mr. Alvarez serves on the Board of Directors of NexGen Power Systems and previously served as a board member of SunEdison, SunEdison Semiconductor, ChipMOS Technology, and Validity Sensors. Mr. Alvarez holds a B.S. and an M.S. in Electrical Engineering from the Georgia Institute of Technology.</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William J. Anderson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William J. Anderson, 49, served as the Chief Executive Officer of the Company from November 2022 to December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2010 to 2022, he served as the Chief Executive Officer of Complete Solar. From 2007 to 2009, Mr. Anderson served as CEO of Risk Allocation Systems, Inc., a lending platform connecting automobile dealerships and credit unions in order to offer point of sale automobile loans to car buyers. From 2009 to 2010, Mr. Anderson served as Partner at SVE Partners, a boutique consulting firm serving technology start-ups and venture capital investors. Mr. Anderson holds a B.S. in Managerial Sciences from the Massachusetts Institute of Technology and an M.B.A. from the Stanford University Graduate School of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3" w:name="page134"/>
    <w:bookmarkEnd w:id="133"/>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Adam Gishen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Adam Gishen, 51, served as FACT’s Chief Executive Officer from February until the Business Combination in July 2023,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one of FACT’s initial board observers. From 2015 to 2020, Mr. Gishen served in several senior roles at Credit Suisse Group AG, including Global Head of Investor Relations, Corporate Communications and Marketing and Branding. Prior to 2015, Mr. Gishen was a partner at Ondra Partners, a financial advisory firm and previous to this worked as a Managing Director at Nomura and at Lehman Brothers in the area of equity capital markets. Mr. Gishen graduated from the University of Leeds.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Chris Lundell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Christopher Lundell, 65, has served as a member of the Company’s Board of Directors since November 2023. Mr. Lundell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Chief Executive Officer of the Company from December 2023 to April 2024. Mr. Lundell is the Founder of CMO Grow, a marketing consultancy firm. Prior to that, he was the CMO at Vivint Solar, the President of the Americas at NEXThink, and CMO and COO at Domo. He holds an M.B.A. from Brigham Young University.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Lothar Maier</w:t>
      </w:r>
      <w:r>
        <w:rPr>
          <w:rFonts w:ascii="Times New Roman" w:cs="Times New Roman" w:eastAsia="Times New Roman" w:hAnsi="Times New Roman"/>
          <w:sz w:val="18"/>
          <w:szCs w:val="18"/>
          <w:color w:val="auto"/>
        </w:rPr>
        <w:t>. Lothar Maier, 71, has served as a member of the Company’s Board of Directors since November 2024. Mr. Maier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FormFactor Inc, from November 2006 to May 2024. Mr. Maier served as the Chief Executive Officer and a member of the Board of Directors of Linear Technology Corporation, a supplier of high performance analog integrated circuits, from January 2005 to March 2017. Prior to that, he served as Linear Technology’s Chief Operating Officer from April 1999 to December 2004. Before joining Linear Technology, Mr. Maier held various management positions at Cypress Semiconductor Corporation, a provider of high-performance, mixed-signal, programmable solutions, from July 1983 to March 1999, including as Senior Vice President and Executive Vice President of Worldwide Operations. Mr. Maier holds a B.S. in chemical engineering from the University of California at Berkeley.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 Daniel McCranie. </w:t>
      </w:r>
      <w:r>
        <w:rPr>
          <w:rFonts w:ascii="Times New Roman" w:cs="Times New Roman" w:eastAsia="Times New Roman" w:hAnsi="Times New Roman"/>
          <w:sz w:val="18"/>
          <w:szCs w:val="18"/>
          <w:color w:val="auto"/>
        </w:rPr>
        <w:t>J. Daniel McCranie, 82, has served as a member of the Company’s Board of Directors since January 2025. After his early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career in semiconductor sales, Mr. McCranie became the executive vice president of sales &amp; marketing for Harris Corporation, a technology company, and the chief executive officer of SEEQ Technology, a semiconductor company, and Virage Logic Corporation, a semiconductor company. From 1994 to 2001, he joined Cypress Semiconductor Corporation, a semiconductor company, as executive vice president of sales &amp; marketing. He has held 10 board positions in the semiconductor and technology, including having served on the board of Cypress Semiconductor Corporation, from June 2017 to May 2019, ON Semiconductor Corporation, a semiconductor company, from 2001 to 2018, and Enovix Corporation from December 2021 until January 2023. From 2012 to 2017, he served on the board of Mentor Graphics, an electric design automation company. He holds a B.S. in Electrical Engineering from Virginia Polytechnic Institute.</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Ronald Pasek</w:t>
      </w:r>
      <w:r>
        <w:rPr>
          <w:rFonts w:ascii="Times New Roman" w:cs="Times New Roman" w:eastAsia="Times New Roman" w:hAnsi="Times New Roman"/>
          <w:sz w:val="18"/>
          <w:szCs w:val="18"/>
          <w:color w:val="auto"/>
        </w:rPr>
        <w:t>. Ronald Pasek, 65, has served as a member of the Company’s Board of Directors since February 2023. Since 2015, Mr. Pasek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chairman of the Board of Directors of Spectra7 Microsystems Inc., a Canadian publicly-traded consumer connectivity company. Since January 2026, Mr. Pasek has also served as a director of Extreme Networks, Inc. From 2016 to 2020, Mr. Pasek was Chief Financial Officer of NetApp. From 2009 until its acquisition by Intel in December 2015, Mr. Pasek served as Senior Vice President, Finance and Chief Financial Officer of Altera Corporation, a worldwide provider of programmable logic devices. Mr. Pasek was previously employed by Sun Microsystems, in a variety of roles including Vice President, Corporate Treasurer and Vice President of worldwide field finance, worldwide manufacturing and U.S. field finance. Mr. Pasek holds a B.S. degree from San Jose State University and an M.B.A. degree from Santa Clara University.</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Tidjane Thiam</w:t>
      </w:r>
      <w:r>
        <w:rPr>
          <w:rFonts w:ascii="Times New Roman" w:cs="Times New Roman" w:eastAsia="Times New Roman" w:hAnsi="Times New Roman"/>
          <w:sz w:val="18"/>
          <w:szCs w:val="18"/>
          <w:color w:val="auto"/>
        </w:rPr>
        <w:t>. Tidjane Thiam, 63, served as a member of the FACT Board and as Executive Chairman of FACT since inception until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in July 2023. In 2021, Mr. Thiam was appointed Chairman of Rwanda Finance Limited. He also serves as a Director and Chair of the Audit Committee of Kering S.A., the French luxury group. Mr. Thiam is also a Special Envoy on Covid 19 for the African Union. From 2015 to 2020,</w:t>
      </w:r>
    </w:p>
    <w:p>
      <w:pPr>
        <w:jc w:val="both"/>
        <w:spacing w:after="0" w:line="227" w:lineRule="auto"/>
        <w:rPr>
          <w:sz w:val="20"/>
          <w:szCs w:val="20"/>
          <w:color w:val="auto"/>
        </w:rPr>
      </w:pPr>
      <w:r>
        <w:rPr>
          <w:rFonts w:ascii="Times New Roman" w:cs="Times New Roman" w:eastAsia="Times New Roman" w:hAnsi="Times New Roman"/>
          <w:sz w:val="18"/>
          <w:szCs w:val="18"/>
          <w:color w:val="auto"/>
        </w:rPr>
        <w:t>Mr. Thiam was Chief Executive Officer of Credit Suisse Group AG. From 2014 to 2019, Mr. Thiam was a Director of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Century Fox and served on its Nominating and Corporate Governance Committee. Mr. Thiam previously served at Prudential plc, a global insurance company based on London, as the Group Chief Executive from 2009 to 2015, a Director from 2008 to 2015 and Group Chief Financial Officer from 2008 to 2009. Mr. Thiam holds an M.B.A. from INSEAD and graduated from École Nationale Supérieure des Mines de Paris in 1986 and from École Polytechnique in Paris in 1984.</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Devin Whatley</w:t>
      </w:r>
      <w:r>
        <w:rPr>
          <w:rFonts w:ascii="Times New Roman" w:cs="Times New Roman" w:eastAsia="Times New Roman" w:hAnsi="Times New Roman"/>
          <w:sz w:val="18"/>
          <w:szCs w:val="18"/>
          <w:color w:val="auto"/>
        </w:rPr>
        <w:t>. Devin Whatley, 57, has served as a member of our Board of Directors since November 2022. Since 2010, Mr. Whatley has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Managing Partner at the Ecosystem Integrity Fund. Mr. Whatley serves as a member of the Board of Directors of several private companies focused on renewable energy. Mr. Whatley was a CFA Charterholder and holds a B.A. in East Asian Studies with a Business Emphasis from the University of California, Los Angeles and an M.B.A. from the Wharton School at the University of Pennsylvania.</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Jamie Haenggi</w:t>
      </w:r>
      <w:r>
        <w:rPr>
          <w:rFonts w:ascii="Times New Roman" w:cs="Times New Roman" w:eastAsia="Times New Roman" w:hAnsi="Times New Roman"/>
          <w:sz w:val="18"/>
          <w:szCs w:val="18"/>
          <w:color w:val="auto"/>
        </w:rPr>
        <w:t>. Jamie Haenggi, 56 has served as a member of the Company’s Board of Directors since April 2025. Ms. Haenggi brings more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years of executive leadership in sales, marketing, operations, and customer experience across the solar, security, and telecom industries. Most recently, she served as President of ADT Solar and Executive Vice President and Chief Customer Officer of ADT Security Services. Prior to that, she held Chief Marketing Officer and senior executive roles at ADT Security, Protection 1, National Guardian, Holmes Protection, and Vonage. Ms. Haenggi currently serves as Chief Executive Officer of GoodwinBeckham, a boutique executive consulting firm. She holds a Bachelor of Arts in International Relations with minors in East Asian studies and Japanese from the University of Minnesota and an Honorary Doctorate from Taylor University. Ms. Haenggi has been inducted into the Security Industry Hall of Fame and the Direct Marketing News Hall of Femme.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officers and their ages as of April 14, 2026 are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94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Thurman J. Rodgers</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10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Wendell Laidley</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520" w:type="dxa"/>
            <w:vAlign w:val="bottom"/>
            <w:gridSpan w:val="2"/>
            <w:shd w:val="clear" w:color="auto" w:fill="CFEEFF"/>
          </w:tcPr>
          <w:p>
            <w:pPr>
              <w:spacing w:after="0"/>
              <w:rPr>
                <w:sz w:val="20"/>
                <w:szCs w:val="20"/>
                <w:color w:val="auto"/>
              </w:rPr>
            </w:pPr>
            <w:r>
              <w:rPr>
                <w:rFonts w:ascii="Times New Roman" w:cs="Times New Roman" w:eastAsia="Times New Roman" w:hAnsi="Times New Roman"/>
                <w:sz w:val="18"/>
                <w:szCs w:val="18"/>
                <w:color w:val="auto"/>
              </w:rPr>
              <w:t>Jeanne Nguyen</w:t>
            </w:r>
          </w:p>
        </w:tc>
        <w:tc>
          <w:tcPr>
            <w:tcW w:w="680" w:type="dxa"/>
            <w:vAlign w:val="bottom"/>
            <w:shd w:val="clear" w:color="auto" w:fill="CF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CFEEFF"/>
          </w:tcPr>
          <w:p>
            <w:pPr>
              <w:spacing w:after="0"/>
              <w:rPr>
                <w:sz w:val="18"/>
                <w:szCs w:val="18"/>
                <w:color w:val="auto"/>
              </w:rPr>
            </w:pPr>
          </w:p>
        </w:tc>
        <w:tc>
          <w:tcPr>
            <w:tcW w:w="5940" w:type="dxa"/>
            <w:vAlign w:val="bottom"/>
            <w:shd w:val="clear" w:color="auto" w:fill="CFEEFF"/>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Biographical information for Mr. Rodgers is included with the Director biographies above.</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Wendell Laidley. </w:t>
      </w:r>
      <w:r>
        <w:rPr>
          <w:rFonts w:ascii="Times New Roman" w:cs="Times New Roman" w:eastAsia="Times New Roman" w:hAnsi="Times New Roman"/>
          <w:sz w:val="18"/>
          <w:szCs w:val="18"/>
          <w:color w:val="auto"/>
        </w:rPr>
        <w:t>Wendell Laidley has served as the Chief Financial Officer since February 2, 2026. Mr. Laidley has more than 30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and accounting experience. Before joining the Company, Mr. Laidley served as chief financial officer of Lumio from May 2021 until August 2022. Mr. Laidley also served as CFO of Life360 from February 2019 to July 2020. Prior to that, Mr. Laidley held various finance and accounting positions, including with Big Switch Networks, AppDynamics, RS Investments, Credit Suisse First Boston and Deutsche Bank.</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Jeanne Nguyen. </w:t>
      </w:r>
      <w:r>
        <w:rPr>
          <w:rFonts w:ascii="Times New Roman" w:cs="Times New Roman" w:eastAsia="Times New Roman" w:hAnsi="Times New Roman"/>
          <w:sz w:val="18"/>
          <w:szCs w:val="18"/>
          <w:color w:val="auto"/>
        </w:rPr>
        <w:t>Jeanne Nguyen has served as the Chief Accounting Officer since 2024. Jeanne Nguyen served as the Interim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SunPower since July 22, 2025 prior to resigning from that position on February 2, 2026. Prior to that, Ms. Nguyen served as SunPower’s corporate controller following our acquisition of the SunPower Businesses in September 2024, and she served as the corporate controller of SunPower Corporation from December 2023 until our acquisition of the SunPower Businesses. Prior to that, Ms. Nguyen served as Corporate Controller of Convoy Inc. from September 2016 until October 2023. Prior to joining Convoy Inc., Ms. Nguyen was a senior manager in the Assurance services practice at PricewaterhouseCoopers from July 2011 to March 2016. Ms. Nguyen is a certified public accountant and holds a BA in Business Administration from the University of Washington.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required under Nasdaq listing standards, a majority of the members of a listed company’s Board of Directors must qualify as “independent,” as affirmatively determined by the Board of Directors. In addition, Nasdaq listing standards require that, subject to specified exceptions, each member of a listed company’s Audit Committee, Compensation Committee, and Nominating and Corporate Governance Committee be “independent.”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information provided by each Director concerning her or his background, employment and affiliations, the Board of Directors affirmatively determined that none of our Directors — other than Thurman J. Rodgers, Antonio Alvarez, William Anderson, J. Daniel McCranie, and Chris Lundell — has any relationships that would interfere with the exercise of independent judgment in carrying out the responsibilities of a Director and that each of Messrs. Gishen, Maier, Pasek, Thiam, Whatley and Ms. Haenggi, representing a majority of SunPower’s incumbent Directors, is “independent” as that term is defined under the Nasdaq listing standards.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Role of the Board of Directors in Risk Oversight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One of the key functions of the Board of Directors is the informed oversight of SunPower’s risk management process. The Board of Directors does not anticipate having a standing risk management committee, but rather anticipates administering this oversight function directly through the Board of Directors as a whole, as well as through various standing committees of the Board of Directors that address risks inherent in their respective areas of oversight. In particular, the Board of Directors is responsible for monitoring and assessing strategic risk exposure, and SunPower’s Audit Committee is responsible for considering and discussing SunPower’s major financial risk exposures and the steps its management will take to monitor and control such exposures, including guidelines and policies to govern the process by which risk assessment and management is undertaken. The Audit Committee monitors compliance with legal and regulatory requirements. The Compensation Committee assesses and monitors whether SunPower’s compensation plans, policies and programs comply with applicable legal and regulatory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formed an Audit Committee, Compensation Committee, and Nominating and Corporate Governance Committee. The Board of Directors may from time to time establish other committees.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Chief Executive Officer, Chief Financial Officer and other executive officers regularly report to the non-executive Directors and each standing committee to ensure effective and efficient oversight of its activities and to assist in proper risk management and the ongoing evaluation of management controls.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consists of Ronald Pasek, who serves as the chairperson, Adam Gishen, and Lothar Maier. Each member of the Audit Committee qualifies as an independent director under the Nasdaq corporate governance standards and the independence requirements of Rule 10A-3 under the Exchange Act. Our Board of Directors has determined that Ronald Pasek qualifies as an “audit committee financial expert” as such term is defined in Item 407(d)(5) of Regulation S-K and possesses the requisite financial expertise required under the applicable requirements of Nasdaq. As discussed above, our Board of Directors has also determined that Ronald Pasek is an independent director.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responsibilities of the Audit Committee include, among other things:</w:t>
      </w:r>
    </w:p>
    <w:p>
      <w:pPr>
        <w:spacing w:after="0" w:line="225"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of Directors oversee corporate accounting and financial reporting processes;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and qualifications of a qualified firm to serve as the independent registered public accounting firm to audit SunPower’s financial statements;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SunPower’s interim and year-end operating results;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6" w:name="page137"/>
    <w:bookmarkEnd w:id="136"/>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financial risk assessment and financial risk management;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SunPower’s internal quality-control procedures, any material issues with such procedures, and any steps taken to deal with such issues when required by applicable law;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to be performed by the independent registered public accounting firm.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adopted a written charter of the Audit Committee which is available on SunPower’s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Compensation Committee consists of Devin Whatley, who serves as the chairperson, Lothar Maeir and Jamie Haenggi. The Board of Directors has determined that each current member of the Compensation Committee is independent. The Board of Directors has also determined that each current committee member and a former member of the Compensation Committee — Antonio R. Alvarez — is a “non-employee director” as defined in Rule 16b-3 promulgated under the Exchange Act. Mr. Alvarez resigned from the Compensation Committee during April 2025. While Mr. Alvarez is not an independent director, Section 5605(d)(2)(B) of the Nasdaq listing standards nonetheless permitted the appointment of a non-independent director to the compensation committee if the Board of Directors, under exceptional and limited circumstances, determines that the non-independent director’s membership is required by the best interests of the Company and its stockholders. Based on Mr. Alvarez’s extensive experience with SunPower and familiarity with the industry, the Board of Directors previously concluded that Mr. Alvarez’s appointment to, and membership on, the Compensation Committee prior to Mr. Alvarez’s resignation from the Compensation Committee was in the best interests of SunPower and its stockholders. Further, a majority of the members of the Compensation Committee are independent directors.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responsibilities of the Compensation Committee are:</w:t>
      </w:r>
    </w:p>
    <w:p>
      <w:pPr>
        <w:spacing w:after="0" w:line="225" w:lineRule="exact"/>
        <w:rPr>
          <w:sz w:val="20"/>
          <w:szCs w:val="20"/>
          <w:color w:val="auto"/>
        </w:rPr>
      </w:pPr>
    </w:p>
    <w:p>
      <w:pPr>
        <w:ind w:left="98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Board of Directors approve, the compensation of SunPower’s executive officers and senior management;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SunPower’s Directors;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Board of Directors approve, the terms of compensatory arrangements with SunPower’s executives;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SunPower’s stock and equity incentive plans;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amending and terminating, or recommending that the Board of Directors approve, amend or terminate, incentive compensation and equity plans, severance agreements, change-of-control protections and any other compensatory arrangements for SunPower’s executive officers and other senior management, as appropriate;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SunPower’s employees;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SunPower’s overall compensation.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7" w:name="page138"/>
    <w:bookmarkEnd w:id="137"/>
    <w:p>
      <w:pPr>
        <w:ind w:left="660"/>
        <w:spacing w:after="0"/>
        <w:rPr>
          <w:sz w:val="20"/>
          <w:szCs w:val="20"/>
          <w:color w:val="auto"/>
        </w:rPr>
      </w:pPr>
      <w:r>
        <w:rPr>
          <w:rFonts w:ascii="Times New Roman" w:cs="Times New Roman" w:eastAsia="Times New Roman" w:hAnsi="Times New Roman"/>
          <w:sz w:val="18"/>
          <w:szCs w:val="18"/>
          <w:color w:val="auto"/>
        </w:rPr>
        <w:t>The Board of Directors adopted a written charter for the Compensation Committee which is available on SunPower’s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Nominating and Corporate Governance Committee consists of Jamie Haenggi, who serves as the chairperson, Ron Pasek, Tidjane Thiam,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Gishen. The responsibilities of the Nominating and Corporate Governance Committee are:</w:t>
      </w:r>
    </w:p>
    <w:p>
      <w:pPr>
        <w:spacing w:after="0" w:line="207"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the Board of Directors approve, nominees for election to the Board of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of Directors and of individual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SunPower’s corporate governance practices and reporting;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succession plans;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of Directors regarding corporate governance guidelines and matters.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adopted a written charter of the Nominating and Corporate Governance Committee which is available on SunPower’s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evaluates all candidates for Director thoroughly, whether they are recommended by the management team, stockholders or third parties, in accordance with the needs of the Board of Directors and the qualifications of the candidate.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Ethical Business Conduct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SunPower has adopted a code of ethical business conduct that applies to all of its Directors, officers and employees, including its principal executive officer, principal financial officer and principal accounting officer, and is available on SunPower’s website at https://investors.sunpower.com/corporate-governance/governance-overview. SunPower’s code of business conduct is a “code of ethics,” as defined in Item 406(b) of Regulation S-K. If we grant any waiver from a provision of the code of ethical business conduct to any executive officer or Director, we will disclose it on our website.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member of the Compensation Committee was at any time during 2025, or at any other time, one of SunPower’s officers or employees, except Mr. Alvarez who previously served on the Compensation Committee also served as the Company’s president until March 2023. None of SunPower’s executive officers has served as a director or member of a compensation committee (or other committee serving an equivalent function) of any entity, one of whose executive officers served as a Director of our Board of Directors or member of the Compensation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that applies to all of our Directors, our executive officers and to certain of our other employees and consultants. This policy prohibits engaging in short sales, transactions in put or call options, hedging transactions, or other inherently speculative transactions with respect to our securities or derivative securities at any time. We believe our insider trading policy is reasonably designed to promote compliance with insider trading laws, rules and regulations, as well as applicable Nasdaq listing standards. A copy of our insider trading policy is included as Exhibit 19.1 to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solely on our review of such forms furnished to the Company and written representations from certain reporting persons, we believe that all filing requirements applicable to our executive officers, Directors and greater than 10% beneficial owners were timely made during fiscal 2025, with the exception of: (1) Mr. Maier’s Form 3 filed on March 18, 2026 and his Form 5 filed on March 18, 2026 relating to his annual director RSU award issued on May 23, 2025 (the “May 2025 Director Grant”) (and the related missed Form 4 filing); (2) Mr. Anderson’s Form 5 filed on March 5, 2026 relating to his May 2025 Director Grant (and the related missed Form 4 filing); (3) Mr. Pasek’s Form 5 filed on February 25, 2026 relating to his May 2025 Director Grant (and the related missed Form 4 filing); (4) Mr. Whatley’s Form 5 filed on February 18, 2026 relating to his May 2025 Director Grant (and the related missed Form 4 filing); (5) Mr. Lundell’s Form 5 filed on February 18, 2026 relating to his May 2025 Director Grant (and the related missed Form 4 filing);</w:t>
      </w:r>
    </w:p>
    <w:p>
      <w:pPr>
        <w:spacing w:after="0" w:line="3" w:lineRule="exact"/>
        <w:rPr>
          <w:sz w:val="20"/>
          <w:szCs w:val="20"/>
          <w:color w:val="auto"/>
        </w:rPr>
      </w:pPr>
    </w:p>
    <w:p>
      <w:pPr>
        <w:jc w:val="both"/>
        <w:ind w:firstLine="8"/>
        <w:spacing w:after="0" w:line="251" w:lineRule="auto"/>
        <w:tabs>
          <w:tab w:leader="none" w:pos="26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Thiam’s Form 5 filed on February 18, 2026 relating to his May 2025 Director Grant and other open market purchase and sales completed between December 17, 2024 and December 16, 2025 (and related missed Form 4 filings); (7) Mr. Gishen’s Form 5 filed on February 17, 2026 relating to his May 2025 Director Grant (and related missed Form 4 filing); (8) Mr. Alvarez’s Form 5 filed on February 17, 2026 relating to his May 2025 Director Grant (and related missed Form 4 filing); (9) Mr. McCranie’s Form 5 filed on February 17, 2026 relating to his May 2025 Director Grant and July 9, 2025 restricted stock unit award (and related missed Form 4 filings); (10) Ms. Haenggi’s Form 3 filed on October 29, 2025 relating to her appointment as a director on May 29, 2025; (11) Mr. Gishen’s Form 4 filed on October 28, 2025 relating to open market sales completed on October 23, 2025; (12) Mr. Rodgers’s Form 4 filed on July 15, 2025 with respect to a note purchase on July 10, 2025; (13) Mr. Gishen’s Form 4 filed on May 28, 2025 relating to open market sales on May 16, 2025; and (14) Ms. Nguyen did not file a Form 3 relating to her role as interim Chief Financial Officer.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SunPower has opted to comply with the executive compensation disclosure rules applicable to emerging growth companies. The scaled down disclosure rules are those applicable to “smaller reporting companies,” as such term is defined in the rules promulgated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which require compensation disclosure for all individuals serving as SunPower’s principal executive officer during 2025, the two most highly compensated executive officers of SunPower, other than the principal executive officer, whose total compensation for 2025 exceeded $100,000 and who were serving as executive officers as of December 28, 2025, and up to two additional individuals for whom disclosure under the applicable rules would have been provided but for the fact that such individuals were not serving as executive officers at the end of 2025. SunPower refers to these individuals as “named executive officers.” For fiscal 2025, the Company’s named executive officers were:</w:t>
      </w:r>
    </w:p>
    <w:p>
      <w:pPr>
        <w:spacing w:after="0" w:line="189" w:lineRule="exact"/>
        <w:rPr>
          <w:sz w:val="20"/>
          <w:szCs w:val="20"/>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Thurman J. (T.J.) Rodgers, our Chief Executive Officer and Executive Chairman;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Jeanne Nguyen, our Chief Accounting Officer and Interim Chief Financial Officer;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Foley, our former Chief Financial Officer.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compensation program should promote the success of our Company and align executive incentives with the long-term interests of its stockholders. Our current compensation programs reflect its startup origins in that they consist primarily of salary and equity-based awards. As SunPower’s needs evolve, we intend to continue to evaluate our philosophy and compensation programs as circumstances require.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2025 and 2024, Mr. Rodgers did not receive any separate compensation in his role as our Chief Executive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SunPower’s named executive officers for services performed in the fiscal year ended December 28, 2025 and in the fiscal year ended December 29,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77"/>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4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10"/>
              <w:spacing w:after="0" w:line="270" w:lineRule="exact"/>
              <w:rPr>
                <w:sz w:val="20"/>
                <w:szCs w:val="20"/>
                <w:color w:val="auto"/>
              </w:rPr>
            </w:pPr>
            <w:r>
              <w:rPr>
                <w:rFonts w:ascii="Times New Roman" w:cs="Times New Roman" w:eastAsia="Times New Roman" w:hAnsi="Times New Roman"/>
                <w:sz w:val="18"/>
                <w:szCs w:val="18"/>
                <w:b w:val="1"/>
                <w:bCs w:val="1"/>
                <w:color w:val="auto"/>
                <w:w w:val="92"/>
              </w:rPr>
              <w:t>Awards</w:t>
            </w:r>
            <w:r>
              <w:rPr>
                <w:rFonts w:ascii="Times New Roman" w:cs="Times New Roman" w:eastAsia="Times New Roman" w:hAnsi="Times New Roman"/>
                <w:sz w:val="29"/>
                <w:szCs w:val="29"/>
                <w:b w:val="1"/>
                <w:bCs w:val="1"/>
                <w:color w:val="auto"/>
                <w:w w:val="92"/>
                <w:vertAlign w:val="superscript"/>
              </w:rPr>
              <w:t>(1)</w:t>
            </w:r>
          </w:p>
        </w:tc>
        <w:tc>
          <w:tcPr>
            <w:tcW w:w="2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CCEEFF"/>
            </w:tcBorders>
          </w:tcPr>
          <w:p>
            <w:pPr>
              <w:spacing w:after="0"/>
              <w:rPr>
                <w:sz w:val="24"/>
                <w:szCs w:val="24"/>
                <w:color w:val="auto"/>
              </w:rPr>
            </w:pPr>
          </w:p>
        </w:tc>
      </w:tr>
      <w:tr>
        <w:trPr>
          <w:trHeight w:val="311"/>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Thurman J. (T.J.) Rodgers</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3040" w:type="dxa"/>
            <w:vAlign w:val="bottom"/>
          </w:tcPr>
          <w:p>
            <w:pPr>
              <w:spacing w:after="0" w:line="303" w:lineRule="exact"/>
              <w:rPr>
                <w:sz w:val="20"/>
                <w:szCs w:val="20"/>
                <w:color w:val="auto"/>
              </w:rPr>
            </w:pPr>
            <w:r>
              <w:rPr>
                <w:rFonts w:ascii="Times New Roman" w:cs="Times New Roman" w:eastAsia="Times New Roman" w:hAnsi="Times New Roman"/>
                <w:sz w:val="18"/>
                <w:szCs w:val="18"/>
                <w:i w:val="1"/>
                <w:iCs w:val="1"/>
                <w:color w:val="auto"/>
              </w:rPr>
              <w:t xml:space="preserve">Jeanne Nguyen </w:t>
            </w:r>
            <w:r>
              <w:rPr>
                <w:rFonts w:ascii="Times New Roman" w:cs="Times New Roman" w:eastAsia="Times New Roman" w:hAnsi="Times New Roman"/>
                <w:sz w:val="29"/>
                <w:szCs w:val="29"/>
                <w:i w:val="1"/>
                <w:iCs w:val="1"/>
                <w:color w:val="auto"/>
                <w:vertAlign w:val="superscript"/>
              </w:rPr>
              <w:t>(2)</w:t>
            </w: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353,034</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Accounting Officer and Interim</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 and Chief</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6"/>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237,046</w:t>
            </w:r>
          </w:p>
        </w:tc>
        <w:tc>
          <w:tcPr>
            <w:tcW w:w="140" w:type="dxa"/>
            <w:vAlign w:val="bottom"/>
          </w:tcPr>
          <w:p>
            <w:pPr>
              <w:spacing w:after="0"/>
              <w:rPr>
                <w:sz w:val="20"/>
                <w:szCs w:val="20"/>
                <w:color w:val="auto"/>
              </w:rPr>
            </w:pP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295,346</w:t>
            </w:r>
          </w:p>
        </w:tc>
      </w:tr>
      <w:tr>
        <w:trPr>
          <w:trHeight w:val="324"/>
        </w:trPr>
        <w:tc>
          <w:tcPr>
            <w:tcW w:w="304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i w:val="1"/>
                <w:iCs w:val="1"/>
                <w:color w:val="auto"/>
              </w:rPr>
              <w:t>Daniel Foley</w:t>
            </w:r>
            <w:r>
              <w:rPr>
                <w:rFonts w:ascii="Times New Roman" w:cs="Times New Roman" w:eastAsia="Times New Roman" w:hAnsi="Times New Roman"/>
                <w:sz w:val="29"/>
                <w:szCs w:val="29"/>
                <w:i w:val="1"/>
                <w:iCs w:val="1"/>
                <w:color w:val="auto"/>
                <w:vertAlign w:val="superscript"/>
              </w:rPr>
              <w:t>(3)</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233,333</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line="324" w:lineRule="exact"/>
              <w:rPr>
                <w:sz w:val="20"/>
                <w:szCs w:val="20"/>
                <w:color w:val="auto"/>
              </w:rPr>
            </w:pPr>
            <w:r>
              <w:rPr>
                <w:rFonts w:ascii="Times New Roman" w:cs="Times New Roman" w:eastAsia="Times New Roman" w:hAnsi="Times New Roman"/>
                <w:sz w:val="18"/>
                <w:szCs w:val="18"/>
                <w:color w:val="auto"/>
              </w:rPr>
              <w:t>455,000</w:t>
            </w:r>
            <w:r>
              <w:rPr>
                <w:rFonts w:ascii="Times New Roman" w:cs="Times New Roman" w:eastAsia="Times New Roman" w:hAnsi="Times New Roman"/>
                <w:sz w:val="29"/>
                <w:szCs w:val="29"/>
                <w:color w:val="auto"/>
                <w:vertAlign w:val="superscript"/>
              </w:rPr>
              <w:t>(4)</w:t>
            </w: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60"/>
              <w:spacing w:after="0" w:line="324" w:lineRule="exact"/>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9"/>
                <w:szCs w:val="29"/>
                <w:color w:val="auto"/>
                <w:vertAlign w:val="superscript"/>
              </w:rPr>
              <w:t>(3)</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789,833</w:t>
            </w:r>
          </w:p>
        </w:tc>
      </w:tr>
      <w:tr>
        <w:trPr>
          <w:trHeight w:val="324"/>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161,947</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60"/>
              <w:spacing w:after="0" w:line="324" w:lineRule="exact"/>
              <w:rPr>
                <w:sz w:val="20"/>
                <w:szCs w:val="20"/>
                <w:color w:val="auto"/>
              </w:rPr>
            </w:pPr>
            <w:r>
              <w:rPr>
                <w:rFonts w:ascii="Times New Roman" w:cs="Times New Roman" w:eastAsia="Times New Roman" w:hAnsi="Times New Roman"/>
                <w:sz w:val="18"/>
                <w:szCs w:val="18"/>
                <w:color w:val="auto"/>
              </w:rPr>
              <w:t>780,000</w:t>
            </w:r>
            <w:r>
              <w:rPr>
                <w:rFonts w:ascii="Times New Roman" w:cs="Times New Roman" w:eastAsia="Times New Roman" w:hAnsi="Times New Roman"/>
                <w:sz w:val="29"/>
                <w:szCs w:val="29"/>
                <w:color w:val="auto"/>
                <w:vertAlign w:val="superscript"/>
              </w:rPr>
              <w:t>(5)</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941,947</w:t>
            </w:r>
          </w:p>
        </w:tc>
      </w:tr>
    </w:tbl>
    <w:p>
      <w:pPr>
        <w:spacing w:after="0" w:line="198" w:lineRule="exact"/>
        <w:rPr>
          <w:sz w:val="20"/>
          <w:szCs w:val="20"/>
          <w:color w:val="auto"/>
        </w:rPr>
      </w:pPr>
    </w:p>
    <w:p>
      <w:pPr>
        <w:jc w:val="both"/>
        <w:ind w:left="340" w:hanging="332"/>
        <w:spacing w:after="0" w:line="256"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reported in this column do not reflect the amounts actually received by SunPower’s named executive officers. Instead, these amounts reflect the aggregate grant-date fair value of awards granted to each named executive officer, computed in accordance with the FASB ASC Topic 718,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See “Item 8. Financial Statements and Supplementary Data - Notes to Consolidated Financial Statements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Note 15 – Stock-Based Compensation</w:t>
      </w:r>
      <w:r>
        <w:rPr>
          <w:rFonts w:ascii="Times New Roman" w:cs="Times New Roman" w:eastAsia="Times New Roman" w:hAnsi="Times New Roman"/>
          <w:sz w:val="18"/>
          <w:szCs w:val="18"/>
          <w:color w:val="auto"/>
        </w:rPr>
        <w:t>”. As required by SEC rules, the amounts shown exclude the impact of estimated forfeitures related to service-based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Unless otherwise noted in the footnotes below, the shares underlying these options vest in 48 equal monthly installments, subject to the named executive officer’s continued service at each vesting date.</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Nguyen joined the Company in September 2024 and was appointed as our Interim Chief Financial Officer in July 2025. Ms. Nguyen’s base salary amount is pro-rated for 2024. On February 2, 2026, Ms. Nguyen resigned as the Interim Chief Financial Officer, and she now serves as our Chief Accounting Officer.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Foley resigned as our Chief Financial Officer in July 2025. Mr. Foley’s base salary amount is pro rated for 2025, and the amount reflected as All Other Compensation comprises cash payments made in connection with his separation from the Company. In connection with Mr. Foley’s separation from the Company on July 25, 2025, the Company accelerated the vesting of 57,471 restricted stock units (equal to $100,000), in accordance with the terms of his separation agreement.</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250,000 restricted stock units issued in April 2025, of which 19,970 of the RSUs were vested at the time of Mr. Foley’s separation from the Company. Upon Mr. Foley’s separation, the remaining unvested restricted stock units were canceled.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total shares underlying this option award vested on July 1, 2025. Upon Mr. Foley’s separation from the Company, the remaining unvested shares underlying this option were forfeited.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28, 2025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outstanding option awards and RSUs held by each of the named executive officers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28, 2025: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Option Awards </w:t>
            </w:r>
            <w:r>
              <w:rPr>
                <w:rFonts w:ascii="Times New Roman" w:cs="Times New Roman" w:eastAsia="Times New Roman" w:hAnsi="Times New Roman"/>
                <w:sz w:val="29"/>
                <w:szCs w:val="29"/>
                <w:b w:val="1"/>
                <w:bCs w:val="1"/>
                <w:color w:val="auto"/>
                <w:vertAlign w:val="superscript"/>
              </w:rPr>
              <w:t>(1)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xml:space="preserve">Stock Awards </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3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Commencement</w:t>
            </w:r>
          </w:p>
        </w:tc>
        <w:tc>
          <w:tcPr>
            <w:tcW w:w="128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Options (#)</w:t>
            </w:r>
          </w:p>
        </w:tc>
        <w:tc>
          <w:tcPr>
            <w:tcW w:w="138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Options (#)</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14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rPr>
              <w:t>Expiration</w:t>
            </w:r>
          </w:p>
        </w:tc>
        <w:tc>
          <w:tcPr>
            <w:tcW w:w="1220" w:type="dxa"/>
            <w:vAlign w:val="bottom"/>
            <w:gridSpan w:val="3"/>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5"/>
              </w:rPr>
              <w:t>not</w:t>
            </w:r>
          </w:p>
        </w:tc>
        <w:tc>
          <w:tcPr>
            <w:tcW w:w="98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rPr>
              <w:t>not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8"/>
              </w:rPr>
              <w:t>Date</w:t>
            </w:r>
            <w:r>
              <w:rPr>
                <w:rFonts w:ascii="Times New Roman" w:cs="Times New Roman" w:eastAsia="Times New Roman" w:hAnsi="Times New Roman"/>
                <w:sz w:val="29"/>
                <w:szCs w:val="29"/>
                <w:b w:val="1"/>
                <w:bCs w:val="1"/>
                <w:color w:val="auto"/>
                <w:w w:val="88"/>
                <w:vertAlign w:val="superscript"/>
              </w:rPr>
              <w:t>(1)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40" w:type="dxa"/>
            <w:vAlign w:val="bottom"/>
          </w:tcPr>
          <w:p>
            <w:pPr>
              <w:spacing w:after="0"/>
              <w:rPr>
                <w:sz w:val="23"/>
                <w:szCs w:val="2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Unexerciseable</w:t>
            </w:r>
          </w:p>
        </w:tc>
        <w:tc>
          <w:tcPr>
            <w:tcW w:w="140" w:type="dxa"/>
            <w:vAlign w:val="bottom"/>
          </w:tcPr>
          <w:p>
            <w:pPr>
              <w:spacing w:after="0"/>
              <w:rPr>
                <w:sz w:val="23"/>
                <w:szCs w:val="2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vested (#)</w:t>
            </w: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vested (#)</w:t>
            </w:r>
          </w:p>
        </w:tc>
        <w:tc>
          <w:tcPr>
            <w:tcW w:w="0" w:type="dxa"/>
            <w:vAlign w:val="bottom"/>
          </w:tcPr>
          <w:p>
            <w:pPr>
              <w:spacing w:after="0"/>
              <w:rPr>
                <w:sz w:val="1"/>
                <w:szCs w:val="1"/>
                <w:color w:val="auto"/>
              </w:rPr>
            </w:pPr>
          </w:p>
        </w:tc>
      </w:tr>
      <w:tr>
        <w:trPr>
          <w:trHeight w:val="27"/>
        </w:trPr>
        <w:tc>
          <w:tcPr>
            <w:tcW w:w="1680" w:type="dxa"/>
            <w:vAlign w:val="bottom"/>
            <w:tcBorders>
              <w:right w:val="single" w:sz="8" w:color="CCEEFF"/>
            </w:tcBorders>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1300" w:type="dxa"/>
            <w:vAlign w:val="bottom"/>
            <w:tcBorders>
              <w:right w:val="single" w:sz="8" w:color="CCEEFF"/>
            </w:tcBorders>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68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Thurman J. (T.J.)</w:t>
            </w:r>
          </w:p>
        </w:tc>
        <w:tc>
          <w:tcPr>
            <w:tcW w:w="1140" w:type="dxa"/>
            <w:vAlign w:val="bottom"/>
            <w:tcBorders>
              <w:right w:val="single" w:sz="8" w:color="CCEEFF"/>
            </w:tcBorders>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w:t>
            </w:r>
            <w:r>
              <w:rPr>
                <w:rFonts w:ascii="Times New Roman" w:cs="Times New Roman" w:eastAsia="Times New Roman" w:hAnsi="Times New Roman"/>
                <w:sz w:val="29"/>
                <w:szCs w:val="29"/>
                <w:color w:val="auto"/>
                <w:vertAlign w:val="superscript"/>
              </w:rPr>
              <w:t>(2)</w:t>
            </w:r>
          </w:p>
        </w:tc>
        <w:tc>
          <w:tcPr>
            <w:tcW w:w="11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Rodgers</w:t>
            </w:r>
          </w:p>
        </w:tc>
        <w:tc>
          <w:tcPr>
            <w:tcW w:w="11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12/3/2023</w:t>
            </w:r>
          </w:p>
        </w:tc>
        <w:tc>
          <w:tcPr>
            <w:tcW w:w="13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12/3/2024</w:t>
            </w:r>
          </w:p>
        </w:tc>
        <w:tc>
          <w:tcPr>
            <w:tcW w:w="1280" w:type="dxa"/>
            <w:vAlign w:val="bottom"/>
            <w:tcBorders>
              <w:right w:val="single" w:sz="8" w:color="CCEEFF"/>
            </w:tcBorders>
            <w:gridSpan w:val="2"/>
            <w:vMerge w:val="continue"/>
            <w:shd w:val="clear" w:color="auto" w:fill="CCEEFF"/>
          </w:tcPr>
          <w:p>
            <w:pPr>
              <w:spacing w:after="0"/>
              <w:rPr>
                <w:sz w:val="20"/>
                <w:szCs w:val="20"/>
                <w:color w:val="auto"/>
              </w:rPr>
            </w:pPr>
          </w:p>
        </w:tc>
        <w:tc>
          <w:tcPr>
            <w:tcW w:w="1380" w:type="dxa"/>
            <w:vAlign w:val="bottom"/>
            <w:tcBorders>
              <w:right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11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12/2/2033</w:t>
            </w:r>
          </w:p>
        </w:tc>
        <w:tc>
          <w:tcPr>
            <w:tcW w:w="12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1680" w:type="dxa"/>
            <w:vAlign w:val="bottom"/>
            <w:tcBorders>
              <w:right w:val="single" w:sz="8" w:color="CCEEFF"/>
            </w:tcBorders>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12/3/2023</w:t>
            </w:r>
          </w:p>
        </w:tc>
        <w:tc>
          <w:tcPr>
            <w:tcW w:w="13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12/3/2024</w:t>
            </w:r>
          </w:p>
        </w:tc>
        <w:tc>
          <w:tcPr>
            <w:tcW w:w="1280" w:type="dxa"/>
            <w:vAlign w:val="bottom"/>
            <w:tcBorders>
              <w:right w:val="single" w:sz="8" w:color="CCEEFF"/>
            </w:tcBorders>
            <w:gridSpan w:val="2"/>
            <w:shd w:val="clear" w:color="auto" w:fill="CCEEFF"/>
          </w:tcPr>
          <w:p>
            <w:pPr>
              <w:jc w:val="right"/>
              <w:ind w:right="60"/>
              <w:spacing w:after="0" w:line="324" w:lineRule="exact"/>
              <w:rPr>
                <w:sz w:val="20"/>
                <w:szCs w:val="20"/>
                <w:color w:val="auto"/>
              </w:rPr>
            </w:pPr>
            <w:r>
              <w:rPr>
                <w:rFonts w:ascii="Times New Roman" w:cs="Times New Roman" w:eastAsia="Times New Roman" w:hAnsi="Times New Roman"/>
                <w:sz w:val="18"/>
                <w:szCs w:val="18"/>
                <w:color w:val="auto"/>
              </w:rPr>
              <w:t>79,101</w:t>
            </w:r>
            <w:r>
              <w:rPr>
                <w:rFonts w:ascii="Times New Roman" w:cs="Times New Roman" w:eastAsia="Times New Roman" w:hAnsi="Times New Roman"/>
                <w:sz w:val="29"/>
                <w:szCs w:val="29"/>
                <w:color w:val="auto"/>
                <w:vertAlign w:val="superscript"/>
              </w:rPr>
              <w:t>(2)</w:t>
            </w:r>
          </w:p>
        </w:tc>
        <w:tc>
          <w:tcPr>
            <w:tcW w:w="1380" w:type="dxa"/>
            <w:vAlign w:val="bottom"/>
            <w:tcBorders>
              <w:right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11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12/2/2033</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Jeanne Nguyen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10/14/2024</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10/14/2024</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121,968</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197,588</w:t>
            </w:r>
          </w:p>
        </w:tc>
        <w:tc>
          <w:tcPr>
            <w:tcW w:w="0" w:type="dxa"/>
            <w:vAlign w:val="bottom"/>
          </w:tcPr>
          <w:p>
            <w:pPr>
              <w:spacing w:after="0"/>
              <w:rPr>
                <w:sz w:val="1"/>
                <w:szCs w:val="1"/>
                <w:color w:val="auto"/>
              </w:rPr>
            </w:pPr>
          </w:p>
        </w:tc>
      </w:tr>
      <w:tr>
        <w:trPr>
          <w:trHeight w:val="324"/>
        </w:trPr>
        <w:tc>
          <w:tcPr>
            <w:tcW w:w="1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Foley</w:t>
            </w:r>
          </w:p>
        </w:tc>
        <w:tc>
          <w:tcPr>
            <w:tcW w:w="11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6/11/2024</w:t>
            </w:r>
          </w:p>
        </w:tc>
        <w:tc>
          <w:tcPr>
            <w:tcW w:w="13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7/1/2025</w:t>
            </w: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CEEFF"/>
            </w:tcBorders>
            <w:gridSpan w:val="2"/>
            <w:shd w:val="clear" w:color="auto" w:fill="CCEEFF"/>
          </w:tcPr>
          <w:p>
            <w:pPr>
              <w:ind w:left="960"/>
              <w:spacing w:after="0" w:line="324" w:lineRule="exact"/>
              <w:rPr>
                <w:sz w:val="20"/>
                <w:szCs w:val="20"/>
                <w:color w:val="auto"/>
              </w:rPr>
            </w:pPr>
            <w:r>
              <w:rPr>
                <w:rFonts w:ascii="Times New Roman" w:cs="Times New Roman" w:eastAsia="Times New Roman" w:hAnsi="Times New Roman"/>
                <w:sz w:val="35"/>
                <w:szCs w:val="35"/>
                <w:color w:val="auto"/>
                <w:w w:val="92"/>
                <w:vertAlign w:val="subscript"/>
              </w:rPr>
              <w:t>—</w:t>
            </w:r>
            <w:r>
              <w:rPr>
                <w:rFonts w:ascii="Times New Roman" w:cs="Times New Roman" w:eastAsia="Times New Roman" w:hAnsi="Times New Roman"/>
                <w:sz w:val="15"/>
                <w:szCs w:val="15"/>
                <w:color w:val="auto"/>
                <w:w w:val="92"/>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11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 awards were granted pursuant to the 2023 Plan. Market value is based on a share price of $1.62 at the close of business on December 26, 2025.</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total shares underlying the option award vested on the one-year anniversary of the grant date.</w:t>
      </w:r>
    </w:p>
    <w:p>
      <w:pPr>
        <w:spacing w:after="0" w:line="22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total shares underlying the option award vested on July 1, 2025. As a result of Mr. Foley’s separation from the Company, no further portion of the options are exercisable and the unvested portions of the options expired.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Named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SunPower’s named executive officers is or was an at-will employee.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Thurman J. Rodgers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Rodgers is not currently a party to any employment agreement or other understanding with respect to compensation as our Chief Executive Officer. Mr. Rodgers did not receive separate compensation in his role as Chief Executive Officer during 2024 or 2025.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Jeanne Nguyen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3, 2024, we entered into an employment agreement with Jeanne Nguyen in connection with her appointment as Chief Accounting Officer. Pursuant to the agreement, Ms. Nguyen is entitled to an annual base salary of $350,000 and is eligible to receive an annual bonus with a target of 50% of her base salary, subject to the achievement of performance objectives and the financial condition of the Company. Her employment is at-will and does not provide for any severance benefits.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Daniel Foley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 7, 2024, we entered into an executive employment agreement with Mr. Foley, which became effective on July 1, 2024 (the “</w:t>
      </w:r>
      <w:r>
        <w:rPr>
          <w:rFonts w:ascii="Times New Roman" w:cs="Times New Roman" w:eastAsia="Times New Roman" w:hAnsi="Times New Roman"/>
          <w:sz w:val="18"/>
          <w:szCs w:val="18"/>
          <w:b w:val="1"/>
          <w:bCs w:val="1"/>
          <w:i w:val="1"/>
          <w:iCs w:val="1"/>
          <w:color w:val="auto"/>
        </w:rPr>
        <w:t>Foley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Pursuant to the Foley Agreement. Mr. Foley was entitled to a base salary of $275,000 per year, and he was eligible for an annual bonus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50% of his gross salary. Mr. Foley also received an option to purchase 500,000 shares of our common stock, subject to a five-year vesting schedule. The Foley Agreement also provided that if Mr. Foley’s employment was terminated for any reason other than cause (as defined in the Foley Agreement), death or disability, or if he resigned for good reason (as defined in the Foley Agreement), and provided that in either case such termination constituted a separation from service (as defined in the Foley Agreement), then subject to Mr. Foley executing a release agreement in the Company’s favor, and continuing to comply with all of his obligations to the Company and its affiliates, he was entitled to receive the following benefits: (a) payment of Mr. Foley’s earned but unpaid base salary; (b) payment of any unpaid bonus, with respect to the fiscal year immediately preceding the fiscal year in which such termination or such resignation occurs; (c) payment of any vested benefits to which he was entitled to under any applicable plans and programs of the Company; (d) a severance payment equal to six months of Mr. Foley’s then base salary plus a pro rata portion of Mr. Foley bonus with respect to the fiscal year in which such termination or such resignation occurs.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Mr. Foley’s resignation from the Company, the Company and Mr. Foley entered into a settlement and release agreement in August 2025 pursuant to which Mr. Foley received (a) cash severance payments in the total amount of $100,000 and (b) 57,741 fully-vested restricted stock units.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63"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the executive compensation program. In general, SunPower seeks to provide a base salary level designed to reflect each executive officer’s scope of responsibility and accountability.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Beginning January 1, 2024, each of our named executive officers (other than Mr. Rodgers) was eligible for an annual bonus of 50% of such officer’s annual gross salary, based on criteria determined by our Board of Directors, including, but not limited to, the satisfaction of minimum performance standards, and the achievement of budgetary and other objectives, set by our Board of Directors in its sole and absolute discretion. None of our named executive officers received a cash bonus during 2024. During 2025, each of Ms. Nguyen and Mr. Foley received a $1,500 cash bonus.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did not pay any compensation to our Directors or issue any equity awards to our Directors during 2024. During 2025, we did not have a formal policy relating to the compensation of our non-employee directors. In fiscal 2025, we granted our directors restricted stock units for their contributions to the operations of the business. Additional restricted stock units were issued to Messrs. Anderson and McCranie in consideration of the additional consulting services and support provided to the Company during 2025. The following table provides the compensation for each member of the Board of Directors for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50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80" w:type="dxa"/>
            <w:vAlign w:val="bottom"/>
          </w:tcPr>
          <w:p>
            <w:pPr>
              <w:spacing w:after="0"/>
              <w:rPr>
                <w:sz w:val="20"/>
                <w:szCs w:val="20"/>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31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Thurman J. Rodgers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Adam Gishen</w:t>
            </w:r>
          </w:p>
        </w:tc>
        <w:tc>
          <w:tcPr>
            <w:tcW w:w="140" w:type="dxa"/>
            <w:vAlign w:val="bottom"/>
          </w:tcPr>
          <w:p>
            <w:pPr>
              <w:spacing w:after="0"/>
              <w:rPr>
                <w:sz w:val="24"/>
                <w:szCs w:val="24"/>
                <w:color w:val="auto"/>
              </w:rPr>
            </w:pPr>
          </w:p>
        </w:tc>
        <w:tc>
          <w:tcPr>
            <w:tcW w:w="13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line="310" w:lineRule="exact"/>
              <w:rPr>
                <w:sz w:val="20"/>
                <w:szCs w:val="20"/>
                <w:color w:val="auto"/>
              </w:rPr>
            </w:pPr>
            <w:r>
              <w:rPr>
                <w:rFonts w:ascii="Times New Roman" w:cs="Times New Roman" w:eastAsia="Times New Roman" w:hAnsi="Times New Roman"/>
                <w:sz w:val="18"/>
                <w:szCs w:val="18"/>
                <w:color w:val="auto"/>
              </w:rPr>
              <w:t>167,091</w:t>
            </w:r>
            <w:r>
              <w:rPr>
                <w:rFonts w:ascii="Times New Roman" w:cs="Times New Roman" w:eastAsia="Times New Roman" w:hAnsi="Times New Roman"/>
                <w:sz w:val="29"/>
                <w:szCs w:val="29"/>
                <w:color w:val="auto"/>
                <w:vertAlign w:val="superscript"/>
              </w:rPr>
              <w:t>(1)</w:t>
            </w:r>
          </w:p>
        </w:tc>
        <w:tc>
          <w:tcPr>
            <w:tcW w:w="140" w:type="dxa"/>
            <w:vAlign w:val="bottom"/>
          </w:tcPr>
          <w:p>
            <w:pPr>
              <w:spacing w:after="0"/>
              <w:rPr>
                <w:sz w:val="24"/>
                <w:szCs w:val="24"/>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167,091</w:t>
            </w:r>
          </w:p>
        </w:tc>
      </w:tr>
      <w:tr>
        <w:trPr>
          <w:trHeight w:val="3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Antonio R. Alvarez</w:t>
            </w:r>
          </w:p>
        </w:tc>
        <w:tc>
          <w:tcPr>
            <w:tcW w:w="140" w:type="dxa"/>
            <w:vAlign w:val="bottom"/>
            <w:shd w:val="clear" w:color="auto" w:fill="CCEEFF"/>
          </w:tcPr>
          <w:p>
            <w:pPr>
              <w:spacing w:after="0"/>
              <w:rPr>
                <w:sz w:val="24"/>
                <w:szCs w:val="24"/>
                <w:color w:val="auto"/>
              </w:rPr>
            </w:pPr>
          </w:p>
        </w:tc>
        <w:tc>
          <w:tcPr>
            <w:tcW w:w="13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line="310" w:lineRule="exact"/>
              <w:rPr>
                <w:sz w:val="20"/>
                <w:szCs w:val="20"/>
                <w:color w:val="auto"/>
              </w:rPr>
            </w:pPr>
            <w:r>
              <w:rPr>
                <w:rFonts w:ascii="Times New Roman" w:cs="Times New Roman" w:eastAsia="Times New Roman" w:hAnsi="Times New Roman"/>
                <w:sz w:val="18"/>
                <w:szCs w:val="18"/>
                <w:color w:val="auto"/>
              </w:rPr>
              <w:t>160,901</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160,901</w:t>
            </w:r>
          </w:p>
        </w:tc>
      </w:tr>
      <w:tr>
        <w:trPr>
          <w:trHeight w:val="31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Chris Lundell</w:t>
            </w:r>
          </w:p>
        </w:tc>
        <w:tc>
          <w:tcPr>
            <w:tcW w:w="140" w:type="dxa"/>
            <w:vAlign w:val="bottom"/>
          </w:tcPr>
          <w:p>
            <w:pPr>
              <w:spacing w:after="0"/>
              <w:rPr>
                <w:sz w:val="24"/>
                <w:szCs w:val="24"/>
                <w:color w:val="auto"/>
              </w:rPr>
            </w:pPr>
          </w:p>
        </w:tc>
        <w:tc>
          <w:tcPr>
            <w:tcW w:w="13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line="310" w:lineRule="exact"/>
              <w:rPr>
                <w:sz w:val="20"/>
                <w:szCs w:val="20"/>
                <w:color w:val="auto"/>
              </w:rPr>
            </w:pPr>
            <w:r>
              <w:rPr>
                <w:rFonts w:ascii="Times New Roman" w:cs="Times New Roman" w:eastAsia="Times New Roman" w:hAnsi="Times New Roman"/>
                <w:sz w:val="18"/>
                <w:szCs w:val="18"/>
                <w:color w:val="auto"/>
              </w:rPr>
              <w:t>156,776</w:t>
            </w:r>
            <w:r>
              <w:rPr>
                <w:rFonts w:ascii="Times New Roman" w:cs="Times New Roman" w:eastAsia="Times New Roman" w:hAnsi="Times New Roman"/>
                <w:sz w:val="29"/>
                <w:szCs w:val="29"/>
                <w:color w:val="auto"/>
                <w:vertAlign w:val="superscript"/>
              </w:rPr>
              <w:t>(1)</w:t>
            </w:r>
          </w:p>
        </w:tc>
        <w:tc>
          <w:tcPr>
            <w:tcW w:w="140" w:type="dxa"/>
            <w:vAlign w:val="bottom"/>
          </w:tcPr>
          <w:p>
            <w:pPr>
              <w:spacing w:after="0"/>
              <w:rPr>
                <w:sz w:val="24"/>
                <w:szCs w:val="24"/>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156,776</w:t>
            </w:r>
          </w:p>
        </w:tc>
      </w:tr>
      <w:tr>
        <w:trPr>
          <w:trHeight w:val="3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Devin Whatley</w:t>
            </w:r>
          </w:p>
        </w:tc>
        <w:tc>
          <w:tcPr>
            <w:tcW w:w="140" w:type="dxa"/>
            <w:vAlign w:val="bottom"/>
            <w:shd w:val="clear" w:color="auto" w:fill="CCEEFF"/>
          </w:tcPr>
          <w:p>
            <w:pPr>
              <w:spacing w:after="0"/>
              <w:rPr>
                <w:sz w:val="24"/>
                <w:szCs w:val="24"/>
                <w:color w:val="auto"/>
              </w:rPr>
            </w:pPr>
          </w:p>
        </w:tc>
        <w:tc>
          <w:tcPr>
            <w:tcW w:w="13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line="310" w:lineRule="exact"/>
              <w:rPr>
                <w:sz w:val="20"/>
                <w:szCs w:val="20"/>
                <w:color w:val="auto"/>
              </w:rPr>
            </w:pPr>
            <w:r>
              <w:rPr>
                <w:rFonts w:ascii="Times New Roman" w:cs="Times New Roman" w:eastAsia="Times New Roman" w:hAnsi="Times New Roman"/>
                <w:sz w:val="18"/>
                <w:szCs w:val="18"/>
                <w:color w:val="auto"/>
              </w:rPr>
              <w:t>156,776</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156,776</w:t>
            </w:r>
          </w:p>
        </w:tc>
      </w:tr>
      <w:tr>
        <w:trPr>
          <w:trHeight w:val="3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Ronald Pasek</w:t>
            </w:r>
          </w:p>
        </w:tc>
        <w:tc>
          <w:tcPr>
            <w:tcW w:w="140" w:type="dxa"/>
            <w:vAlign w:val="bottom"/>
          </w:tcPr>
          <w:p>
            <w:pPr>
              <w:spacing w:after="0"/>
              <w:rPr>
                <w:sz w:val="24"/>
                <w:szCs w:val="24"/>
                <w:color w:val="auto"/>
              </w:rPr>
            </w:pPr>
          </w:p>
        </w:tc>
        <w:tc>
          <w:tcPr>
            <w:tcW w:w="13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line="310" w:lineRule="exact"/>
              <w:rPr>
                <w:sz w:val="20"/>
                <w:szCs w:val="20"/>
                <w:color w:val="auto"/>
              </w:rPr>
            </w:pPr>
            <w:r>
              <w:rPr>
                <w:rFonts w:ascii="Times New Roman" w:cs="Times New Roman" w:eastAsia="Times New Roman" w:hAnsi="Times New Roman"/>
                <w:sz w:val="18"/>
                <w:szCs w:val="18"/>
                <w:color w:val="auto"/>
              </w:rPr>
              <w:t>169,153</w:t>
            </w:r>
            <w:r>
              <w:rPr>
                <w:rFonts w:ascii="Times New Roman" w:cs="Times New Roman" w:eastAsia="Times New Roman" w:hAnsi="Times New Roman"/>
                <w:sz w:val="29"/>
                <w:szCs w:val="29"/>
                <w:color w:val="auto"/>
                <w:vertAlign w:val="superscript"/>
              </w:rPr>
              <w:t>(1)</w:t>
            </w:r>
          </w:p>
        </w:tc>
        <w:tc>
          <w:tcPr>
            <w:tcW w:w="140" w:type="dxa"/>
            <w:vAlign w:val="bottom"/>
          </w:tcPr>
          <w:p>
            <w:pPr>
              <w:spacing w:after="0"/>
              <w:rPr>
                <w:sz w:val="24"/>
                <w:szCs w:val="24"/>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169,153</w:t>
            </w:r>
          </w:p>
        </w:tc>
      </w:tr>
      <w:tr>
        <w:trPr>
          <w:trHeight w:val="3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Tidjane Thiam</w:t>
            </w:r>
          </w:p>
        </w:tc>
        <w:tc>
          <w:tcPr>
            <w:tcW w:w="140" w:type="dxa"/>
            <w:vAlign w:val="bottom"/>
            <w:shd w:val="clear" w:color="auto" w:fill="CCEEFF"/>
          </w:tcPr>
          <w:p>
            <w:pPr>
              <w:spacing w:after="0"/>
              <w:rPr>
                <w:sz w:val="24"/>
                <w:szCs w:val="24"/>
                <w:color w:val="auto"/>
              </w:rPr>
            </w:pPr>
          </w:p>
        </w:tc>
        <w:tc>
          <w:tcPr>
            <w:tcW w:w="13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line="310" w:lineRule="exact"/>
              <w:rPr>
                <w:sz w:val="20"/>
                <w:szCs w:val="20"/>
                <w:color w:val="auto"/>
              </w:rPr>
            </w:pPr>
            <w:r>
              <w:rPr>
                <w:rFonts w:ascii="Times New Roman" w:cs="Times New Roman" w:eastAsia="Times New Roman" w:hAnsi="Times New Roman"/>
                <w:sz w:val="18"/>
                <w:szCs w:val="18"/>
                <w:color w:val="auto"/>
              </w:rPr>
              <w:t>160,077</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160,077</w:t>
            </w:r>
          </w:p>
        </w:tc>
      </w:tr>
      <w:tr>
        <w:trPr>
          <w:trHeight w:val="3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William J. Anderson</w:t>
            </w:r>
          </w:p>
        </w:tc>
        <w:tc>
          <w:tcPr>
            <w:tcW w:w="140" w:type="dxa"/>
            <w:vAlign w:val="bottom"/>
          </w:tcPr>
          <w:p>
            <w:pPr>
              <w:spacing w:after="0"/>
              <w:rPr>
                <w:sz w:val="24"/>
                <w:szCs w:val="24"/>
                <w:color w:val="auto"/>
              </w:rPr>
            </w:pPr>
          </w:p>
        </w:tc>
        <w:tc>
          <w:tcPr>
            <w:tcW w:w="13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line="310" w:lineRule="exact"/>
              <w:rPr>
                <w:sz w:val="20"/>
                <w:szCs w:val="20"/>
                <w:color w:val="auto"/>
              </w:rPr>
            </w:pPr>
            <w:r>
              <w:rPr>
                <w:rFonts w:ascii="Times New Roman" w:cs="Times New Roman" w:eastAsia="Times New Roman" w:hAnsi="Times New Roman"/>
                <w:sz w:val="18"/>
                <w:szCs w:val="18"/>
                <w:color w:val="auto"/>
              </w:rPr>
              <w:t>214,536</w:t>
            </w:r>
            <w:r>
              <w:rPr>
                <w:rFonts w:ascii="Times New Roman" w:cs="Times New Roman" w:eastAsia="Times New Roman" w:hAnsi="Times New Roman"/>
                <w:sz w:val="29"/>
                <w:szCs w:val="29"/>
                <w:color w:val="auto"/>
                <w:vertAlign w:val="superscript"/>
              </w:rPr>
              <w:t>(1)</w:t>
            </w:r>
          </w:p>
        </w:tc>
        <w:tc>
          <w:tcPr>
            <w:tcW w:w="140" w:type="dxa"/>
            <w:vAlign w:val="bottom"/>
          </w:tcPr>
          <w:p>
            <w:pPr>
              <w:spacing w:after="0"/>
              <w:rPr>
                <w:sz w:val="24"/>
                <w:szCs w:val="24"/>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214,536</w:t>
            </w:r>
          </w:p>
        </w:tc>
      </w:tr>
      <w:tr>
        <w:trPr>
          <w:trHeight w:val="3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Lothar Maier</w:t>
            </w:r>
          </w:p>
        </w:tc>
        <w:tc>
          <w:tcPr>
            <w:tcW w:w="140" w:type="dxa"/>
            <w:vAlign w:val="bottom"/>
            <w:shd w:val="clear" w:color="auto" w:fill="CCEEFF"/>
          </w:tcPr>
          <w:p>
            <w:pPr>
              <w:spacing w:after="0"/>
              <w:rPr>
                <w:sz w:val="24"/>
                <w:szCs w:val="24"/>
                <w:color w:val="auto"/>
              </w:rPr>
            </w:pPr>
          </w:p>
        </w:tc>
        <w:tc>
          <w:tcPr>
            <w:tcW w:w="13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line="310" w:lineRule="exact"/>
              <w:rPr>
                <w:sz w:val="20"/>
                <w:szCs w:val="20"/>
                <w:color w:val="auto"/>
              </w:rPr>
            </w:pPr>
            <w:r>
              <w:rPr>
                <w:rFonts w:ascii="Times New Roman" w:cs="Times New Roman" w:eastAsia="Times New Roman" w:hAnsi="Times New Roman"/>
                <w:sz w:val="18"/>
                <w:szCs w:val="18"/>
                <w:color w:val="auto"/>
              </w:rPr>
              <w:t>367,185</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367,185</w:t>
            </w:r>
          </w:p>
        </w:tc>
      </w:tr>
      <w:tr>
        <w:trPr>
          <w:trHeight w:val="3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 Daniel McCranie</w:t>
            </w:r>
          </w:p>
        </w:tc>
        <w:tc>
          <w:tcPr>
            <w:tcW w:w="140" w:type="dxa"/>
            <w:vAlign w:val="bottom"/>
          </w:tcPr>
          <w:p>
            <w:pPr>
              <w:spacing w:after="0"/>
              <w:rPr>
                <w:sz w:val="24"/>
                <w:szCs w:val="24"/>
                <w:color w:val="auto"/>
              </w:rPr>
            </w:pPr>
          </w:p>
        </w:tc>
        <w:tc>
          <w:tcPr>
            <w:tcW w:w="13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line="310" w:lineRule="exact"/>
              <w:rPr>
                <w:sz w:val="20"/>
                <w:szCs w:val="20"/>
                <w:color w:val="auto"/>
              </w:rPr>
            </w:pPr>
            <w:r>
              <w:rPr>
                <w:rFonts w:ascii="Times New Roman" w:cs="Times New Roman" w:eastAsia="Times New Roman" w:hAnsi="Times New Roman"/>
                <w:sz w:val="18"/>
                <w:szCs w:val="18"/>
                <w:color w:val="auto"/>
              </w:rPr>
              <w:t>2,217,185</w:t>
            </w:r>
            <w:r>
              <w:rPr>
                <w:rFonts w:ascii="Times New Roman" w:cs="Times New Roman" w:eastAsia="Times New Roman" w:hAnsi="Times New Roman"/>
                <w:sz w:val="29"/>
                <w:szCs w:val="29"/>
                <w:color w:val="auto"/>
                <w:vertAlign w:val="superscript"/>
              </w:rPr>
              <w:t>(2)</w:t>
            </w:r>
          </w:p>
        </w:tc>
        <w:tc>
          <w:tcPr>
            <w:tcW w:w="140" w:type="dxa"/>
            <w:vAlign w:val="bottom"/>
          </w:tcPr>
          <w:p>
            <w:pPr>
              <w:spacing w:after="0"/>
              <w:rPr>
                <w:sz w:val="24"/>
                <w:szCs w:val="24"/>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2,217,185</w:t>
            </w:r>
          </w:p>
        </w:tc>
      </w:tr>
      <w:tr>
        <w:trPr>
          <w:trHeight w:val="32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Jamie Haenggi</w:t>
            </w:r>
          </w:p>
        </w:tc>
        <w:tc>
          <w:tcPr>
            <w:tcW w:w="140" w:type="dxa"/>
            <w:vAlign w:val="bottom"/>
            <w:shd w:val="clear" w:color="auto" w:fill="CCEEFF"/>
          </w:tcPr>
          <w:p>
            <w:pPr>
              <w:spacing w:after="0"/>
              <w:rPr>
                <w:sz w:val="24"/>
                <w:szCs w:val="24"/>
                <w:color w:val="auto"/>
              </w:rPr>
            </w:pPr>
          </w:p>
        </w:tc>
        <w:tc>
          <w:tcPr>
            <w:tcW w:w="13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shares underling the RSU award were fully vested on the grant date</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243,169 shares under Mr. McCranie’s RSU awards were fully vested on the grant date. Mr. McCranie received a onetime grant of 1,000,000 RSUs in 2025 that vest in equal monthly installments over five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SunPower’s Compensation Committee oversees the compensation policies, plans and programs and reviews and determines compensation to be paid to executive officers, directors and other senior management, as appropriate. The compensation policies followed by SunPower are intended to provide for compensation that is sufficient to attract, motivate and retain executives of SunPower and potential other individuals and to establish an appropriate relationship between executive compensation and the creation of stockholder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SunPower’s named executive officers did not participate in, or earn any benefits under, any nonqualified deferred compensation plan sponsored by SunPower during fiscal 2024 or 2025. The Board of Directors may elect to provide officers and other employees with nonqualified deferred compensation benefits in the future if it determines that doing so is in the Company’s best interests.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SunPower’s named executive officers did not participate in, or otherwise receive any benefits under, any pension or retirement plan sponsored by SunPower during fiscal 2024 or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Equity-based compensation has been and will continue to be an important foundation in executive compensation packages as SunPower believes it is important to maintain a strong link between executive incentives and the creation of stockholder value. SunPower believes that performance and equity-based compensation can be an important component of the total executive compensation package for maximizing stockholder value while, at the same time, attracting, motivating and retaining high-quality executives. In July 2023, our Board of Directors adopted the 2023 Equity Incentive Plan, as subsequently amended (the “</w:t>
      </w:r>
      <w:r>
        <w:rPr>
          <w:rFonts w:ascii="Times New Roman" w:cs="Times New Roman" w:eastAsia="Times New Roman" w:hAnsi="Times New Roman"/>
          <w:sz w:val="18"/>
          <w:szCs w:val="18"/>
          <w:b w:val="1"/>
          <w:bCs w:val="1"/>
          <w:i w:val="1"/>
          <w:iCs w:val="1"/>
          <w:color w:val="auto"/>
        </w:rPr>
        <w:t>2023 Plan</w:t>
      </w:r>
      <w:r>
        <w:rPr>
          <w:rFonts w:ascii="Times New Roman" w:cs="Times New Roman" w:eastAsia="Times New Roman" w:hAnsi="Times New Roman"/>
          <w:sz w:val="18"/>
          <w:szCs w:val="18"/>
          <w:color w:val="auto"/>
        </w:rPr>
        <w:t>”) and the Employee Stock Purchase Plan (the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2023 Plan and the ESPP became effective immediately upon the Closing of the Business Combination.</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Below is a description of the 2023 Plan, the ESPP, Complete Solaria’s 2022 Stock Plan (the “</w:t>
      </w:r>
      <w:r>
        <w:rPr>
          <w:rFonts w:ascii="Times New Roman" w:cs="Times New Roman" w:eastAsia="Times New Roman" w:hAnsi="Times New Roman"/>
          <w:sz w:val="18"/>
          <w:szCs w:val="18"/>
          <w:b w:val="1"/>
          <w:bCs w:val="1"/>
          <w:i w:val="1"/>
          <w:iCs w:val="1"/>
          <w:color w:val="auto"/>
        </w:rPr>
        <w:t>2022 Plan</w:t>
      </w:r>
      <w:r>
        <w:rPr>
          <w:rFonts w:ascii="Times New Roman" w:cs="Times New Roman" w:eastAsia="Times New Roman" w:hAnsi="Times New Roman"/>
          <w:sz w:val="18"/>
          <w:szCs w:val="18"/>
          <w:color w:val="auto"/>
        </w:rPr>
        <w:t>”), Complete Solaria’s 2011 Stock Plan (the “</w:t>
      </w:r>
      <w:r>
        <w:rPr>
          <w:rFonts w:ascii="Times New Roman" w:cs="Times New Roman" w:eastAsia="Times New Roman" w:hAnsi="Times New Roman"/>
          <w:sz w:val="18"/>
          <w:szCs w:val="18"/>
          <w:b w:val="1"/>
          <w:bCs w:val="1"/>
          <w:i w:val="1"/>
          <w:iCs w:val="1"/>
          <w:color w:val="auto"/>
        </w:rPr>
        <w:t>2011 Plan</w:t>
      </w:r>
      <w:r>
        <w:rPr>
          <w:rFonts w:ascii="Times New Roman" w:cs="Times New Roman" w:eastAsia="Times New Roman" w:hAnsi="Times New Roman"/>
          <w:sz w:val="18"/>
          <w:szCs w:val="18"/>
          <w:color w:val="auto"/>
        </w:rPr>
        <w:t>”), Complete Solaria’s 2016 Stock Plan (the “</w:t>
      </w:r>
      <w:r>
        <w:rPr>
          <w:rFonts w:ascii="Times New Roman" w:cs="Times New Roman" w:eastAsia="Times New Roman" w:hAnsi="Times New Roman"/>
          <w:sz w:val="18"/>
          <w:szCs w:val="18"/>
          <w:b w:val="1"/>
          <w:bCs w:val="1"/>
          <w:i w:val="1"/>
          <w:iCs w:val="1"/>
          <w:color w:val="auto"/>
        </w:rPr>
        <w:t>2016 Plan</w:t>
      </w:r>
      <w:r>
        <w:rPr>
          <w:rFonts w:ascii="Times New Roman" w:cs="Times New Roman" w:eastAsia="Times New Roman" w:hAnsi="Times New Roman"/>
          <w:sz w:val="18"/>
          <w:szCs w:val="18"/>
          <w:color w:val="auto"/>
        </w:rPr>
        <w:t>”) and Complete Solaria’s 2006 Stock Plan (the “</w:t>
      </w:r>
      <w:r>
        <w:rPr>
          <w:rFonts w:ascii="Times New Roman" w:cs="Times New Roman" w:eastAsia="Times New Roman" w:hAnsi="Times New Roman"/>
          <w:sz w:val="18"/>
          <w:szCs w:val="18"/>
          <w:b w:val="1"/>
          <w:bCs w:val="1"/>
          <w:i w:val="1"/>
          <w:iCs w:val="1"/>
          <w:color w:val="auto"/>
        </w:rPr>
        <w:t>2006 Plan</w:t>
      </w:r>
      <w:r>
        <w:rPr>
          <w:rFonts w:ascii="Times New Roman" w:cs="Times New Roman" w:eastAsia="Times New Roman" w:hAnsi="Times New Roman"/>
          <w:sz w:val="18"/>
          <w:szCs w:val="18"/>
          <w:color w:val="auto"/>
        </w:rPr>
        <w:t>”). The 2022 Plan is the successor of the 2021 Stock Plan of Legacy Complete Solaria, which was amended and assumed by Complete Solaria in connection with a merger transaction completed prior to the Business Combination by Complete Solaria (the “</w:t>
      </w:r>
      <w:r>
        <w:rPr>
          <w:rFonts w:ascii="Times New Roman" w:cs="Times New Roman" w:eastAsia="Times New Roman" w:hAnsi="Times New Roman"/>
          <w:sz w:val="18"/>
          <w:szCs w:val="18"/>
          <w:b w:val="1"/>
          <w:bCs w:val="1"/>
          <w:i w:val="1"/>
          <w:iCs w:val="1"/>
          <w:color w:val="auto"/>
        </w:rPr>
        <w:t>Prior Transaction</w:t>
      </w:r>
      <w:r>
        <w:rPr>
          <w:rFonts w:ascii="Times New Roman" w:cs="Times New Roman" w:eastAsia="Times New Roman" w:hAnsi="Times New Roman"/>
          <w:sz w:val="18"/>
          <w:szCs w:val="18"/>
          <w:color w:val="auto"/>
        </w:rPr>
        <w:t>”). The 2011 Plan is the 2011 Stock Plan of Legacy Complete Solaria that was assumed by Complete Solaria in the Prior Transaction. The 2022 Plan, 2016 Plan, 2011 Plan and 2006 Plan are collectively referred to as the “</w:t>
      </w:r>
      <w:r>
        <w:rPr>
          <w:rFonts w:ascii="Times New Roman" w:cs="Times New Roman" w:eastAsia="Times New Roman" w:hAnsi="Times New Roman"/>
          <w:sz w:val="18"/>
          <w:szCs w:val="18"/>
          <w:b w:val="1"/>
          <w:bCs w:val="1"/>
          <w:i w:val="1"/>
          <w:iCs w:val="1"/>
          <w:color w:val="auto"/>
        </w:rPr>
        <w:t>Legacy Plans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2016 Plan and the 2006 Plan are the stock plans of Solaria that were assumed by Complete Solaria (n/k/a SunPower) in the Prior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2023, our Board of Directors adopted and our stockholders approved the 2023 Plan. The 2023 Plan became effective immediately upon the closing. At our 2025 annual meeting of stockholders, our stockholders approved the first amendment to the 2023 Plan and at our special meeting of stockholders in March 2026, our stockholders approved the second amendment to the 2023 Plan. As amended, a total of 44,573,109 shares of common stock are reserved for issuance under the 2023 Plan.</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Any individual who is an employee of the Company or any of its affiliates, or any person who provides services to the Company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including consultants and members of the Company’s Board, is eligible to receive awards under the 2023 Plan at the discretion of the plan administrator.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2023 Plan provides for the grant of incentive stock options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within the meaning of Section 422 of the Code to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employees of any parent or subsidiary, and for the grant of nonstatutory stock options (“</w:t>
      </w:r>
      <w:r>
        <w:rPr>
          <w:rFonts w:ascii="Times New Roman" w:cs="Times New Roman" w:eastAsia="Times New Roman" w:hAnsi="Times New Roman"/>
          <w:sz w:val="18"/>
          <w:szCs w:val="18"/>
          <w:b w:val="1"/>
          <w:bCs w:val="1"/>
          <w:i w:val="1"/>
          <w:iCs w:val="1"/>
          <w:color w:val="auto"/>
        </w:rPr>
        <w:t>NSOs</w:t>
      </w:r>
      <w:r>
        <w:rPr>
          <w:rFonts w:ascii="Times New Roman" w:cs="Times New Roman" w:eastAsia="Times New Roman" w:hAnsi="Times New Roman"/>
          <w:sz w:val="18"/>
          <w:szCs w:val="18"/>
          <w:color w:val="auto"/>
        </w:rPr>
        <w:t>”), stock appreciation rights, restricted stock awards, restricted stock unit awards, performance awards and other forms of awards to employees, directors and consultants, including employees and consultants of the Company’s affiliates.</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A maximum number of 44,573,109 shares of the Company’s common stock may be issued under the 2023 Plan (which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of common stock includes additional shares of common stock available for issuance as a result of the automatic increase thereto as of January 1, 2026 as contemplated by the next sentence). In addition, the number of shares of the common stock reserved for issuance under the 2023 Plan will automatically increase on January 1 of each year, starting on January 1, 2024 and ending on January 1, 2033, in an amount equal to the lesser of (1) 4% of the total number of shares of the Company’s common stock outstanding on December 31 of the preceding year, or (2) a lesser number of shares of common stock determined by SunPower’s Board prior to the date of the increase.</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unused shares subject to stock awards granted under the 2023 Plan that expire, lapse or are terminated, exchanged for or settled in cash, surrendered, repurchased, cancelled without having been fully exercised or forfeited, in any case, in a manner that results in the Company acquiring shares covered by the stock award at a price not greater than the price (as adjusted pursuant to the 2023 Plan) paid by the participant for such shares or not issuing any shares covered by the stock award, will, as applicable, become or again be available for stock award grants under the 2023 Plan.</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Non-Employee Director Compensation Limit</w:t>
      </w:r>
      <w:r>
        <w:rPr>
          <w:rFonts w:ascii="Times New Roman" w:cs="Times New Roman" w:eastAsia="Times New Roman" w:hAnsi="Times New Roman"/>
          <w:sz w:val="18"/>
          <w:szCs w:val="18"/>
          <w:color w:val="auto"/>
        </w:rPr>
        <w:t>. The aggregate value of all compensation granted or paid to any non-employee director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calendar year, including awards granted and cash fees paid to such non-employee director, will not exceed (1) $1,000,000 in total value or (2) if such non-employee director is first appointed or elected to the Company’s Board during such calendar year, $1,500,000 in total value, in each case, calculating the value of any equity awards based on the grant date fair value of such equity awards for financial reporting purposes.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3" w:name="page144"/>
    <w:bookmarkEnd w:id="143"/>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SunPower’s Board, or a duly authorized committee thereof, will administer the 2023 Plan and is referred to as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herein. The Company’s Board may also delegate to one or more of the Company’s officers the authority to (1) designate employees (other than officers) to receive specified stock awards and (2) determine the number of shares subject to such stock awards. Under the 2023 Plan, the Company’s Board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under stock option agreements adopted by the plan administrator. The plan administrator determines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exercise price for stock options, within the terms and conditions of the 2023 Plan, provided that the exercise price of a stock option generally cannot be less than 100% of the fair market value of a share of the Company’s common stock on the date of grant. Options granted under the 2023 Plan vest at the rate specified in the stock option agreement as determined by the plan administrator.</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plan administrator determines the term of stock options granted under the 2023 Plan, up to a maximum of 10 years. Unless the terms of an optionholder’s stock option agreement provide otherwise or as otherwise provided by the plan administrator, if an optionholder’s service relationship with the Company or any of the Company’s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Unless the terms of an optionholder’s stock option agreement provide otherwise or as otherwise provided by the plan administrator, if an optionholder’s service relationship with the Company or any of the Company’s affiliates ceases due to death or disability, or an optionholder dies within a certain period following cessation of service, the optionholder or a beneficiary may generally exercise any vested options for a period of 18 months following the date of death, or 12 months following the date of disability. In the event of a termination for cause, options generally terminate upon the termination date. In no event may an option be exercised beyond the expiration of its term.</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the Company’s common stock issued upon the exercise of a stock option will be determined by the plan administrator and may include (1) cash, check, bank draft or money order, (2) a broker-assisted cashless exercise, (3) the tender of shares of the Company’s common stock previously owned by the optionholder, (4) a net exercise of the option if it is an NSO or (5) other legal consideration approved by the plan administrator.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the Company’s common stock with respect to ISOs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exercisable for the first time by an award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under restricted stock unit award agreements adopted by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Restricted stock unit awards will generally be granted in consideration for a participant’s services, but may be granted in consideration for any form of legal consideration that may be acceptable to the plan administrator and permissible under applicable law. A restricted stock unit award may be settled by cash, delivery of shares of the Company’s common stock, a combination of cash and shares of the Company’s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44" w:name="page145"/>
    <w:bookmarkEnd w:id="144"/>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under restricted stock award agreements adopted by the plan administrator.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 may be awarded in consideration for cash, check, bank draft or money order, services to us,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the Company ends for any reason, the Company may receive any or all of the shares of the Company’s Common Stock held by the participant that have not vested as of the date the participant terminates service with the Company through a forfeiture condition or a repurchase right.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under stock appreciation rights agreements adopted by the plan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administrator determines the strike price for a stock appreciation right, which generally cannot be less than 100% of the fair market value of the Company’s Common Stock on the date of grant. A stock appreciation right granted under the 2023 Plan vests at the rate specified in the stock appreciation rights agreement as determined by the plan administrator. Stock appreciation rights may be settled in cash or shares of the Company’s Common Stock or in any other form of payment, as determined by the plan administrator and specified in the stock appreciation rights agreement.</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plan administrator determines the term of stock appreciation rights granted under the 2023 Plan, up to a maximum of 10 years. Unless the terms of a participant’s stock appreciation rights agreement provide otherwise or as otherwise provided by the plan administrator, if a participant’s service relationship with the Company or any of its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Unless the terms of a participant’s stock appreciation rights agreement provide otherwise or as otherwise provided by the plan administrator, if a participant’s service relationship with the Company or any of its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The 2023 Plan permits the grant of performance awards that may be settled in stock, cash or other property.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Company’s common stock.</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Other Stock Awards</w:t>
      </w:r>
      <w:r>
        <w:rPr>
          <w:rFonts w:ascii="Times New Roman" w:cs="Times New Roman" w:eastAsia="Times New Roman" w:hAnsi="Times New Roman"/>
          <w:sz w:val="18"/>
          <w:szCs w:val="18"/>
          <w:color w:val="auto"/>
        </w:rPr>
        <w:t>. The plan administrator may grant other awards based in whole or in part by reference to the Company’s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administrator will set the number of shares under the stock award (or cash equivalent) and all other terms and conditions of such awards.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In the event there is a specified type of change in the capital structure of the Company, such as a stock split,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or recapitalization, appropriate adjustments will be made to (1) the class and maximum number of shares subject to the 2023 Plan, (2) the class(es) and maximum number of shares that may be issued pursuant to the exercise of incentive stock options, and (3) the class and number of shares and exercise price, strike price, or purchase price, if applicable, of all outstanding stock awards.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The following applies to stock awards under the 2023 Plan in the event of a corporate transaction (as defined in the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unless otherwise provided in a participant’s stock award agreement or other written agreement with the Company or one of its affiliates or unless otherwise expressly provided by the plan administrator at the time of grant.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2023 Plan may be assumed, or continued by any surviving or acquiring corporation (or its parent company), or new awards may be issued by such surviving or acquiring corporation (or its parent company) in substitution of such awards, and any reacquisition or repurchase rights held by the Company with respect to the stock award may be assigned to the Company’s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the Company with respect to such stock awards will lapse (contingent upon the effectiveness of the corporate transaction). Any such stock awards that are held by persons other than current participants will terminate if not exercised (if applicable) prior to the effective time of the corporate transaction, except that any reacquisition or repurchase rights held by the Company with respect to such stock awards will not terminate and may continue to be exercised notwithstanding the corporate transaction.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45" w:name="page146"/>
    <w:bookmarkEnd w:id="14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the Company’s common stock in connection with the corporate transaction, over (ii) if applicable, any per share exercise price payable by such holder.</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The Company’s Board has the authority to amend, suspend, or terminate the 2023 Plan at any time, provided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action does not materially impair the existing rights of any participant without such participant’s written consent. Certain material amendments also require approval of the Company’s stockholders. No ISOs may be granted after the tenth anniversary of the date the Board adopts the 2023 Plan. No stock awards may be granted under the 2023 Plan while it is suspended or after it is terminated.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Solaria 2023 Employee Stock Purchase Plan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In July 2023, our Board of Directors adopted and our stockholders approved the 2023 Employee Stock Purchase Plan (the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The ESPP became effective immediately upon the Closing of the Business Combination.</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Board of Directors, or a duly authorized committee thereof, administers the ESPP.</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Limitations. </w:t>
      </w:r>
      <w:r>
        <w:rPr>
          <w:rFonts w:ascii="Times New Roman" w:cs="Times New Roman" w:eastAsia="Times New Roman" w:hAnsi="Times New Roman"/>
          <w:sz w:val="18"/>
          <w:szCs w:val="18"/>
          <w:color w:val="auto"/>
        </w:rPr>
        <w:t>Our employees and the employees of any of our designated affiliates, as designated by the Board of Directors, will be eligible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the ESPP, provided they may have to satisfy one or more of the following service requirements before participating in the ESPP, as determined by the administrator: (1) customary employment with the Company or one of its affiliates for more than 20 hours per week and five or more months per calendar year or (2) continuous employment with the Company or one of its affiliates for a minimum period of time, not to exceed two years, prior to the first date of an offering. In addition, the Board of Directors may also exclude from participation in the ESPP or any offering, employees who are “highly compensated employees” (within the meaning of Section 423(b)(4)(D) of the Code) or a subset of such highly compensated employees. An employee may not be granted rights to purchase stock under the ESPP (a) if such employee immediately after the grant would own stock possessing 5% or more of the total combined voting power or value of all classes of the Company’s common stock or (b) to the extent that such rights would accrue at a rate that exceeds $25,000 worth of the Company’s common stock for each calendar year that the rights remain outstanding.</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ESPP is intended to qualify as an employee stock purchase plan under Section 423 of the Code. The administrator may specify offerings with a duration of not more than 27 months and may specify one or more shorter purchase periods within each offering. Each offering will have one or more purchase dates on which shares of the Company’s common stock will be purchased for the employees who are participating in the offering. The administrator, in its discretion, will determine the terms of offerings under the ESPP. The administrator has the discretion to structure an offering so that if the fair market value of a share of the Company’s common stock on any purchase date during the offering period is less than or equal to the fair market value of a share of the Company’s common stock on the first day of the offering period, then that offering will terminate immediately, and the participants in such terminated offering will be automatically enrolled in a new offering that begins immediately after such purchase date.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participant may not transfer purchase rights under the ESPP other than by will, the laws of descent and distribution, or as otherwise provided under the ESPP.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6" w:name="page147"/>
    <w:bookmarkEnd w:id="146"/>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Payroll Deductions. </w:t>
      </w:r>
      <w:r>
        <w:rPr>
          <w:rFonts w:ascii="Times New Roman" w:cs="Times New Roman" w:eastAsia="Times New Roman" w:hAnsi="Times New Roman"/>
          <w:sz w:val="18"/>
          <w:szCs w:val="18"/>
          <w:color w:val="auto"/>
        </w:rPr>
        <w:t>The ESPP permits participants to purchase shares of the Company’s common stock through payroll deductions.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determined by the administrator, the purchase price of the shares will be 85% of the lower of the fair market value of the Company’s common stock on the first day of an offering or on the date of purchase. Participants may end their participation at any time during an offering and will be paid their accrued contributions that have not yet been used to purchase shares, without interest. Participation ends automatically upon termination of employment with the Company and its related corporations.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Withdrawal. </w:t>
      </w:r>
      <w:r>
        <w:rPr>
          <w:rFonts w:ascii="Times New Roman" w:cs="Times New Roman" w:eastAsia="Times New Roman" w:hAnsi="Times New Roman"/>
          <w:sz w:val="18"/>
          <w:szCs w:val="18"/>
          <w:color w:val="auto"/>
        </w:rPr>
        <w:t>Participants may withdraw from an offering by delivering a withdrawal form to the Company and terminating their contributions.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withdrawal may be elected at any time prior to the end of an offering, except as otherwise provided by the plan Administrator. Upon such withdrawal, the Company will distribute to the employee his or her accumulated but unused contributions without interest, and such employee’s right to participate in that offering will terminate. However, an employee’s withdrawal from an offering does not affect such employee’s eligibility to participate in any other offerings under the ESPP.</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Termination of Employment. </w:t>
      </w:r>
      <w:r>
        <w:rPr>
          <w:rFonts w:ascii="Times New Roman" w:cs="Times New Roman" w:eastAsia="Times New Roman" w:hAnsi="Times New Roman"/>
          <w:sz w:val="18"/>
          <w:szCs w:val="18"/>
          <w:color w:val="auto"/>
        </w:rPr>
        <w:t>A participant’s rights under any offering under the ESPP will terminate immediately if the participant either (i) is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longer employed by the Company or any of its parent or subsidiary companies (subject to any post-employment participation period required by law) or</w:t>
      </w:r>
    </w:p>
    <w:p>
      <w:pPr>
        <w:ind w:firstLine="8"/>
        <w:spacing w:after="0" w:line="260" w:lineRule="auto"/>
        <w:tabs>
          <w:tab w:leader="none" w:pos="30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no longer eligible to participate. In such event, the Company will distribute to the participant his or her accumulated but unused contributions, without interest.</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certain specified significant corporate transactions, such as a merger or change in control, a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may assume, continue, or substitute each outstanding purchase right. If the successor corporation does not assume, continue, or substitute for the outstanding purchase rights, the offering in progress will be shortened and the participants’ accumulated contributions will be used to purchase shares of the Company’s common stock within ten business days (or such other period specified by the plan administrator) prior to the corporate transaction, and the participants’ purchase rights will terminate immediately thereafter.</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Board of Directors has the authority to amend, suspend, or terminate the ESPP, at any time and for any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certain types of amendments will require the approval of the Company’s stockholders. 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 or governmental regulations, or (iii) as necessary to obtain or maintain favorable tax, listing, or regulatory treatment. The ESPP will remain in effect until terminated by the Board of Directors in accordance with the terms of the ESPP.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Plan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Background; Termination and No Further Grants Under 2022 Stock Plan. </w:t>
      </w:r>
      <w:r>
        <w:rPr>
          <w:rFonts w:ascii="Times New Roman" w:cs="Times New Roman" w:eastAsia="Times New Roman" w:hAnsi="Times New Roman"/>
          <w:sz w:val="18"/>
          <w:szCs w:val="18"/>
          <w:color w:val="auto"/>
        </w:rPr>
        <w:t>Complete Solaria’s Board of Directors adopted, and Complete Solaria’s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approved, the 2022 Plan in October 2022 in connection with the Prior Transaction. The 2022 Plan amended and restated Legacy Complete Solaria’s 2021 Stock Plan.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2022 Plan terminated when the 2023 Plan became effective upon the consummation of the Business Combination. However, any outstanding awards granted under the 2022 Plan remain outstanding, subject to the terms of Complete Solaria’s 2022 Plan and award agreements, until such outstanding options are exercised or until any awards terminate or expire by their terms.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28, 2025, there were outstanding awards relating to 305,749 shares of the Company’s common stock under the 2022 Plan and the other Legacy Plans, collectively.</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Stock Awards. </w:t>
      </w:r>
      <w:r>
        <w:rPr>
          <w:rFonts w:ascii="Times New Roman" w:cs="Times New Roman" w:eastAsia="Times New Roman" w:hAnsi="Times New Roman"/>
          <w:sz w:val="18"/>
          <w:szCs w:val="18"/>
          <w:color w:val="auto"/>
        </w:rPr>
        <w:t>The 2022 Plan provides for the grant of incentive stock options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and nonstatutory stock options to purchase shares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common stock and restricted stock awards (collectively, “</w:t>
      </w:r>
      <w:r>
        <w:rPr>
          <w:rFonts w:ascii="Times New Roman" w:cs="Times New Roman" w:eastAsia="Times New Roman" w:hAnsi="Times New Roman"/>
          <w:sz w:val="18"/>
          <w:szCs w:val="18"/>
          <w:b w:val="1"/>
          <w:bCs w:val="1"/>
          <w:i w:val="1"/>
          <w:iCs w:val="1"/>
          <w:color w:val="auto"/>
        </w:rPr>
        <w:t>stock awards</w:t>
      </w:r>
      <w:r>
        <w:rPr>
          <w:rFonts w:ascii="Times New Roman" w:cs="Times New Roman" w:eastAsia="Times New Roman" w:hAnsi="Times New Roman"/>
          <w:sz w:val="18"/>
          <w:szCs w:val="18"/>
          <w:color w:val="auto"/>
        </w:rPr>
        <w:t>”). ISOs may be granted only to the Company’s employees and the employees of any parent corporation or subsidiary corporation. All other awards may be granted to the Company’s employees, non-employee directors and consultants and the employees and consultants of the Company’s affiliates.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47" w:name="page148"/>
    <w:bookmarkEnd w:id="14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stock award granted under the 2022 Plan expires or otherwise terminates without being exercised in full, or is settled in cash, the shares of the Company’s common stock not acquired pursuant to the stock award again will become available for subsequent issuance under the 2022 Plan (in the event that the 2023 Plan does not become effective as described in the preceding paragraph). In addition, the following types of shares of the Company’s common stock under the 2022 Plan may become available for the grant of new stock awards under the 2022 Plan: (1) shares that are forfeited to or repurchased by the Company prior to becoming fully vested; (2) shares retained to satisfy income or employment withholding taxes; (3) shares retained to pay the exercise or purchase price of a stock award; or (4) shares surrendered pursuant to an option exchange program.</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Board of Directors, or a duly authorized committee thereof, has the authority to administer the 2022 Plan.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may also delegate to one or more officers the authority to (1) designate employees (other than other officers or directors) to be recipients of certain stock awards, and (2) grant stock awards to such individuals within parameters specified by the Board of Directors. Subject to the terms of the 2022 Plan, the plan administrator determines the award recipients, dates of grant, the numbers and types of stock awards to be granted and the applicable fair market value and the provisions of the stock awards, including the period of their exercisability, the vesting schedule applicable to a stock award and any repurchase rights that may apply. The plan administrator has the authority to modify outstanding awards, including reducing the exercise, purchase or strike price of any outstanding stock award, canceling any outstanding stock award in exchange for new stock awards, cash or other consideration or taking any other action that is treated as a repricing under generally accepted accounting principles, with the consent of any adversely affected participant.</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ISOs and NSOs are granted pursuant to stock option agreements adopted by the plan administrator.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the exercise price for a stock option, provided that the exercise price of a stock option generally cannot be less than 100% of the fair market value of the Company’s common stock on the date of grant. Options granted under the 2022 Plan vest at the rate specified by the plan administrator.</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plan administrator determines the term of stock options granted under the 2022 Plan, up to a maximum of ten years. Unless the terms of an optionholder’s stock option agreement provide otherwise, if an optionholder’s service relationship with us, or any of the Company’s affiliates,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If an optionholder’s service relationship with the Company or any of its affiliates ceases due to disability or death, or an optionholder dies within 3 months following cessation of service, the optionholder or a beneficiary may generally exercise any vested options for a period of 12 months following such disability or death. In the event of a termination for cause, options generally terminate immediately upon the termination of the individual for cause. In no event may an option be exercised beyond the expiration of its term.</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the Company’s common stock issued upon the exercise of a stock option will be determined by the plan administrator and may include: (1) cash; (2) check; (3) to the extent permitted under applicable laws, a promissory note; (4) cancellation of indebtedness; (5) other previously owned Company shares; (6) a cashless exercise; (7) such other consideration and method of payment permitted under applicable laws; or (8) any combination of the foregoing methods of payment.</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Limitations on Incentive Stock Options. </w:t>
      </w:r>
      <w:r>
        <w:rPr>
          <w:rFonts w:ascii="Times New Roman" w:cs="Times New Roman" w:eastAsia="Times New Roman" w:hAnsi="Times New Roman"/>
          <w:sz w:val="18"/>
          <w:szCs w:val="18"/>
          <w:color w:val="auto"/>
        </w:rPr>
        <w:t>The aggregate fair market value, determined at the time of grant, of the Company’s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ISOs that are exercisable for the first time by an optionholder during any calendar year under all the Company’s stock plans may not exceed $100,000. Options or portions thereof that exceed such limit will generally be treated as NSOs. No ISO may be granted to any person who, at the time of the grant, owns or is deemed to own stock possessing more than 10% of the total combined voting power of the Company or that of any of its affiliates unless (1) the option exercise price is at least 110% of the fair market value of the stock subject to the option on the date of grant and (2) the term of the ISO does not exceed five years from the date of grant.</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 Limit. </w:t>
      </w:r>
      <w:r>
        <w:rPr>
          <w:rFonts w:ascii="Times New Roman" w:cs="Times New Roman" w:eastAsia="Times New Roman" w:hAnsi="Times New Roman"/>
          <w:sz w:val="18"/>
          <w:szCs w:val="18"/>
          <w:color w:val="auto"/>
        </w:rPr>
        <w:t>The maximum number of shares of the Company’s common stock that may be issued upon the exercise of ISOs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2022 Plan is 6,677,960 shares plus, to the extent permitted by applicable law, any shares that again become available for issuance under the 2022 Plan.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8" w:name="page149"/>
    <w:bookmarkEnd w:id="148"/>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Restricted stock awards are granted pursuant to restricted stock award agreements adopted by the plan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permissible consideration for restricted stock awards is the same as apply to stock options. Common stock acquired under a restricted stock award may, but need not, be subject to a share repurchase option in the Company’s favor in accordance with a vesting schedule to be determined by the plan administrator. A restricted stock award may be transferred only upon such terms and conditions as set by the plan administrator. Except as otherwise provided in the applicable award agreement, restricted stock awards that have not vested may be forfeited or repurchased by the Company upon the participant’s cessation of continuous service for any reason.</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w:t>
      </w:r>
      <w:r>
        <w:rPr>
          <w:rFonts w:ascii="Times New Roman" w:cs="Times New Roman" w:eastAsia="Times New Roman" w:hAnsi="Times New Roman"/>
          <w:sz w:val="18"/>
          <w:szCs w:val="18"/>
          <w:color w:val="auto"/>
        </w:rPr>
        <w:t>In the event that there is a specified type of change in the Company’s capital structure, including without limitation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stock split or recapitalization, extraordinary divided payable in a form other than shares in an amount that has a material effect on the fair market value of the Company’s common stock, or any increase or decrease in the number of issued shares effected without receipt of consideration by the Company, appropriate adjustments will be made to (1) the class and maximum number of shares reserved for issuance under the 2022 Plan, and (2) the class and number of shares and price per share of stock (including any repurchase price per share) subject to outstanding stock awards.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The 2022 Plan provides that in the event of certain specified significant corporate transactions, unless otherwise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 award agreement or other written agreement between the Company and the award holder, each outstanding award (vested or unvested) will be treated as the plan administrator determines, including (without limitation) taking one or more of the following actions with respect to each stock award, contingent upon the closing or completion of the transaction: (1) arranging for the assumption, continuation or substitution of the stock award by a successor corporation, (2) arranging for the assignment of any reacquisition or repurchase rights held by the Company in respect of the Company’s common stock issued pursuant to the stock award to a successor corporation, or (3) canceling the stock award in exchange for a cash payment, or no payment, as determined by the plan administrator (including a payment equal to the excess, if any, of the fair market value of the shares as of the closing date of such corporate transaction over any exercise or purchase price payable by the holder (which payment may be delayed to the same extent that payment of consideration to the holders of the Company’s common stock in connection with the transaction is delayed as a result of any escrow, holdback, earnout or similar contingencies). The plan administrator is not obligated to treat all stock awards or portions thereof in the same manner, and the plan administrator may take different actions with respect to the vested and unvested portions of a stock award.</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2022 Plan, a significant corporate transaction is generally the consummation of (1) a transfer of all or substantially all of the Company’s assets, (2) the consummation of a transaction, or series of related transactions, in which any person becomes the beneficial owners of more than 50% of the Company’s then-outstanding capital stock, or (3) a merger, consolidation or other capital reorganization or business combination transaction of the Company with our into another corporation, entity or person.</w:t>
      </w:r>
    </w:p>
    <w:p>
      <w:pPr>
        <w:spacing w:after="0" w:line="17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 participant generally may not transfer stock awards under the 2022 Plan other than by will, the laws of descent and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as otherwise provided under the 2022 Plan.</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Board of Directors has the authority to amend, suspend or terminate the 2022 Plan, provided that, with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such action does not impair the existing rights of any participant without such participant’s written consent. Certain material amendments also require the approval of our stockholders. Unless terminated sooner by the Board of Directors, the 2022 Plan will automatically terminate in October 2032. No stock awards may be granted under the 2022 Plan while it is suspended or terminated.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Plan</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Background; Termination and No Further Grants under 2011 Stock Plan. </w:t>
      </w:r>
      <w:r>
        <w:rPr>
          <w:rFonts w:ascii="Times New Roman" w:cs="Times New Roman" w:eastAsia="Times New Roman" w:hAnsi="Times New Roman"/>
          <w:sz w:val="18"/>
          <w:szCs w:val="18"/>
          <w:color w:val="auto"/>
        </w:rPr>
        <w:t>Legacy Complete Solaria’s Board of Directors adopted the 2011 Plan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2011 and was amended from to time by Legacy Complete Solaria’s Board of Directors and its stockholders.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49" w:name="page150"/>
    <w:bookmarkEnd w:id="14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2011 Plan was terminated in November 2021 in connection with Complete Solaria’s adoption of the 2022 Plan, and no new awards may be granted under it. The 2011 Plan was assumed by Complete Solaria in connection with the Prior Transaction. Outstanding awards granted under the 2011 Plan remain outstanding, subject to the terms of the 2011 Plan and award agreements, until such outstanding options are exercised or terminate or expire by their terms.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28, 2025, there were outstanding awards relating to 305,749 shares of our common stock under the 2011 Plan and the other Legacy Plans, collectively.</w:t>
      </w:r>
    </w:p>
    <w:p>
      <w:pPr>
        <w:spacing w:after="0" w:line="16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Board of Directors or a duly authorized committee of the Board of Directors administers the 2011 Plan and the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under it.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Capitalization Adjustments. </w:t>
      </w:r>
      <w:r>
        <w:rPr>
          <w:rFonts w:ascii="Times New Roman" w:cs="Times New Roman" w:eastAsia="Times New Roman" w:hAnsi="Times New Roman"/>
          <w:sz w:val="18"/>
          <w:szCs w:val="18"/>
          <w:color w:val="auto"/>
        </w:rPr>
        <w:t>In the event that any change is made in, or other events occur with respect to, the Company’s common stock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2011 Plan or any stock award, such as certain mergers, consolidations, reorganizations, recapitalizations, dividends, stock splits, or other similar transactions, appropriate adjustments will be made to the classes, number of shares subject to, and price per share and repurchase price, if applicable, of any outstanding stock awards.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a sale of all or substantially all of our assets or our merger, consolidation or other capital reorganization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transaction with or into another corporation, entity or person, our 2011 Plan provides that any surviving or acquiring corporation (or parent thereof) may assume or substitute such outstanding awards and any reacquisition or repurchase rights may be assigned to such surviving or acquiring corporation (or parent thereof), or such awards may be terminated in exchange for a payment of cash, securities and/or other property equal to the excess of the fair market value of the portion of the stock subject to such awards vested and exercisable as of immediately prior to the consummation of such corporate transaction. If the surviving or acquiring corporation (or parent thereof) does not assume or substitute outstanding awards in the corporate transaction, or exchange such awards for a payment, then each such outstanding award shall terminate upon consummation of the corporate transaction.</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(as defined in the 2011 Plan), a stock award may be subject to additional acceleration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and exercisability upon or after a change in control, as may be provided in the stock award agreement or in any other written agreement between us and a participant. In the absence of such a provision, no such acceleration will occur.</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of Awards. </w:t>
      </w:r>
      <w:r>
        <w:rPr>
          <w:rFonts w:ascii="Times New Roman" w:cs="Times New Roman" w:eastAsia="Times New Roman" w:hAnsi="Times New Roman"/>
          <w:sz w:val="18"/>
          <w:szCs w:val="18"/>
          <w:color w:val="auto"/>
        </w:rPr>
        <w:t>The plan administrator has the authority to modify outstanding stock awards under our 2011 Plan; provided that no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or modification may impair the rights of any participant with respect to awards granted prior to such action without such participant’s written consent.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Plan</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Background; Termination and No Further Grants Under 2016 Plan. </w:t>
      </w:r>
      <w:r>
        <w:rPr>
          <w:rFonts w:ascii="Times New Roman" w:cs="Times New Roman" w:eastAsia="Times New Roman" w:hAnsi="Times New Roman"/>
          <w:sz w:val="18"/>
          <w:szCs w:val="18"/>
          <w:color w:val="auto"/>
        </w:rPr>
        <w:t>Solaria’s Board of Directors adopted, and Solaria’s stockholders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2016 Plan, in May 2016 and July 2016, respectively. Complete Solaria assumed the 2016 Plan in connection with the Prior Transaction.</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2016 Plan was terminated in November 2022 in connection with the Prior Transaction, and no new awards may be granted under it. Outstanding awards granted under the 2016 Plan remain outstanding, subject to the terms of the 2016 Plan and award agreements, until such outstanding options are exercised or terminate or expire by their terms.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28, 2025, there were outstanding awards relating to 305,749 shares of our common stock under the 2016 Plan and the other Legacy Plans, collectively.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Board of Directors or a duly authorized committee administers the 2016 Plan and the awards granted under it.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Capitalization Adjustments. </w:t>
      </w:r>
      <w:r>
        <w:rPr>
          <w:rFonts w:ascii="Times New Roman" w:cs="Times New Roman" w:eastAsia="Times New Roman" w:hAnsi="Times New Roman"/>
          <w:sz w:val="18"/>
          <w:szCs w:val="18"/>
          <w:color w:val="auto"/>
        </w:rPr>
        <w:t>In the event that any change is made in, or other events occur with respect to, common stock subject to the 2016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stock award, such as certain mergers, consolidations, reorganizations, recapitalizations, dividends, stock splits, or other similar transactions, appropriate adjustments will be made to the classes, number of shares subject to, and the price per share, if applicable, of any outstanding stock awards.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0" w:name="page151"/>
    <w:bookmarkEnd w:id="150"/>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(as defined in the 2016 Plan), our 2016 Plan provides that unless otherwise provided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agreement between us and any participant or unless otherwise expressly provided by the Board of Directors at the time of grant of an award, any surviving or acquiring corporation (or parent thereof) may assume, continue or substitute such outstanding awards and any reacquisition or repurchase rights may be assigned to such surviving or acquiring corporation (or parent thereof). If the surviving or acquiring corporation (or parent thereof) does not assume, continue or substitute outstanding awards in the corporate transaction, then the Board of Directors may provide for the accelerated vesting (in whole or in part) of any or all awards or may cancel any award for such consideration, if any, as the Board of Directors may consider appropriate.</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of Awards. </w:t>
      </w:r>
      <w:r>
        <w:rPr>
          <w:rFonts w:ascii="Times New Roman" w:cs="Times New Roman" w:eastAsia="Times New Roman" w:hAnsi="Times New Roman"/>
          <w:sz w:val="18"/>
          <w:szCs w:val="18"/>
          <w:color w:val="auto"/>
        </w:rPr>
        <w:t>The plan administrator has the authority to modify outstanding stock awards under our 2016 Plan; provided that no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or modification may impair the rights of any participant with respect to awards granted prior to such action without such participant’s written consent.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2006 Plan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Background; Termination and No Further Grants Under 2006 Plan. </w:t>
      </w:r>
      <w:r>
        <w:rPr>
          <w:rFonts w:ascii="Times New Roman" w:cs="Times New Roman" w:eastAsia="Times New Roman" w:hAnsi="Times New Roman"/>
          <w:sz w:val="18"/>
          <w:szCs w:val="18"/>
          <w:color w:val="auto"/>
        </w:rPr>
        <w:t>Solaria’s Board of Directors adopted, and Solaria’s stockholders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2006 Plan, in February 2006 and August 2006, respectively, and it was amended and restated from to time by Solaria’s Board of Directors and its stockholders.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2006 Plan was terminated in February 2016 in connection with Solaria’s adoption of the 2016 Plan, and no new awards may be granted under it. Complete Solaria assumed the outstanding awards granted pursuant to the 2006 Plan in connection with the Prior Transaction. Outstanding awards granted under the 2006 Plan remain outstanding, subject to the terms of the 2006 Plan and award agreements, until such outstanding options are exercised or terminate or expire by their terms.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28, 2025, there were outstanding awards relating to 305,749 shares of the Company’s common stock under the 2006 Plan and the other Legacy Plans, collectively.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Board of Directors or a duly authorized committee administers the 2006 Plan and the awards granted under 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Capitalization Adjustments. </w:t>
      </w:r>
      <w:r>
        <w:rPr>
          <w:rFonts w:ascii="Times New Roman" w:cs="Times New Roman" w:eastAsia="Times New Roman" w:hAnsi="Times New Roman"/>
          <w:sz w:val="18"/>
          <w:szCs w:val="18"/>
          <w:color w:val="auto"/>
        </w:rPr>
        <w:t>In the event that any change is made in, or other events occur with respect to, our Common Stock subject to the 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or any stock award, such as certain mergers, consolidations, reorganizations, recapitalizations, dividends, stock splits, or other similar transactions affecting the shares subject to the 2006 Plan, appropriate adjustments will be made to the class and number of shares subject to, and the price per share, if applicable, of any outstanding stock awards.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(as defined in the 2006 Plan), our 2006 Plan provides that any successor corporation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thereof) will assume or substitute such outstanding awards and any reacquisition or repurchase rights may be assigned to such surviving or acquiring corporation (or parent thereof). If the surviving or acquiring corporation (or parent thereof) does not assume or substitute outstanding awards in the corporate transaction, then the vesting of outstanding awards held by participants will accelerate in full and any repurchase rights held by us with respect to such awards will lapse, contingent upon the effectiveness of such transaction. Notwithstanding the foregoing, to the extent that stock awards will terminate if not exercised prior to the effective time of a corporate transaction, our Board of Directors may provide that such awards will be cancelled for a payment equal to the excess, if any, of the value of the property the holder would have received upon exercise of such award over any exercise price payable.</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with respect to awards (and, if applicable, shares of restricted stock acquired pursuant to such awards) granted to non-employee directors that are assumed or substituted for, if on or following the date of such assumption or substitution such individual’s status as a director is involuntarily terminated, such individual shall fully vest in and have the right to exercise awards as to all of the shares subject thereto.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51" w:name="page152"/>
    <w:bookmarkEnd w:id="15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Also, with respect to awards (and, if applicable, shares of restricted stock acquired pursuant to such awards) granted to participants that are assumed or substituted for, if either (x) such participant remains continuously employed by us or our successor through the one-year anniversary of such change in control or (y) such participant’s employment is involuntarily terminated without cause (as such term is defined in the 2006 Plan), or such participant’s duties are material diminished, in either case at any time prior to the one-year anniversary of such change in control, such individual will vest into such awards on an accelerated basis as if such individual had provided an additional 12 months of continuous service, such individual shall fully vest in and have the right to exercise awards as to all of the shares subject thereto.</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of Awards. </w:t>
      </w:r>
      <w:r>
        <w:rPr>
          <w:rFonts w:ascii="Times New Roman" w:cs="Times New Roman" w:eastAsia="Times New Roman" w:hAnsi="Times New Roman"/>
          <w:sz w:val="18"/>
          <w:szCs w:val="18"/>
          <w:color w:val="auto"/>
        </w:rPr>
        <w:t>The plan administrator has the authority to modify outstanding stock awards under our 2006 Plan; provided that no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or modification may impair the rights of any participant with respect to awards granted prior to such action without such participant’s written consent.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Grants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our acquisitions of Sunder, Ambia and Cobalt, we granted time-based restricted stock units outside of SunPower’s 2023 Plan as a material inducement to certain key employees to enter into employment with SunPower. Such inducement grants were made in accordance with Nasdaq Listing Rule 5635(c)(4). Specifically, in connection with our acquisition of Sunder, we made inducement grants on October 8, 2025 to three key employees of Sunder as a material inducement to their employment with SunPower. These inducement grants were RSUs for a total of 2,700,000 shares of our common stock, with 20% of such RSUs vesting one year after grant and the remaining vesting in equal monthly installments thereafter until the fifth anniversary of the grant date, with such vesting subject to the RSU recipient’s continuous service through each vesting date. These RSUs are also subject to accelerated vesting in the event the RSU recipient’s employment is terminated by the Company without cause.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 of Ambia, on November 21, 2025, we made inducement grants to two key employees of Ambia as a material inducement to employment with SunPower following its acquisition of Ambia. These inducement grants consist of RSUs for a total of 2,000,000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 The RSUs are also subject to accelerated vesting in the event the RSU recipient’s employment is terminated by the Company without cause.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in connection with our acquisition of Cobalt, on February 2, 2026, we made inducement grants to two key employees of Cobalt as a material inducement to employment with SunPower following its acquisition of Cobalt. These inducement grants consist of RSUs for a total of 850,000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SunPower provides benefits to its named executive officers on the same basis as provided to all of its employees, including health, dental and vision insurance; life and disability insurance; and a tax-qualified Section 401(k) plan. SunPower does not maintain any executive-specific benefit or perquisite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SunPower’s Directors and executive officers may adopt written plans, known as Rule 10b5-1 plans, in which they will contract with a broker to buy or sell shares of the Company’s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SunPower’s Directors and executive officers also may buy or sell additional shares outside of a Rule 10b5-1 plan when they are not in possession of material nonpublic information, subject to compliance with the terms of our insider trading policy.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SunPower is an “emerging growth company,” as defined in the JOBS Act. As an emerging growth company it is exempt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Wall Street Reform and Consumer Protection Act.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2" w:name="page153"/>
    <w:bookmarkEnd w:id="152"/>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Incentive Plans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our 2023 Plan, outstanding inducement grants, the ESPP and our Legacy Plans as of December 28,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Available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 Future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Under Equity</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Issued Upon</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 of</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Warrants and</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Reflected in</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Column (a))</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22,527,967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19,818,117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5,500,000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28,027,967</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our Common Stock as of April 1, 2026, by:</w:t>
      </w:r>
    </w:p>
    <w:p>
      <w:pPr>
        <w:spacing w:after="0" w:line="225" w:lineRule="exact"/>
        <w:rPr>
          <w:sz w:val="20"/>
          <w:szCs w:val="20"/>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the outstanding shares of our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are deemed outstanding, while such shares are not deemed outstanding for purposes of computing percentage ownership of any other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3" w:name="page154"/>
    <w:bookmarkEnd w:id="1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Schedules 13G or 13D filed with the SEC. Unless otherwise indicated in the footnotes to this table and subject to community property laws where applicable, we believe that all persons named in the table have sole voting and investment power with respect to all shares of our Common Stock beneficially owned by them. Applicable percentages are based on 119,920,536 shares of Common Stock outstanding as of April 1, 2026, adjusted as required by rules promulgated by the SEC.</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0" w:type="dxa"/>
            <w:vAlign w:val="bottom"/>
          </w:tcPr>
          <w:p>
            <w:pPr>
              <w:spacing w:after="0"/>
              <w:rPr>
                <w:sz w:val="1"/>
                <w:szCs w:val="1"/>
                <w:color w:val="auto"/>
              </w:rPr>
            </w:pPr>
          </w:p>
        </w:tc>
      </w:tr>
      <w:tr>
        <w:trPr>
          <w:trHeight w:val="216"/>
        </w:trPr>
        <w:tc>
          <w:tcPr>
            <w:tcW w:w="8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r>
              <w:rPr>
                <w:rFonts w:ascii="Times New Roman" w:cs="Times New Roman" w:eastAsia="Times New Roman" w:hAnsi="Times New Roman"/>
                <w:sz w:val="29"/>
                <w:szCs w:val="29"/>
                <w:b w:val="1"/>
                <w:bCs w:val="1"/>
                <w:color w:val="auto"/>
                <w:vertAlign w:val="superscript"/>
              </w:rPr>
              <w:t>(1)</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45"/>
        </w:trPr>
        <w:tc>
          <w:tcPr>
            <w:tcW w:w="8640" w:type="dxa"/>
            <w:vAlign w:val="bottom"/>
            <w:gridSpan w:val="2"/>
            <w:vMerge w:val="continue"/>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16"/>
        </w:trPr>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5% or Greater Stockholders: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Ecosystem Integrity Fund II, L.P.</w:t>
            </w:r>
            <w:r>
              <w:rPr>
                <w:rFonts w:ascii="Times New Roman" w:cs="Times New Roman" w:eastAsia="Times New Roman" w:hAnsi="Times New Roman"/>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8,399,653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57"/>
        </w:trPr>
        <w:tc>
          <w:tcPr>
            <w:tcW w:w="86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Thurman J. (T.J.) Rodgers</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45,987,794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32.4 %</w:t>
            </w: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Entities affiliated with Alyeska Investment Group, L.P.</w:t>
            </w:r>
            <w:r>
              <w:rPr>
                <w:rFonts w:ascii="Times New Roman" w:cs="Times New Roman" w:eastAsia="Times New Roman" w:hAnsi="Times New Roman"/>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11,695,906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56"/>
        </w:trPr>
        <w:tc>
          <w:tcPr>
            <w:tcW w:w="86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Entities affiliated with Kline Hill</w:t>
            </w:r>
            <w:r>
              <w:rPr>
                <w:rFonts w:ascii="Times New Roman" w:cs="Times New Roman" w:eastAsia="Times New Roman" w:hAnsi="Times New Roman"/>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7,299,695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ind w:left="200"/>
              <w:spacing w:after="0" w:line="256" w:lineRule="exact"/>
              <w:rPr>
                <w:sz w:val="20"/>
                <w:szCs w:val="20"/>
                <w:color w:val="auto"/>
              </w:rPr>
            </w:pPr>
            <w:r>
              <w:rPr>
                <w:rFonts w:ascii="Times New Roman" w:cs="Times New Roman" w:eastAsia="Times New Roman" w:hAnsi="Times New Roman"/>
                <w:sz w:val="18"/>
                <w:szCs w:val="18"/>
                <w:color w:val="auto"/>
              </w:rPr>
              <w:t>Entities affiliated with Carlyle Group</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7,211,351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Executive Officers and Incumbent Directors and Director Nominees: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Thurman J.(T.J.) Rodgers</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45,987,794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32.4 %</w:t>
            </w:r>
          </w:p>
        </w:tc>
        <w:tc>
          <w:tcPr>
            <w:tcW w:w="0" w:type="dxa"/>
            <w:vAlign w:val="bottom"/>
          </w:tcPr>
          <w:p>
            <w:pPr>
              <w:spacing w:after="0"/>
              <w:rPr>
                <w:sz w:val="1"/>
                <w:szCs w:val="1"/>
                <w:color w:val="auto"/>
              </w:rPr>
            </w:pPr>
          </w:p>
        </w:tc>
      </w:tr>
      <w:tr>
        <w:trPr>
          <w:trHeight w:val="257"/>
        </w:trPr>
        <w:tc>
          <w:tcPr>
            <w:tcW w:w="86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William J. Anderson</w:t>
            </w:r>
            <w:r>
              <w:rPr>
                <w:rFonts w:ascii="Times New Roman" w:cs="Times New Roman" w:eastAsia="Times New Roman" w:hAnsi="Times New Roman"/>
                <w:sz w:val="29"/>
                <w:szCs w:val="29"/>
                <w:color w:val="auto"/>
                <w:vertAlign w:val="superscript"/>
              </w:rPr>
              <w:t>(7)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2,953,083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Antonio R. Alvarez</w:t>
            </w:r>
            <w:r>
              <w:rPr>
                <w:rFonts w:ascii="Times New Roman" w:cs="Times New Roman" w:eastAsia="Times New Roman" w:hAnsi="Times New Roman"/>
                <w:sz w:val="29"/>
                <w:szCs w:val="29"/>
                <w:color w:val="auto"/>
                <w:vertAlign w:val="superscript"/>
              </w:rPr>
              <w:t>(8)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201,029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6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Daniel Foley</w:t>
            </w:r>
            <w:r>
              <w:rPr>
                <w:rFonts w:ascii="Times New Roman" w:cs="Times New Roman" w:eastAsia="Times New Roman" w:hAnsi="Times New Roman"/>
                <w:sz w:val="29"/>
                <w:szCs w:val="29"/>
                <w:color w:val="auto"/>
                <w:vertAlign w:val="superscript"/>
              </w:rPr>
              <w:t>(9)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77,441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Devin Whatley</w:t>
            </w:r>
            <w:r>
              <w:rPr>
                <w:rFonts w:ascii="Times New Roman" w:cs="Times New Roman" w:eastAsia="Times New Roman" w:hAnsi="Times New Roman"/>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8,591,602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57"/>
        </w:trPr>
        <w:tc>
          <w:tcPr>
            <w:tcW w:w="86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Tidjane Thiam</w:t>
            </w:r>
            <w:r>
              <w:rPr>
                <w:rFonts w:ascii="Times New Roman" w:cs="Times New Roman" w:eastAsia="Times New Roman" w:hAnsi="Times New Roman"/>
                <w:sz w:val="29"/>
                <w:szCs w:val="29"/>
                <w:color w:val="auto"/>
                <w:vertAlign w:val="superscript"/>
              </w:rPr>
              <w:t>(10)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292,825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Adam Gishen</w:t>
            </w:r>
            <w:r>
              <w:rPr>
                <w:rFonts w:ascii="Times New Roman" w:cs="Times New Roman" w:eastAsia="Times New Roman" w:hAnsi="Times New Roman"/>
                <w:sz w:val="29"/>
                <w:szCs w:val="29"/>
                <w:color w:val="auto"/>
                <w:vertAlign w:val="superscript"/>
              </w:rPr>
              <w:t>(11)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864,686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6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Ronald Pasek</w:t>
            </w:r>
            <w:r>
              <w:rPr>
                <w:rFonts w:ascii="Times New Roman" w:cs="Times New Roman" w:eastAsia="Times New Roman" w:hAnsi="Times New Roman"/>
                <w:sz w:val="29"/>
                <w:szCs w:val="29"/>
                <w:color w:val="auto"/>
                <w:vertAlign w:val="superscript"/>
              </w:rPr>
              <w:t>(12)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225,459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Chris Lundell</w:t>
            </w:r>
            <w:r>
              <w:rPr>
                <w:rFonts w:ascii="Times New Roman" w:cs="Times New Roman" w:eastAsia="Times New Roman" w:hAnsi="Times New Roman"/>
                <w:sz w:val="29"/>
                <w:szCs w:val="29"/>
                <w:color w:val="auto"/>
                <w:vertAlign w:val="superscript"/>
              </w:rPr>
              <w:t>(13)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396,714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6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Lothar Maier</w:t>
            </w:r>
            <w:r>
              <w:rPr>
                <w:rFonts w:ascii="Times New Roman" w:cs="Times New Roman" w:eastAsia="Times New Roman" w:hAnsi="Times New Roman"/>
                <w:sz w:val="29"/>
                <w:szCs w:val="29"/>
                <w:color w:val="auto"/>
                <w:vertAlign w:val="superscript"/>
              </w:rPr>
              <w:t>(14)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243,169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J. Daniel McCranie</w:t>
            </w:r>
            <w:r>
              <w:rPr>
                <w:rFonts w:ascii="Times New Roman" w:cs="Times New Roman" w:eastAsia="Times New Roman" w:hAnsi="Times New Roman"/>
                <w:sz w:val="29"/>
                <w:szCs w:val="29"/>
                <w:color w:val="auto"/>
                <w:vertAlign w:val="superscript"/>
              </w:rPr>
              <w:t>(15)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1,681,765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Jamie Haenggi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Jeanne Nguyen</w:t>
            </w:r>
            <w:r>
              <w:rPr>
                <w:rFonts w:ascii="Times New Roman" w:cs="Times New Roman" w:eastAsia="Times New Roman" w:hAnsi="Times New Roman"/>
                <w:sz w:val="29"/>
                <w:szCs w:val="29"/>
                <w:color w:val="auto"/>
                <w:vertAlign w:val="superscript"/>
              </w:rPr>
              <w:t>(16)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114,012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 Directors and executive officers as a group (13 persons)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61,629,579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one percent.</w:t>
      </w:r>
    </w:p>
    <w:p>
      <w:pPr>
        <w:spacing w:after="0" w:line="225" w:lineRule="exact"/>
        <w:rPr>
          <w:sz w:val="20"/>
          <w:szCs w:val="20"/>
          <w:color w:val="auto"/>
        </w:rPr>
      </w:pPr>
    </w:p>
    <w:p>
      <w:pPr>
        <w:ind w:left="340" w:right="20" w:hanging="332"/>
        <w:spacing w:after="0" w:line="282"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directors and executive officers of the Company listed in the table is c/o SunPower Inc., 1403 North 630 East, Orem, UT 84097.</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5,832,054 shares held by Ecosystem Integrity Fund II, L.P., of which Mr. Devin Whatley is the managing member of the general partner,</w:t>
      </w:r>
    </w:p>
    <w:p>
      <w:pPr>
        <w:spacing w:after="0" w:line="27"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60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198,346 shares held by EIF CS SPV LLC, and (iii) 2,369,253 shares issuable pursuant to warrants exercisable within 60 days of April 1, 2026. Mr. Whatley serves as a director of the Company. The business address of each of Ecosystem Integrity Fund II, L.P., EIF CS SPV LLC and Mr. Whatley is 20 Richelle Court, Lafayette, California 94549. In the case of Mr. Whatley, also includes (i) 103,825 shares of common stock issuable upon settlement of restricted stock units, and (ii) 88,124 shares issuable pursuant to stock options exercisable within 60 days of April 1, 2026.</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485,562 shares held by Rodgers Capital, LLC, (ii) 8,843 shares held by Thurman J. Rodgers, (iii) 7,701,605 shares held by the Rodgers Massey Revocable Living Trust, (iv) 1,838,235 shares held by the Rodgers Massey Freedom and Free Markets Charitable Trust, (v) 724,416 shares issuable pursuant to warrants exercisable within 60 days of April 1, 2026, (vi) 116,601 shares issuable pursuant to stock options and restricted stock units exercisable or settleable within 60 days of April 1, 2026, (vii) 4,166,666 shares of common stock issued to the Rodgers Massey Freedom and Free Markets Charitable Trust pursuant to the Second SAFE, and (viii) 9,722,222 shares of common stock issued to the Rodgers Massey Freedom and Free Markets Charitable Trust pursuant to the Third SAFE. Additionally, the number of shares reflected in the table above include shares issuable upon conversion of the following convertible notes: (a) the Rodgers Massey Revocable Living Trust holds $18,000,000 principal amount of 12% Notes convertible into 10,714,285 shares of common stock, (b) the Rodgers Massey Revocable Living Trust and the Rodgers Massey Freedom and Free Markets Charitable Trust hold an aggregate of $8,000,000 principal amount of 7% Notes convertible into a total of 4,678,362 shares of common stock,</w:t>
      </w:r>
    </w:p>
    <w:p>
      <w:pPr>
        <w:spacing w:after="0" w:line="5" w:lineRule="exact"/>
        <w:rPr>
          <w:rFonts w:ascii="Times New Roman" w:cs="Times New Roman" w:eastAsia="Times New Roman" w:hAnsi="Times New Roman"/>
          <w:sz w:val="17"/>
          <w:szCs w:val="17"/>
          <w:color w:val="auto"/>
        </w:rPr>
      </w:pPr>
    </w:p>
    <w:p>
      <w:pPr>
        <w:jc w:val="both"/>
        <w:ind w:left="340" w:hanging="8"/>
        <w:spacing w:after="0" w:line="252" w:lineRule="auto"/>
        <w:tabs>
          <w:tab w:leader="none" w:pos="61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Rodgers Massey Revocable Living Trust holds $5,000,000 principal amount of 12% Notes issued in July 2025 that are convertible into 2,793,296 shares of common stock, (d) the Rodgers Massey Freedom and Free Markets Charitable Trust holds an additional $2,000,000 principal amount of 12% Notes issued in November 2025 that are convertible into 1,253,918 shares of common stock, and (e) the Rodgers Massey Freedom and Free Markets Charitable Trust holds an additional $3,300,000 principal amount of 12% Notes issued in January 2026 that are convertible into 1,783,783 shares of common stock. In addition to the foregoing and the number of shares reflected in the table above, shares of common stock are issuable pursuant to the Third SAFE in accordance with the terms thereof in connection with a bona fide common stock financing completed by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4" w:name="page155"/>
    <w:bookmarkEnd w:id="154"/>
    <w:p>
      <w:pPr>
        <w:jc w:val="both"/>
        <w:ind w:left="340" w:hanging="332"/>
        <w:spacing w:after="0" w:line="258"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issuable upon conversion of the 7% Notes.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The registered address of Alyeska Master Fund, L.P. is c/o Maples Corporate Services Limited, P.O. Box 309, Ugland House, South Church Street George Town, Grand Cayman, KY1-1104, Cayman Islands. Alyeska Investment Group, L.P. is located at 77 W. Wacker, Suite 700, Chicago, IL 60601.</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obtained from a Schedule 13G filed by KHP Fund GP LLC (“KHP Fund GP”) on February 5, 2025. Includes (i) an aggregate of 2,383,534 shares of common stock held by Kline Hill Partners Fund LP (“KHP LP”), Kline Hill Partners IV SPV LLC (“KHP IV SPV”) and Kline Hill Partners Opportunity IV SPV LLC (“KHP Opportunity IV SPV”), (ii) an aggregate of 4,745,675 shares of common stock issuable upon the conversion of the outstanding convertible promissory notes held by KHP LP, KHP IV SPV and KHP Opportunity IV SPV and (iii) an aggregate of 170,486 shares of common stock issuable upon the exercise of warrants held by KHP LP, KHP IV SPV and KHP Opportunity IV SPV. KHP Fund GP is the general partner of KHP LP and may be deemed to share voting, investment and dispositive power with respect to these securities. Kline Hill Partners Fund IV LP (“KHP IV LP”) is the sole member of KHP IV SPV and may be deemed to share voting, investment and dispositive power with respect to these securities. KHP Fund IV GP is the general partner of KHP IV LP and may be deemed to share voting, investment and dispositive power with respect to these securities. KHP Opportunity IV LP is the sole member of KHP Opportunity IV SPV and may be deemed to share voting, investment and dispositive power with respect to these securities. KHP Fund IV GP is the general partner of KHP Opportunity IV LP and may be deemed to share voting, investment and dispositive power with respect to these securities. Michael Bego and Jared Barlow are the managing members of KHP Fund GP and KPH Fund IV GP and may be deemed to share voting, investment and dispositive power with respect to these securities. Other than those securities reported herein as being held directly by such securityholder, each of them disclaims any such beneficial ownership of such securities, except to the extent of their respective pecuniary interest. The business address for Kline Hill is 325 Greenwich Ave., 3rd Floor, Greenwich, CT 06830.</w:t>
      </w:r>
    </w:p>
    <w:p>
      <w:pPr>
        <w:spacing w:after="0" w:line="195"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obtained from a Schedule 13G, as amended, filed by the Carlyle Group Inc. (“Carlyle”) and its affiliates on November 13, 2025. Includes (i) 1,258,970 shares of common stock held of record by CRSEF Solis Holdings, L.L.C. and (ii) 5,952,381 shares of common stock issuable upon the conversion of the 12% Notes held of record by CRSEF Solis Holdings, L.L.C. The Carlyle Group Inc., which is a publicly traded entity listed on Nasdaq, is the sole shareholder of Carlyle Holdings I GP Inc., which is the sole member of Carlyle Holdings I GP Sub L.L.C., which is the general partner of Carlyle Holdings I L.P., which, with respect to the securities managed by CRSEF Lux GP S.a r.l., is the managing member of CG Subsidiary Holdings L.L.C., which is the managing member of TC Group, L.L.C., which is the general partner of TC Group Sub L.P., which is the sole shareholder of CRSEF Lux GP S.a r.l., which is a general partner of Carlyle CRSEF Solis Aggregator, S.C.Sp. The Carlyle Group Inc. is also the sole member of Carlyle Holdings II GP L.L.C., which is the managing member of Carlyle Holdings II L.L.C., which, with respect to the securities managed by CRSEF Managing GP, L.P., is the managing member of CG Subsidiary Holdings L.L.C., which is the general partner of TC Group Cayman Investment Holdings, L.P., which is the general partner of TC Group Cayman Investment Holdings Sub L.P., which is the sole member of CRSEF GP, L.L.C., which is the general partner of CRSEF Managing GP, L.P., which is also a general partner of Carlyle CRSEF Solis Aggregator, S.C.Sp. Carlyle CRSEF Solis Aggregator, S.C.Sp. is the managing member of CRSEF Solis Holdings, L.L.C. Accordingly, each of the entities named above may be deemed to share beneficial ownership of the securities held of record by CRSEF Solis Holdings, L.L.C. Each of them disclaims any such beneficial ownership of such securities. The principal business office address for each of TC Group Cayman Investment Holdings, L.P. and TC Group Cayman Investment Holdings Sub L.P. is c/o Walkers Corporate Limited, 190 Elgin Avenue, George Town, Grand Cayman KY1-9008. The principal business office address for CRSEF Lux GP S.a r.l. is c/o The Carlyle Group, 2, avenue Charles de Gaulle, L-1653 Luxembourg, Luxembourg. The principal business office address for Carlyle CRSEF Solis Aggregator, S.C.Sp. is 9, rue de Bitbourg, L-1273 Luxembourg. The principal business office address for each of the remaining Reporting Persons is c/o The Carlyle Group Inc., 1001 Pennsylvania Avenue NW, Suite 220 South, Washington, DC 20004-2505.</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5" w:name="page156"/>
    <w:bookmarkEnd w:id="155"/>
    <w:p>
      <w:pPr>
        <w:jc w:val="both"/>
        <w:ind w:left="340" w:hanging="332"/>
        <w:spacing w:after="0" w:line="266"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405,090 shares of common stock, (ii) 671,738 shares of common stock issued or issuable upon settlement of restricted stock units, (iii) 1,735,068 shares issuable pursuant to stock options exercisable within 60 days of April 1, 2026, and (iv) 141,187 shares issuable pursuant to warrants exercisable within 60 days of April 1, 2026.</w:t>
      </w:r>
    </w:p>
    <w:p>
      <w:pPr>
        <w:spacing w:after="0" w:line="175" w:lineRule="exact"/>
        <w:rPr>
          <w:rFonts w:ascii="Times New Roman" w:cs="Times New Roman" w:eastAsia="Times New Roman" w:hAnsi="Times New Roman"/>
          <w:sz w:val="18"/>
          <w:szCs w:val="18"/>
          <w:color w:val="auto"/>
        </w:rPr>
      </w:pPr>
    </w:p>
    <w:p>
      <w:pPr>
        <w:ind w:left="400" w:hanging="392"/>
        <w:spacing w:after="0" w:line="282" w:lineRule="auto"/>
        <w:tabs>
          <w:tab w:leader="none" w:pos="4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106,577 shares of common stock issued or issuable upon settlement of restricted stock units and (ii) 94,452 shares issuable pursuant to stock options exercisable within 60 days of April 1, 2026.</w:t>
      </w:r>
    </w:p>
    <w:p>
      <w:pPr>
        <w:spacing w:after="0" w:line="16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77,441 shares of common stock.</w:t>
      </w:r>
    </w:p>
    <w:p>
      <w:pPr>
        <w:spacing w:after="0" w:line="225" w:lineRule="exact"/>
        <w:rPr>
          <w:rFonts w:ascii="Times New Roman" w:cs="Times New Roman" w:eastAsia="Times New Roman" w:hAnsi="Times New Roman"/>
          <w:sz w:val="18"/>
          <w:szCs w:val="18"/>
          <w:color w:val="auto"/>
        </w:rPr>
      </w:pPr>
    </w:p>
    <w:p>
      <w:pPr>
        <w:jc w:val="both"/>
        <w:ind w:left="400" w:hanging="392"/>
        <w:spacing w:after="0" w:line="266" w:lineRule="auto"/>
        <w:tabs>
          <w:tab w:leader="none" w:pos="4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80,245 shares of common stock and 106,011 shares of common stock issued or issuable upon settlement of restricted stock units, (ii) 12,117 shares issuable pursuant to warrants exercisable within 60 days of April 1, 2026, and (iii) 94,452 shares issuable pursuant to stock options exercisable within 60 days of April 1, 2026.</w:t>
      </w:r>
    </w:p>
    <w:p>
      <w:pPr>
        <w:spacing w:after="0" w:line="175" w:lineRule="exact"/>
        <w:rPr>
          <w:rFonts w:ascii="Times New Roman" w:cs="Times New Roman" w:eastAsia="Times New Roman" w:hAnsi="Times New Roman"/>
          <w:sz w:val="18"/>
          <w:szCs w:val="18"/>
          <w:color w:val="auto"/>
        </w:rPr>
      </w:pPr>
    </w:p>
    <w:p>
      <w:pPr>
        <w:jc w:val="both"/>
        <w:ind w:left="400" w:hanging="392"/>
        <w:spacing w:after="0" w:line="266" w:lineRule="auto"/>
        <w:tabs>
          <w:tab w:leader="none" w:pos="4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174,515 shares of common stock and 110,656 shares of common stock issued or issuable upon settlement of restricted stock units, (ii) 480,000 shares issuable pursuant to warrants exercisable within 60 days of April 1, 2026, and (iii) 99,515 shares issuable pursuant to stock options exercisable within 60 days of April 1, 2026.</w:t>
      </w:r>
    </w:p>
    <w:p>
      <w:pPr>
        <w:spacing w:after="0" w:line="175" w:lineRule="exact"/>
        <w:rPr>
          <w:rFonts w:ascii="Times New Roman" w:cs="Times New Roman" w:eastAsia="Times New Roman" w:hAnsi="Times New Roman"/>
          <w:sz w:val="18"/>
          <w:szCs w:val="18"/>
          <w:color w:val="auto"/>
        </w:rPr>
      </w:pPr>
    </w:p>
    <w:p>
      <w:pPr>
        <w:ind w:left="400" w:hanging="392"/>
        <w:spacing w:after="0" w:line="282" w:lineRule="auto"/>
        <w:tabs>
          <w:tab w:leader="none" w:pos="4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112,022 shares of common stock issued or issuable upon settlement of restricted stock units and (ii) 113,437 shares issuable pursuant to stock options exercisable within 60 days of April 1, 2026.</w:t>
      </w:r>
    </w:p>
    <w:p>
      <w:pPr>
        <w:spacing w:after="0" w:line="161" w:lineRule="exact"/>
        <w:rPr>
          <w:rFonts w:ascii="Times New Roman" w:cs="Times New Roman" w:eastAsia="Times New Roman" w:hAnsi="Times New Roman"/>
          <w:sz w:val="18"/>
          <w:szCs w:val="18"/>
          <w:color w:val="auto"/>
        </w:rPr>
      </w:pPr>
    </w:p>
    <w:p>
      <w:pPr>
        <w:ind w:left="400" w:hanging="392"/>
        <w:spacing w:after="0" w:line="282" w:lineRule="auto"/>
        <w:tabs>
          <w:tab w:leader="none" w:pos="4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103,825 shares of common stock issued or issuable upon settlement of restricted stock units and (ii) 292,889 shares issuable pursuant to stock options exercisable within 60 days of April 1, 2026.</w:t>
      </w:r>
    </w:p>
    <w:p>
      <w:pPr>
        <w:spacing w:after="0" w:line="16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243,169 shares of common stock issued or issuable upon settlement of restricted stock units.</w:t>
      </w:r>
    </w:p>
    <w:p>
      <w:pPr>
        <w:spacing w:after="0" w:line="225" w:lineRule="exact"/>
        <w:rPr>
          <w:rFonts w:ascii="Times New Roman" w:cs="Times New Roman" w:eastAsia="Times New Roman" w:hAnsi="Times New Roman"/>
          <w:sz w:val="18"/>
          <w:szCs w:val="18"/>
          <w:color w:val="auto"/>
        </w:rPr>
      </w:pPr>
    </w:p>
    <w:p>
      <w:pPr>
        <w:jc w:val="both"/>
        <w:ind w:left="400" w:hanging="392"/>
        <w:spacing w:after="0" w:line="261" w:lineRule="auto"/>
        <w:tabs>
          <w:tab w:leader="none" w:pos="4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438,596 shares of common stock issuable upon conversion of $750,000 principal amount of 7% Notes held by the Dan and Kathy McCranie 2000 Revocable Trust, and (ii) 1,243,169 shares of common stock issued or issuable upon settlement of restricted stock units. Mr. McCranie serves as trustee of the Dan and Kathy McCranie 2000 Revocable Trust. Mr. McCranie disclaims any beneficial ownership of the reported shares other than to the extent of any pecuniary interest therein.</w:t>
      </w:r>
    </w:p>
    <w:p>
      <w:pPr>
        <w:spacing w:after="0" w:line="17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114,012 shares of common stock issued or issuable upon settlement of restricted stock units.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PARTY TRANSACTIONS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arrangements for our Directors and executive officers are described in Item 11 above, and the descriptions of such compensation arrangements are incorporated by reference into this section. Additionally, below is a description of transactions since December 30, 2024, the beginning of fiscal year 2025, to which we were a party, in which:</w:t>
      </w:r>
    </w:p>
    <w:p>
      <w:pPr>
        <w:spacing w:after="0" w:line="176" w:lineRule="exact"/>
        <w:rPr>
          <w:sz w:val="20"/>
          <w:szCs w:val="20"/>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Certain Indebtedness Payable to the Rodgers Massey Revocable Living Trust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principal portion of the SCI Debt owing to the Rodgers Massey Revocable Living Trust of $1.5 million (plus accrued interest) remained outstanding as of December 28, 2025 and is outstanding as of the date of the filing date of this Form 10-K. The outstanding amount, plus accrued interest, is due on demand to the Rodgers Massey Revocable Living Trust. Thurman J. Rodgers is a trustee of the Rodgers Massey Revocable Living Trust, and he is the Executive Chairman of our Board of Directors and our Chief Executive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12.0% Notes Issued to Affiliates of Thurman J. Rodgers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January 29, 2026, SunPower issued a convertible promissory note in the original principal amount of $3,300,000 (the “January 2026 Note”) to a trust controlled by Thurman J. Rodgers. The January 2026 Note bears a 12.0% interest rate. The January 2026 Note is a general unsecured obligation of the Company and will mature on July 1, 2029, unless earlier converted, redeemed or repurchased. Interest on the January 2026 Note will be payable semiannually in arrears on January 1 and July 1 of each year, beginning on July 1, 2026. The January 2026 Note is convertible at the option of the holder at any time prior to the payment of the payment of the principal amount of the January 2026 Note in full. Upon conversion of the January 2026 Note, the Company will satisfy its conversion obligation by delivering shares of its common stock and paying cash in respect of any fractional shares. The conversion rate of the January 2026 Note is initially equal to 540.5405 shares of common stock per $1,000 principal amount due under note. The conversion rate shall be subject to adjustment from time to time pursuant to the terms of the January 2026 Note. We may not redeem the January 2026 Note prior to July 5, 2026. We may redeem for cash all (but not less than all) of the, at our option, (i) on or after July 5, 2026 and prior to July 1, 2027, if the last reported sale price of our common stock has been at least 150% of the conversion price for the January 2026 Note then in effect and (ii) on or after July 5, 2027 and prior to the maturity date for the January 2026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January 2026 Note. If we undergo a change of control (as defined in the January 2026 Note), then, subject to certain conditions and except as described in the note, the holder may require the Company to redeem for cash all (but not less than all) of the note at a price equal to 100% of the principal amount of the January 2026 Note. The January 2026 Note sets forth certain events of default after which the note may be declared immediately due and payable and sets forth certain types of bankruptcy or insolvency events of default involving the Company after which the January 2026 Note becomes automatically due and payable. If certain bankruptcy and insolvency- related events of default occur with respect to the Company, the principal of, and accrued and unpaid interest, if any, on, the January 2026 Note shall automatically become due and payable. If an event of default with respect to the January 2026 Note, other than certain bankruptcy and insolvency-related events of default with respect to the Company, occurs and is continuing, a holder may at its option declare the note to be immediately due and payable.</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November 20, 2025, SunPower issued a convertible promissory note in the original principal amount of $2,000,000 (the “November 2025 Note”) to a trust controlled by Thurman J. Rodgers. The November 2025 Note bears a 12.0% interest rate. The November 2025 Note is a general unsecured obligation of the Company and will mature on July 1, 2029, unless earlier converted, redeemed or repurchased. Interest on the November 2025 Note will be payable semiannually in arrears on January 1 and July 1 of each year, beginning on January 1, 2026. The November 2025 Note is convertible at the option of the holder at any time prior to the payment of the payment of the principal amount of the Note in full. Upon conversion of the November 2025 Note, the Company will satisfy its conversion obligation by delivering shares of its common stock and paying cash in respect of any fractional shares. The conversion rate of the November 2025 Note is initially equal to 626.9592 shares of common stock per $1,000 principal amount due under note. The conversion rate shall be subject to adjustment from time to time pursuant to the terms of the November 2025 Note. We may not redeem the November 2025 Note prior to July 5, 2026. We may redeem for cash all (but not less than all) of the, at our option, (i) on or after July 5, 2026 and prior to July 1, 2027, if the last reported sale price of our common stock has been at least 150% of the conversion price for the November 2025 Note then in effect and (ii) on or after July 5, 2027 and prior to the maturity date for the November 2025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November 2025 Note. If we undergo a change of control (as defined in the November 2025 Note), then, subject to certain conditions and except as described in the note, the holder may require the Company to redeem for cash all (but not less than all) of the note at a price equal to 100% of the principal amount of the November 2025 Note. The November 2025 Note sets forth certain events of default after which the note may be declared immediately due and payable and sets forth certain types of bankruptcy or insolvency events of default involving the Company after which the November 2025 Note becomes automatically due and payable. If certain bankruptcy and insolvency-related events of default occur with respect to the Company, the principal of, and accrued and unpaid interest, if any, on, the November 2025 Note shall automatically become due and payable. If an event of default with respect to the November 2025 Note, other than certain bankruptcy and insolvency-related events of default with respect to the Company, occurs and is continuing, a holder may at its option declare the note to be immediately due and payable.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7" w:name="page158"/>
    <w:bookmarkEnd w:id="15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July 10, 2025, we issued a convertible promissory note in the original principal amount of $5,000,000 (the “July 2025 Note”) to a trust controlled by Thurman J. Rodgers. The July 2025 Note bears a 12.0% interest rate. The July 2025 Note is a general unsecured obligation of the Company and will mature on July 1, 2029, unless earlier converted, redeemed or repurchased. Interest on the July 2025 Note accrues at a rate of 12.00% per year from July 1, 2024 and is payable semiannually in arrears on January 1 and July 1 of each year, beginning on January 1, 2026. The July 2025 Note is convertible at the option of the holder at any time prior to the payment of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principal amount due under the July 2025 Note. The conversion rate shall be subject to adjustment from time to time pursuant to the terms of the July 2025 Note. The Company may not redeem the July 2025 Note prior to July 5, 2026. The Company may redeem for cash all (but not less than all) of the July 2025 Note, at its option,(i) on or after July 5, 2026 and prior to July 1, 2027, if the last reported sale price of the common stock has been at least 150% of the conversion price for the July 2025 Note then in effect and (ii) on or after July 5, 2027 and prior to the maturity date for the July 2025 Note if the last reported sale price of the common stock has been at least 130% of the conversion price for the July 2025 Note then in effect, in each case of (i) and (ii),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July 2025 Note, plus accrued and unpaid interest, if any, to, but excluding, the redemption date. No sinking fund is provided for the July 2025 Note. If the Company undergoes a change of control (as defined in the July 2025 Note), then, subject to certain conditions and except as described in the July 2025 Note, the holder may require the Company to redeem for cash all (but not less than all) of July 2025 Note at a price equal to 100% of the principal amount of the July 2025 Note. The July 2025 Note sets forth certain events of default after which the July 2025 Note may be declared immediately due and payable and sets forth certain types of bankruptcy or insolvency events of default involving the Company after which the July 2025 Note becomes automatically due and payable. If certain bankruptcy and insolvency-related events of default occur with respect to the Company, the principal of, and accrued and unpaid interest, if any, on, the July 2025 Note shall automatically become due and payable. If an event of default with respect to the July 2025 Note, other than certain bankruptcy and insolvency-related events of default with respect to the Company, occurs and is continuing, a holder may at its option declare the July 2025 Note to be immediately due and payable.</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1, 2024, we entered into Note Purchase Agreements and the Exchange Agreement (together the “July 2024 Purchase Agreement”), pursuant to which we issued to certain accredited investors and qualified institutional buyers approximately $50.0 million in aggregate principal amount in July 2024 Notes. A trust controlled by Thurman J. Rodgers holds $18,000,000 principal amount of the July 2024 Notes. The July 2024 Notes accrue interest at the rate of 12.0% annually, which will be payable semiannually in arrears on January 1 and July 1 of each year, beginning on July 1, 2025, and the trust controlled by Mr. Rodgers received such interest payments during 2025 and will be entitled to such interest payments during 2026. The July 2024 Notes are convertible at the option of the holders at any time prior to the payment of the payment of the principal amount of such convertible note in full. Upon conversion of any convertible note, we will satisfy its conversion obligation by delivering shares of common stock and paying cash in respect of any fractional shares. The conversion rate for the convertible notes is initially equal to 595.2381 shares of common stock per $1,000 principal amount due under the convertible notes. The conversion rate shall be subject to adjustment from time to time pursuant to the terms of the convertible notes.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7.0% Senior Unsecured Convertible Notes issued to Affiliates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2024 and 2025, we entered into note purchase agreements with certain accredited investors and qualified institutional buyers relating to the sale and issuance of our 7.0% senior unsecured convertible notes (“7% Notes”). In September 2024, the Company issued $4.0 million principal amount of the 7% Notes to the Rodgers Family and Free Markets Charitable Trust, and the Company issued $4.0 million principal amount of the 7.0% Notes to the Rodgers Massey Revocable Living Trust. Thurman J. Rodgers is a trustee of each of the Rodgers Family and Free Markets Charitable Trust and the Rodgers Massey Revocable Living Trust. Additionally, the Company also issued $750,000 principal amount of the 7% Notes to the Dan and Kathy McCranie 2000 Revocable Trust, for which J. Daniel McCranie serves as trustee. Mr. McCranie was appointed to serve as a director of the Company on January 24, 2025.</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on the 7% Notes accrues at a rate of 7.00% per year from September 16, 2024 and will be payable semiannually in arrears on January 1 and July 1 of each year, beginning on January 1, 2025. The trusts affiliated with Mr. Rodgers and Mr. McCranie received such interest payments during 2025 and will be entitled to such interest payments during 2026. Holders of the 7% may convert all or any portion of their 7%Notes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On December 18, 2024, at our annual meeting of stockholders, our stockholders approved the issuance of shares of our common stock upon conversion of the 7% Notes in excess of the limitations otherwise applicable under the Indenture as a result of Nasdaq Listing Rule 5635(d)(2). As a result of this stockholder approval, we will seek approval to amend the Indenture to enable the earlier conversion of the 7% Notes.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8" w:name="page159"/>
    <w:bookmarkEnd w:id="15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conversion rate for the 7% 2024 Notes was initially 467.8363 shares of common stock per $1,000 principal amount of 7% Notes. The conversion rate for the 7% Notes is subject to adjustment from time to time in accordance with the terms of the Indenture, and currently the 7.0% Notes are convertible at the rate of 584.7953 shares of common stock per $1,000 principal amount of these notes. In addition, upon a conversion of the 7% Notes following certain corporate events that occur prior to the maturity date of the 7% Notes or if the Company delivers a notice of redemption in respect of the 7% Notes, the Company will, under certain circumstances, increase the conversion rate of the 7% Notes for a holder who elects to convert its 7% Notes following September 16, 2025, in connection with such a corporate event that occurs prior to the maturity date, or if the Company delivers a notice of redemption in respect of the 7%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Agreements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13, 2024, the Company entered into a Simple Agreement for Future Equity (the “Third SAFE”) with a trust affiliated with Thurman J. Rodgers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as defined in the Third SAFE, at a per share conversion price which is equal to 50% of the price per share of the Company’s common stock sold in an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31, 2024, we entered into the First SAFE with the Purchaser in connection with the Purchaser investing $1.5 million in the Company. On February 15, 2024, we entered into the Second SAFE with the Purchaser in connection with the Purchaser investing $3.5 million in the Company. On April 21, 2024, we entered into an amendment for each of our First SAFE and Second SAFE to convert the invested amounts into shares of our common stock. The conversion share price was $0.36, calculated as the product of (i) $0.45, the closing price of our common stock on April 19, 2024, multiplied by</w:t>
      </w:r>
    </w:p>
    <w:p>
      <w:pPr>
        <w:spacing w:after="0" w:line="3" w:lineRule="exact"/>
        <w:rPr>
          <w:sz w:val="20"/>
          <w:szCs w:val="20"/>
          <w:color w:val="auto"/>
        </w:rPr>
      </w:pPr>
    </w:p>
    <w:p>
      <w:pPr>
        <w:ind w:firstLine="8"/>
        <w:spacing w:after="0" w:line="260" w:lineRule="auto"/>
        <w:tabs>
          <w:tab w:leader="none" w:pos="26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As a result of the conversion of the First SAFE and Second SAFE, 4,166,666 and 9,722,222 shares of our common stock, respectively, have been issued to the Purchaser.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SameDay Solar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SunPower previously entered into commercial agreements with SameDay Solar, a residential solar installer. William Anderson, a director and our former Chief Executive Officer, owns 60% of the equity securities of SameDay Solar, and he is the Chief Executive Officer of SameDay Solar. All agreements between SunPower and SameDay Solar previously were entered into in the ordinary course of business; provided, however, the Company facilitates equipment purchases for SameDay Solar, and SameDay Solar receives the benefit of the pricing received by the Company for equipment purchases, including for projects that are completed by SameDay Solar on behalf of the Company and that do not involve the Company or its customers. Since January 1, 2022, we have paid SameDay Solar a total of approximately $2.3 million. Mr. Anderson receives separate compensation from SameDay Solar, and given his equity ownership, Mr. Anderson also has a 60% interest in SameDay Solar’s profits and earnings.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January 1, 2024, we have paid SameDay Solar a total of approximately $1,065,833. Since January 1, 2024, Mr. Anderson has received approximately $15,000 of remuneration from SameDay Solar relating to its relationship with the Company. Given his equity ownership, Mr. Anderson also has a 60% interest in SameDay Solar’s profits and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 its executive officers. For more information regarding these agreements with the Company’s named executive officers, see the section titled “</w:t>
      </w:r>
      <w:r>
        <w:rPr>
          <w:rFonts w:ascii="Times New Roman" w:cs="Times New Roman" w:eastAsia="Times New Roman" w:hAnsi="Times New Roman"/>
          <w:sz w:val="18"/>
          <w:szCs w:val="18"/>
          <w:i w:val="1"/>
          <w:iCs w:val="1"/>
          <w:color w:val="auto"/>
        </w:rPr>
        <w:t>Employment Arrangements with Named Executive Officers.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Grants to Directors and Executive Officers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granted stock options, restricted stock and other equity-based awards to certain of its Directors and executive officers. For more information regarding the stock options and stock awards granted to the Company’s Directors and named executive officers, see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9" w:name="page160"/>
    <w:bookmarkEnd w:id="15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certificate of incorporation contains provisions limiting the liability of its Directors, and the Company’s amended and restated bylaws provide that the Company will indemnify each of its Directors and officers to the fullest extent permitted under Delaware law. The Company’s amended and restated certificate of incorporation and amended and restated bylaws also provide the Board of Directors with discretion to indemnify the Company’s employees and other agents when determined appropriate by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of Directors adopted a written related person transactions policy that sets forth the Company’s policies and procedures regarding the identification, review, consideration and oversight of “related person transactions.” For purposes of the Company’s policy only, a “related person transaction” is a transaction, arrangement or relationship (or any series of similar transactions, arrangements or relationships) in which the Company or any of its subsidiaries are participants involving an amount that exceeds $120,000, including purchases of goods or services by or from the related person or entities in which the related person has a material interest, indebtedness and guarantees of indebtedness, subject to certain exceptions set forth in Item 404 of Regulation S-K under the Securities Act.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policy, the related person in question or, in the case of transactions with a holder of more than 5% of any class the Company’s voting securities, an officer with knowledge of a proposed transaction, must present information regarding the proposed related person transaction to the Company’s Audit Committee (or, where review by the Company’s Audit Committee would be inappropriate, to another independent body of the Board of Directors) for review. To identify related person transactions in advance, the Company will rely on information supplied by its executive officers, Directors and certain significant stockholders. In considering a related person transaction, the Company’s Audit Committee will take into account the relevant available facts and circumstances, which may include, but are not limited to:</w:t>
      </w:r>
    </w:p>
    <w:p>
      <w:pPr>
        <w:spacing w:after="0" w:line="187" w:lineRule="exact"/>
        <w:rPr>
          <w:sz w:val="20"/>
          <w:szCs w:val="20"/>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the Company;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related person’s interest in the transaction;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and terms of the transaction;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recommendation with respect to the proposed related person transaction;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is on terms comparable to those that could be obtained in an arm’s length transaction.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Company’s Audit Committee will approve only those transactions that it determines are fair to us and in the Company’s best interests.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billed by BDO, our independent registered public accounting firm, for fiscal years 2025 and 2024. All of the services described in the following fee table were approved by the Audit Committee.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2,601</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4,621</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Fees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40" w:hanging="332"/>
        <w:spacing w:after="0" w:line="261"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 This category includes the audit of our annual financial statements, the audit of our internal control over financial reporting,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the review of our financial statements included in our Quarterly Reports on Form 10-Q, and services that are normally provided by the independent registered public accounting firm in connection with statutory audit and regulatory filings for those fiscal years. This category also includes advice on accounting matters that arose during, or as a result of, the audit or the review of interim financial statements.</w:t>
      </w:r>
    </w:p>
    <w:p>
      <w:pPr>
        <w:spacing w:after="0" w:line="179"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 This category generally consists of assurance and related services, such as due diligence related to acquisition,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and finance offering.</w:t>
      </w:r>
    </w:p>
    <w:p>
      <w:pPr>
        <w:spacing w:after="0" w:line="15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 This category consists of services for tax compliance, tax advice, and tax planning.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Audit Committee has procedures in place for the pre-approval of all audit services, audit-related services, tax services, and other services rendered by our independent registered public accounting firm. Our Audit Committee generally pre-approves specified services in the defined categories of audit services, audit-related services and tax services up to specified amounts. Pre-approval may also be given as part of our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The Audit Committee has determined that the rendering of services other than audit services by our independent registered public accounting firm is compatible with maintaining the principal accountant’s independence.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Transition from Deloitte to BDO</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 2024, we notified Deloitte &amp; Touche LLP (“Deloitte”) of its dismissal, effective as of the same day, as our independent registered public accounting firm. Deloitte served as our independent registered public accounting firm since the closing of the Business Combination. The decision to change the independent public accounting firm was approved by our Audit Committee.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2022 and 2023 and the subsequent interim period through July 31, 2024, there were no: (1) disagreements with Deloitte within the meaning of Item 304(a)(1)(iv) of Regulation S-K on any matter of accounting principles or practices, financial statement disclosure, or auditing scope or procedures, which disagreements, if not resolved to Deloitte’s satisfaction, would have caused them to make reference in connection with their opinion to the subject matter of the disagreement, or (2) reportable events under Item 304(a)(1)(v) of Regulation S-K and the related instructions thereto, except with respect to the material weaknesses as described below and in Item 9A of this Annual Report on Form 10-K.</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fiscal 2023, we determined that material weaknesses in our internal control over financial reporting existed because (a) we did not have sufficient full-time accounting personnel, (i) to enable appropriate reviews over the financial close and reporting process, (ii) to allow for appropriate segregation of duties, and (iii) with the requisite experience and technical accounting knowledge to identify, review and resolve complex accounting issues under generally accepted accounting principles in the U.S., and (b) with respect to inventory controls related to the completeness, existence, and cut-off of the inventories held at third parties, and controls related to the calculation of adjustments to inventory for items considered excessive and obsolete. Additionally, we did not adequately design and/or implement controls related to conducting a formal risk assessment process.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reports of Deloitte on our consolidated financial statements as of and for the years ended December 31, 2022 and 2023 did not contain an adverse opinion or a disclaimer of opinion, and were not qualified or modified as to uncertainty, audit scope or accounting principles, except that there was an explanatory paragraph describing conditions that raised substantial doubt about our ability to continue as a going concern in Deloitte’s audit opinions dated April 6, 2023 and April 1, 2024.</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provided Deloitte with a copy of the auditor change disclosures prior to filing them with the Securities and Exchange Commission in our Current Report on Form 8-K on August 1, 2024 (the “Form 8-K”) and requested that Deloitte furnish a letter addressed to the Securities and Exchange Commission stating whether or not it agreed with the statements made in the Form 8-K, as specified by Item 304(a)(3) of Regulation S-K. A copy of Deloitte’s letter dated August 1, 2024 was filed as Exhibit 16.1 to the Form 8-K.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 2024, following the dismissal of Deloitte, the Audit Committee, after a competitive process to review the appointment of the Company’s independent registered public accounting firm, approved the engagement of BDO USA, P.C. (“BDO”) as the Company’s independent registered public accounting firm.</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During our fiscal years ended December 31, 2022 and 2023 and through July 31, 2024, neither the Company, nor anyone on its behalf, consulted BDO regarding either: (i) the application of accounting principles to a specified transaction, either completed or proposed; or the type of audit opinion that might be rendered on the Company’s financial statements; or (ii) any matter that was the subject of a “disagreement” (as that term is defined in Item 304(a)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(1)(iv) of Regulation S-K) or “reportable event” (as that term is defined in Item 304(a)(1)(v) of Regulation S-K).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2" w:name="page163"/>
    <w:bookmarkEnd w:id="162"/>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240" w:hanging="232"/>
        <w:spacing w:after="0"/>
        <w:tabs>
          <w:tab w:leader="none" w:pos="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filed with this Annual Report on Form 10-K: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Index to consolidated financial statements in Part II, Item 8 of this Annual Report on Form 10-K.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financial statement schedules have been omitted because they are not required, not applicable or the required information is otherwise included.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below are filed as part of this Annual Report on Form 10-K or incorporated herein by reference, in each case as indicated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0" w:type="dxa"/>
            <w:vAlign w:val="bottom"/>
            <w:gridSpan w:val="24"/>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16"/>
        </w:trPr>
        <w:tc>
          <w:tcPr>
            <w:tcW w:w="9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980" w:type="dxa"/>
            <w:vAlign w:val="bottom"/>
            <w:tcBorders>
              <w:top w:val="single" w:sz="8" w:color="auto"/>
              <w:bottom w:val="single" w:sz="8" w:color="auto"/>
            </w:tcBorders>
            <w:gridSpan w:val="10"/>
            <w:shd w:val="clear" w:color="auto" w:fill="CCEEFF"/>
          </w:tcPr>
          <w:p>
            <w:pPr>
              <w:spacing w:after="0"/>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Controlled Equity Offering</w:t>
              </w:r>
            </w:hyperlink>
          </w:p>
        </w:tc>
        <w:tc>
          <w:tcPr>
            <w:tcW w:w="220" w:type="dxa"/>
            <w:vAlign w:val="bottom"/>
            <w:tcBorders>
              <w:top w:val="single" w:sz="8" w:color="auto"/>
              <w:bottom w:val="single" w:sz="8" w:color="0000EE"/>
            </w:tcBorders>
            <w:gridSpan w:val="5"/>
            <w:shd w:val="clear" w:color="auto" w:fill="CCEEFF"/>
          </w:tcPr>
          <w:p>
            <w:pPr>
              <w:spacing w:after="0" w:line="129" w:lineRule="exact"/>
              <w:rPr>
                <w:rFonts w:ascii="Times New Roman" w:cs="Times New Roman" w:eastAsia="Times New Roman" w:hAnsi="Times New Roman"/>
                <w:sz w:val="14"/>
                <w:szCs w:val="14"/>
                <w:color w:val="0000EE"/>
                <w:w w:val="98"/>
              </w:rPr>
            </w:pPr>
            <w:hyperlink r:id="rId189">
              <w:r>
                <w:rPr>
                  <w:rFonts w:ascii="Times New Roman" w:cs="Times New Roman" w:eastAsia="Times New Roman" w:hAnsi="Times New Roman"/>
                  <w:sz w:val="14"/>
                  <w:szCs w:val="14"/>
                  <w:color w:val="0000EE"/>
                  <w:w w:val="98"/>
                </w:rPr>
                <w:t>SM</w:t>
              </w:r>
            </w:hyperlink>
          </w:p>
        </w:tc>
        <w:tc>
          <w:tcPr>
            <w:tcW w:w="2920" w:type="dxa"/>
            <w:vAlign w:val="bottom"/>
            <w:tcBorders>
              <w:top w:val="single" w:sz="8" w:color="auto"/>
              <w:bottom w:val="single" w:sz="8" w:color="auto"/>
            </w:tcBorders>
            <w:gridSpan w:val="17"/>
            <w:shd w:val="clear" w:color="auto" w:fill="CCEEFF"/>
          </w:tcPr>
          <w:p>
            <w:pPr>
              <w:ind w:left="60"/>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Sales Agreement dated December 19,</w:t>
              </w:r>
            </w:hyperlink>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333-283948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2024-12-20</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60" w:type="dxa"/>
            <w:vAlign w:val="bottom"/>
            <w:tcBorders>
              <w:bottom w:val="single" w:sz="8" w:color="0000EE"/>
            </w:tcBorders>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2024 by and between Complete Solaria, Inc. and Cantor Fitzgerald &amp;</w:t>
              </w:r>
            </w:hyperlink>
          </w:p>
        </w:tc>
        <w:tc>
          <w:tcPr>
            <w:tcW w:w="120" w:type="dxa"/>
            <w:vAlign w:val="bottom"/>
            <w:tcBorders>
              <w:bottom w:val="single" w:sz="8" w:color="CCEEFF"/>
            </w:tcBorders>
            <w:gridSpan w:val="4"/>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Co.</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506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Amended and Restated Business Combination Agreement, dated as of</w:t>
              </w:r>
            </w:hyperlink>
          </w:p>
        </w:tc>
        <w:tc>
          <w:tcPr>
            <w:tcW w:w="120" w:type="dxa"/>
            <w:vAlign w:val="bottom"/>
            <w:gridSpan w:val="4"/>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5"/>
              </w:rPr>
              <w:t>S-4</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333-269674</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2023-05-31</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May 26, 2023, by and among Freedom Acquisition I Corp., Jupiter</w:t>
              </w:r>
            </w:hyperlink>
          </w:p>
        </w:tc>
        <w:tc>
          <w:tcPr>
            <w:tcW w:w="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Merger Sub I Corp., Jupiter Merger Sub II LLC, Complete Solar</w:t>
              </w:r>
            </w:hyperlink>
          </w:p>
        </w:tc>
        <w:tc>
          <w:tcPr>
            <w:tcW w:w="12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3"/>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Holding Corporation, and The Solaria Corporation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5100" w:type="dxa"/>
            <w:vAlign w:val="bottom"/>
            <w:tcBorders>
              <w:bottom w:val="single" w:sz="8" w:color="0000EE"/>
            </w:tcBorders>
            <w:gridSpan w:val="31"/>
            <w:shd w:val="clear" w:color="auto" w:fill="CCEEFF"/>
          </w:tcPr>
          <w:p>
            <w:pPr>
              <w:spacing w:after="0" w:line="17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Agreement and Plan of Merger, dated as of October 3, 2022, by and</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5"/>
              </w:rPr>
              <w:t>S-4</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333-269674</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2023-02-10</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100" w:type="dxa"/>
            <w:vAlign w:val="bottom"/>
            <w:tcBorders>
              <w:bottom w:val="single" w:sz="8" w:color="0000EE"/>
            </w:tcBorders>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between  Complete  Solar  Holding  Corporation,  Complete  Solar</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100" w:type="dxa"/>
            <w:vAlign w:val="bottom"/>
            <w:tcBorders>
              <w:bottom w:val="single" w:sz="8" w:color="0000EE"/>
            </w:tcBorders>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Midco,  LLC,  Complete  Solar  Merger  Sub,  Inc.,  The  Solaria</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Corporation, and Fortis Advisors LLC</w:t>
              </w:r>
            </w:hyperlink>
          </w:p>
        </w:tc>
        <w:tc>
          <w:tcPr>
            <w:tcW w:w="2420" w:type="dxa"/>
            <w:vAlign w:val="bottom"/>
            <w:tcBorders>
              <w:bottom w:val="single" w:sz="8" w:color="CCEEFF"/>
            </w:tcBorders>
            <w:gridSpan w:val="17"/>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5"/>
                <w:szCs w:val="15"/>
                <w:color w:val="auto"/>
              </w:rPr>
            </w:pPr>
          </w:p>
        </w:tc>
        <w:tc>
          <w:tcPr>
            <w:tcW w:w="506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Asset Purchase Agreement dated September 19, 2023, by and among</w:t>
              </w:r>
            </w:hyperlink>
          </w:p>
        </w:tc>
        <w:tc>
          <w:tcPr>
            <w:tcW w:w="120" w:type="dxa"/>
            <w:vAlign w:val="bottom"/>
            <w:gridSpan w:val="4"/>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2023-09-21</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Complete  Solaria,  Inc.,  SolarCA,  LLC,  and  Maxeon  Solar</w:t>
              </w:r>
            </w:hyperlink>
          </w:p>
        </w:tc>
        <w:tc>
          <w:tcPr>
            <w:tcW w:w="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3"/>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Technologies, Ltd.</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5"/>
                <w:szCs w:val="15"/>
                <w:color w:val="auto"/>
              </w:rPr>
            </w:pPr>
          </w:p>
        </w:tc>
        <w:tc>
          <w:tcPr>
            <w:tcW w:w="518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Certificate of Incorporation of Complete Solaria</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2023-07-21</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5100" w:type="dxa"/>
            <w:vAlign w:val="bottom"/>
            <w:tcBorders>
              <w:bottom w:val="single" w:sz="8" w:color="0000EE"/>
            </w:tcBorders>
            <w:gridSpan w:val="31"/>
          </w:tcPr>
          <w:p>
            <w:pPr>
              <w:spacing w:after="0" w:line="17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Certificate  of  Amendment  to  Certificate  of  Incorporation  of</w:t>
              </w:r>
            </w:hyperlink>
          </w:p>
        </w:tc>
        <w:tc>
          <w:tcPr>
            <w:tcW w:w="80" w:type="dxa"/>
            <w:vAlign w:val="bottom"/>
            <w:gridSpan w:val="2"/>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2025-10-22</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3"/>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SunPower Inc.</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432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Second Amended and Restated Bylaws of Complete Solaria</w:t>
              </w:r>
            </w:hyperlink>
          </w:p>
        </w:tc>
        <w:tc>
          <w:tcPr>
            <w:tcW w:w="860" w:type="dxa"/>
            <w:vAlign w:val="bottom"/>
            <w:tcBorders>
              <w:bottom w:val="single" w:sz="8" w:color="CCEEFF"/>
            </w:tcBorders>
            <w:gridSpan w:val="7"/>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2025-10-22</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5180" w:type="dxa"/>
            <w:vAlign w:val="bottom"/>
            <w:gridSpan w:val="33"/>
          </w:tcPr>
          <w:p>
            <w:pPr>
              <w:spacing w:after="0" w:line="17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Form of Replacement Warrant</w:t>
              </w:r>
            </w:hyperlink>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2023-10-12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36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8"/>
              </w:rPr>
            </w:pPr>
            <w:hyperlink r:id="rId197">
              <w:r>
                <w:rPr>
                  <w:rFonts w:ascii="Times New Roman" w:cs="Times New Roman" w:eastAsia="Times New Roman" w:hAnsi="Times New Roman"/>
                  <w:sz w:val="18"/>
                  <w:szCs w:val="18"/>
                  <w:color w:val="0000EE"/>
                  <w:w w:val="98"/>
                </w:rPr>
                <w:t>Form of First Amendment to Replacement Warrant</w:t>
              </w:r>
            </w:hyperlink>
          </w:p>
        </w:tc>
        <w:tc>
          <w:tcPr>
            <w:tcW w:w="1500" w:type="dxa"/>
            <w:vAlign w:val="bottom"/>
            <w:tcBorders>
              <w:bottom w:val="single" w:sz="8" w:color="CCEEFF"/>
            </w:tcBorders>
            <w:gridSpan w:val="10"/>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2023-10-12</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5100" w:type="dxa"/>
            <w:vAlign w:val="bottom"/>
            <w:tcBorders>
              <w:bottom w:val="single" w:sz="8" w:color="0000EE"/>
            </w:tcBorders>
            <w:gridSpan w:val="31"/>
          </w:tcPr>
          <w:p>
            <w:pPr>
              <w:spacing w:after="0" w:line="17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Amended and Restated Registration Rights Agreement, dated July 18,</w:t>
              </w:r>
            </w:hyperlink>
          </w:p>
        </w:tc>
        <w:tc>
          <w:tcPr>
            <w:tcW w:w="80" w:type="dxa"/>
            <w:vAlign w:val="bottom"/>
            <w:gridSpan w:val="2"/>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2023, by and among the Company and certain other stockholders</w:t>
              </w:r>
            </w:hyperlink>
          </w:p>
        </w:tc>
        <w:tc>
          <w:tcPr>
            <w:tcW w:w="12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3"/>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party thereto</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5100" w:type="dxa"/>
            <w:vAlign w:val="bottom"/>
            <w:tcBorders>
              <w:bottom w:val="single" w:sz="8" w:color="0000EE"/>
            </w:tcBorders>
            <w:gridSpan w:val="31"/>
            <w:shd w:val="clear" w:color="auto" w:fill="CCEEFF"/>
          </w:tcPr>
          <w:p>
            <w:pPr>
              <w:spacing w:after="0" w:line="17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Warrant Agreement, dated February 25, 2021, by and between the</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2021-03-02</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80" w:type="dxa"/>
            <w:vAlign w:val="bottom"/>
            <w:tcBorders>
              <w:bottom w:val="single" w:sz="8" w:color="0000EE"/>
            </w:tcBorders>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Company and Continental Stock Transfer &amp; Trust Company, as</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7"/>
              </w:rPr>
            </w:pPr>
            <w:hyperlink r:id="rId199">
              <w:r>
                <w:rPr>
                  <w:rFonts w:ascii="Times New Roman" w:cs="Times New Roman" w:eastAsia="Times New Roman" w:hAnsi="Times New Roman"/>
                  <w:sz w:val="18"/>
                  <w:szCs w:val="18"/>
                  <w:color w:val="0000EE"/>
                  <w:w w:val="97"/>
                </w:rPr>
                <w:t>warrant agent</w:t>
              </w:r>
            </w:hyperlink>
          </w:p>
        </w:tc>
        <w:tc>
          <w:tcPr>
            <w:tcW w:w="4200" w:type="dxa"/>
            <w:vAlign w:val="bottom"/>
            <w:tcBorders>
              <w:bottom w:val="single" w:sz="8" w:color="CCEEFF"/>
            </w:tcBorders>
            <w:gridSpan w:val="30"/>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506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Indenture, dated September 16, 2024, between the Company and U.S.</w:t>
              </w:r>
            </w:hyperlink>
          </w:p>
        </w:tc>
        <w:tc>
          <w:tcPr>
            <w:tcW w:w="120" w:type="dxa"/>
            <w:vAlign w:val="bottom"/>
            <w:gridSpan w:val="4"/>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2024-09-26</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3"/>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Bank Trust Company, National Association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5"/>
                <w:szCs w:val="15"/>
                <w:color w:val="auto"/>
              </w:rPr>
            </w:pPr>
          </w:p>
        </w:tc>
        <w:tc>
          <w:tcPr>
            <w:tcW w:w="518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Form of SAFE (2024)</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2024-02-16</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5"/>
                <w:szCs w:val="15"/>
                <w:color w:val="auto"/>
              </w:rPr>
            </w:pPr>
          </w:p>
        </w:tc>
        <w:tc>
          <w:tcPr>
            <w:tcW w:w="5180" w:type="dxa"/>
            <w:vAlign w:val="bottom"/>
            <w:gridSpan w:val="33"/>
          </w:tcPr>
          <w:p>
            <w:pPr>
              <w:spacing w:after="0" w:line="17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Form of 7.0% Convertible Senior Note due 2029</w:t>
              </w:r>
            </w:hyperlink>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2024-09-26</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7"/>
                <w:szCs w:val="17"/>
                <w:color w:val="auto"/>
              </w:rPr>
            </w:pPr>
          </w:p>
        </w:tc>
        <w:tc>
          <w:tcPr>
            <w:tcW w:w="518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Form of 12.0% Convertible Senior Note due 2029</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2024-07-08</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CEEFF"/>
            </w:tcBorders>
          </w:tcPr>
          <w:p>
            <w:pPr>
              <w:spacing w:after="0"/>
              <w:rPr>
                <w:sz w:val="15"/>
                <w:szCs w:val="15"/>
                <w:color w:val="auto"/>
              </w:rPr>
            </w:pPr>
          </w:p>
        </w:tc>
        <w:tc>
          <w:tcPr>
            <w:tcW w:w="3600" w:type="dxa"/>
            <w:vAlign w:val="bottom"/>
            <w:tcBorders>
              <w:top w:val="single" w:sz="8" w:color="0000EE"/>
            </w:tcBorders>
            <w:gridSpan w:val="21"/>
          </w:tcPr>
          <w:p>
            <w:pPr>
              <w:spacing w:after="0" w:line="17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Form of Seller Note</w:t>
              </w:r>
            </w:hyperlink>
          </w:p>
        </w:tc>
        <w:tc>
          <w:tcPr>
            <w:tcW w:w="1580" w:type="dxa"/>
            <w:vAlign w:val="bottom"/>
            <w:tcBorders>
              <w:top w:val="single" w:sz="8" w:color="CCEEFF"/>
            </w:tcBorders>
            <w:gridSpan w:val="12"/>
          </w:tcPr>
          <w:p>
            <w:pPr>
              <w:spacing w:after="0"/>
              <w:rPr>
                <w:sz w:val="15"/>
                <w:szCs w:val="15"/>
                <w:color w:val="auto"/>
              </w:rPr>
            </w:pPr>
          </w:p>
        </w:tc>
        <w:tc>
          <w:tcPr>
            <w:tcW w:w="78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ind w:left="420"/>
              <w:spacing w:after="0" w:line="176" w:lineRule="exact"/>
              <w:rPr>
                <w:sz w:val="20"/>
                <w:szCs w:val="20"/>
                <w:color w:val="auto"/>
              </w:rPr>
            </w:pPr>
            <w:r>
              <w:rPr>
                <w:rFonts w:ascii="Times New Roman" w:cs="Times New Roman" w:eastAsia="Times New Roman" w:hAnsi="Times New Roman"/>
                <w:sz w:val="18"/>
                <w:szCs w:val="18"/>
                <w:color w:val="auto"/>
              </w:rPr>
              <w:t>2025-09-22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8"/>
              </w:rPr>
            </w:pPr>
            <w:hyperlink r:id="rId205">
              <w:r>
                <w:rPr>
                  <w:rFonts w:ascii="Times New Roman" w:cs="Times New Roman" w:eastAsia="Times New Roman" w:hAnsi="Times New Roman"/>
                  <w:sz w:val="18"/>
                  <w:szCs w:val="18"/>
                  <w:color w:val="0000EE"/>
                  <w:w w:val="98"/>
                </w:rPr>
                <w:t>Form of Indenture</w:t>
              </w:r>
            </w:hyperlink>
          </w:p>
        </w:tc>
        <w:tc>
          <w:tcPr>
            <w:tcW w:w="3860" w:type="dxa"/>
            <w:vAlign w:val="bottom"/>
            <w:tcBorders>
              <w:bottom w:val="single" w:sz="8" w:color="CCEEFF"/>
            </w:tcBorders>
            <w:gridSpan w:val="27"/>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5"/>
              </w:rPr>
              <w:t>S-3</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333-283948</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2024-12-20</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5"/>
                <w:szCs w:val="15"/>
                <w:color w:val="auto"/>
              </w:rPr>
            </w:pPr>
          </w:p>
        </w:tc>
        <w:tc>
          <w:tcPr>
            <w:tcW w:w="5180" w:type="dxa"/>
            <w:vAlign w:val="bottom"/>
            <w:gridSpan w:val="33"/>
          </w:tcPr>
          <w:p>
            <w:pPr>
              <w:spacing w:after="0" w:line="17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Convertible Promissory Note</w:t>
              </w:r>
            </w:hyperlink>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2025-07-16</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7"/>
                <w:szCs w:val="17"/>
                <w:color w:val="auto"/>
              </w:rPr>
            </w:pPr>
          </w:p>
        </w:tc>
        <w:tc>
          <w:tcPr>
            <w:tcW w:w="518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Form of Physical Note for 7.0% Convertible Senior Notes due 2029</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2024-09-26</w:t>
            </w: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top w:val="single" w:sz="8" w:color="CCEEFF"/>
            </w:tcBorders>
          </w:tcPr>
          <w:p>
            <w:pPr>
              <w:spacing w:after="0"/>
              <w:rPr>
                <w:sz w:val="15"/>
                <w:szCs w:val="15"/>
                <w:color w:val="auto"/>
              </w:rPr>
            </w:pPr>
          </w:p>
        </w:tc>
        <w:tc>
          <w:tcPr>
            <w:tcW w:w="4880" w:type="dxa"/>
            <w:vAlign w:val="bottom"/>
            <w:tcBorders>
              <w:top w:val="single" w:sz="8" w:color="0000EE"/>
            </w:tcBorders>
            <w:gridSpan w:val="27"/>
          </w:tcPr>
          <w:p>
            <w:pPr>
              <w:spacing w:after="0" w:line="17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Convertible Promissory Note dated November 20, 2025</w:t>
              </w:r>
            </w:hyperlink>
          </w:p>
        </w:tc>
        <w:tc>
          <w:tcPr>
            <w:tcW w:w="300" w:type="dxa"/>
            <w:vAlign w:val="bottom"/>
            <w:tcBorders>
              <w:top w:val="single" w:sz="8" w:color="CCEEFF"/>
            </w:tcBorders>
            <w:gridSpan w:val="6"/>
          </w:tcPr>
          <w:p>
            <w:pPr>
              <w:spacing w:after="0"/>
              <w:rPr>
                <w:sz w:val="15"/>
                <w:szCs w:val="15"/>
                <w:color w:val="auto"/>
              </w:rPr>
            </w:pPr>
          </w:p>
        </w:tc>
        <w:tc>
          <w:tcPr>
            <w:tcW w:w="78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011-40117</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ind w:left="420"/>
              <w:spacing w:after="0" w:line="176" w:lineRule="exact"/>
              <w:rPr>
                <w:sz w:val="20"/>
                <w:szCs w:val="20"/>
                <w:color w:val="auto"/>
              </w:rPr>
            </w:pPr>
            <w:r>
              <w:rPr>
                <w:rFonts w:ascii="Times New Roman" w:cs="Times New Roman" w:eastAsia="Times New Roman" w:hAnsi="Times New Roman"/>
                <w:sz w:val="18"/>
                <w:szCs w:val="18"/>
                <w:color w:val="auto"/>
              </w:rPr>
              <w:t>2025-11-24</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Convertible Promissory Note dated January 29, 2026</w:t>
              </w:r>
            </w:hyperlink>
          </w:p>
        </w:tc>
        <w:tc>
          <w:tcPr>
            <w:tcW w:w="1360" w:type="dxa"/>
            <w:vAlign w:val="bottom"/>
            <w:tcBorders>
              <w:bottom w:val="single" w:sz="8" w:color="CCEEFF"/>
            </w:tcBorders>
            <w:gridSpan w:val="9"/>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2026-01-30</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5"/>
                <w:szCs w:val="15"/>
                <w:color w:val="auto"/>
              </w:rPr>
            </w:pPr>
          </w:p>
        </w:tc>
        <w:tc>
          <w:tcPr>
            <w:tcW w:w="5180" w:type="dxa"/>
            <w:vAlign w:val="bottom"/>
            <w:gridSpan w:val="33"/>
          </w:tcPr>
          <w:p>
            <w:pPr>
              <w:spacing w:after="0" w:line="17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Convertible Promissory Note, dated as of January 27, 2026, issued to</w:t>
              </w:r>
            </w:hyperlink>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2026-01-30</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YA II PN, LTD</w:t>
              </w:r>
            </w:hyperlink>
          </w:p>
        </w:tc>
        <w:tc>
          <w:tcPr>
            <w:tcW w:w="14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bottom w:val="single" w:sz="8" w:color="CCEEFF"/>
            </w:tcBorders>
            <w:shd w:val="clear" w:color="auto" w:fill="CCEEFF"/>
          </w:tcPr>
          <w:p>
            <w:pPr>
              <w:spacing w:after="0"/>
              <w:rPr>
                <w:sz w:val="17"/>
                <w:szCs w:val="17"/>
                <w:color w:val="auto"/>
              </w:rPr>
            </w:pPr>
          </w:p>
        </w:tc>
        <w:tc>
          <w:tcPr>
            <w:tcW w:w="31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Convertible Debenture dated March 6, 2026</w:t>
              </w:r>
            </w:hyperlink>
          </w:p>
        </w:tc>
        <w:tc>
          <w:tcPr>
            <w:tcW w:w="2000" w:type="dxa"/>
            <w:vAlign w:val="bottom"/>
            <w:tcBorders>
              <w:bottom w:val="single" w:sz="8" w:color="CCEEFF"/>
            </w:tcBorders>
            <w:gridSpan w:val="15"/>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2026-03-11</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15"/>
                <w:szCs w:val="15"/>
                <w:color w:val="auto"/>
              </w:rPr>
            </w:pPr>
          </w:p>
        </w:tc>
        <w:tc>
          <w:tcPr>
            <w:tcW w:w="5180" w:type="dxa"/>
            <w:vAlign w:val="bottom"/>
            <w:gridSpan w:val="33"/>
          </w:tcPr>
          <w:p>
            <w:pPr>
              <w:spacing w:after="0" w:line="17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Description of Capital Stock</w:t>
              </w:r>
            </w:hyperlink>
          </w:p>
        </w:tc>
        <w:tc>
          <w:tcPr>
            <w:tcW w:w="78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2025-04-30</w:t>
            </w:r>
          </w:p>
        </w:tc>
      </w:tr>
      <w:tr>
        <w:trPr>
          <w:trHeight w:val="675"/>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top w:val="single" w:sz="8" w:color="0000EE"/>
              <w:bottom w:val="single" w:sz="8" w:color="auto"/>
            </w:tcBorders>
            <w:gridSpan w:val="12"/>
          </w:tcPr>
          <w:p>
            <w:pPr>
              <w:spacing w:after="0"/>
              <w:rPr>
                <w:sz w:val="24"/>
                <w:szCs w:val="24"/>
                <w:color w:val="auto"/>
              </w:rPr>
            </w:pPr>
          </w:p>
        </w:tc>
        <w:tc>
          <w:tcPr>
            <w:tcW w:w="2840" w:type="dxa"/>
            <w:vAlign w:val="bottom"/>
            <w:tcBorders>
              <w:bottom w:val="single" w:sz="8" w:color="auto"/>
            </w:tcBorders>
            <w:gridSpan w:val="15"/>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17"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60" w:type="dxa"/>
            <w:vAlign w:val="bottom"/>
            <w:gridSpan w:val="2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96"/>
        </w:trPr>
        <w:tc>
          <w:tcPr>
            <w:tcW w:w="9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20" w:type="dxa"/>
            <w:vAlign w:val="bottom"/>
            <w:tcBorders>
              <w:top w:val="single" w:sz="8" w:color="auto"/>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Form of Indemnification Agreement</w:t>
              </w:r>
            </w:hyperlink>
          </w:p>
        </w:tc>
        <w:tc>
          <w:tcPr>
            <w:tcW w:w="2440" w:type="dxa"/>
            <w:vAlign w:val="bottom"/>
            <w:tcBorders>
              <w:top w:val="single" w:sz="8" w:color="auto"/>
              <w:bottom w:val="single" w:sz="8" w:color="CCEEFF"/>
            </w:tcBorders>
            <w:gridSpan w:val="13"/>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506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Forward Purchase Agreement, dated July 13, 2023, between Meteora</w:t>
              </w:r>
            </w:hyperlink>
          </w:p>
        </w:tc>
        <w:tc>
          <w:tcPr>
            <w:tcW w:w="120" w:type="dxa"/>
            <w:vAlign w:val="bottom"/>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10.24</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Special Opportunity Fund I, LP, Meteora Capital Partners, LP and</w:t>
              </w:r>
            </w:hyperlink>
          </w:p>
        </w:tc>
        <w:tc>
          <w:tcPr>
            <w:tcW w:w="14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Meteora  Select  Trading  Opportunities  Master,  LP;  Freedom</w:t>
              </w:r>
            </w:hyperlink>
          </w:p>
        </w:tc>
        <w:tc>
          <w:tcPr>
            <w:tcW w:w="14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24"/>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Acquisition I Corp.; and Complete Solaria, Inc.</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5040" w:type="dxa"/>
            <w:vAlign w:val="bottom"/>
            <w:tcBorders>
              <w:bottom w:val="single" w:sz="8" w:color="0000EE"/>
              <w:right w:val="single" w:sz="8" w:color="CCEEFF"/>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Forward Purchase Agreement, dated July 13, 2023, between Polar</w:t>
              </w:r>
            </w:hyperlink>
          </w:p>
        </w:tc>
        <w:tc>
          <w:tcPr>
            <w:tcW w:w="140" w:type="dxa"/>
            <w:vAlign w:val="bottom"/>
            <w:tcBorders>
              <w:left w:val="single" w:sz="8" w:color="CCEEFF"/>
              <w:bottom w:val="single" w:sz="8" w:color="CCEEFF"/>
            </w:tcBorders>
            <w:gridSpan w:val="4"/>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10.25</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Multi-Strategy  Master  Fund;  Freedom  Acquisition  I  Corp.  and</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7"/>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0000EE"/>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8"/>
              </w:rPr>
            </w:pPr>
            <w:hyperlink r:id="rId215">
              <w:r>
                <w:rPr>
                  <w:rFonts w:ascii="Times New Roman" w:cs="Times New Roman" w:eastAsia="Times New Roman" w:hAnsi="Times New Roman"/>
                  <w:sz w:val="18"/>
                  <w:szCs w:val="18"/>
                  <w:color w:val="0000EE"/>
                  <w:w w:val="98"/>
                </w:rPr>
                <w:t>Complete Solaria, Inc.</w:t>
              </w:r>
            </w:hyperlink>
          </w:p>
        </w:tc>
        <w:tc>
          <w:tcPr>
            <w:tcW w:w="3420" w:type="dxa"/>
            <w:vAlign w:val="bottom"/>
            <w:tcBorders>
              <w:top w:val="single" w:sz="8" w:color="0000EE"/>
              <w:bottom w:val="single" w:sz="8" w:color="CCEEFF"/>
              <w:right w:val="single" w:sz="8" w:color="CCEEFF"/>
            </w:tcBorders>
            <w:gridSpan w:val="18"/>
            <w:shd w:val="clear" w:color="auto" w:fill="CCEEFF"/>
          </w:tcPr>
          <w:p>
            <w:pPr>
              <w:spacing w:after="0"/>
              <w:rPr>
                <w:sz w:val="18"/>
                <w:szCs w:val="18"/>
                <w:color w:val="auto"/>
              </w:rPr>
            </w:pPr>
          </w:p>
        </w:tc>
        <w:tc>
          <w:tcPr>
            <w:tcW w:w="140" w:type="dxa"/>
            <w:vAlign w:val="bottom"/>
            <w:tcBorders>
              <w:top w:val="single" w:sz="8" w:color="CCEEFF"/>
              <w:left w:val="single" w:sz="8" w:color="CCEEFF"/>
              <w:bottom w:val="single" w:sz="8" w:color="CCEEFF"/>
            </w:tcBorders>
            <w:gridSpan w:val="4"/>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504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Forward  Purchase  Agreement,  dated  July  13,  2023,  between</w:t>
              </w:r>
            </w:hyperlink>
          </w:p>
        </w:tc>
        <w:tc>
          <w:tcPr>
            <w:tcW w:w="140" w:type="dxa"/>
            <w:vAlign w:val="bottom"/>
            <w:gridSpan w:val="4"/>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10.26</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24"/>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Diametric True Alpha Market Neutral Master Fund, LP, Diametric</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True  Alpha  Enhanced  Market  Neutral  Master  Fund,  LP,  and</w:t>
              </w:r>
            </w:hyperlink>
          </w:p>
        </w:tc>
        <w:tc>
          <w:tcPr>
            <w:tcW w:w="14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24"/>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Pinebridge Partners Master Fund, LP; Freedom Acquisition I Corp.</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and Complete Solaria, Inc.</w:t>
              </w:r>
            </w:hyperlink>
          </w:p>
        </w:tc>
        <w:tc>
          <w:tcPr>
            <w:tcW w:w="14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5"/>
                <w:szCs w:val="15"/>
                <w:color w:val="auto"/>
              </w:rPr>
            </w:pPr>
          </w:p>
        </w:tc>
        <w:tc>
          <w:tcPr>
            <w:tcW w:w="518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FPA Funding Amount Pipe Subscription Agreements dated July 13,</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10.27</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20"/>
        </w:trPr>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2023, between Meteora Special Opportunity Fund I, LP, Meteora</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0000EE"/>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Capital Partners,  LP  and  Meteora  Select  Trading  Opportunities</w:t>
              </w:r>
            </w:hyperlink>
          </w:p>
        </w:tc>
        <w:tc>
          <w:tcPr>
            <w:tcW w:w="140" w:type="dxa"/>
            <w:vAlign w:val="bottom"/>
            <w:tcBorders>
              <w:left w:val="single" w:sz="8" w:color="CCEEFF"/>
              <w:bottom w:val="single" w:sz="8" w:color="CCEEFF"/>
            </w:tcBorders>
            <w:gridSpan w:val="4"/>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40" w:type="dxa"/>
            <w:vAlign w:val="bottom"/>
            <w:tcBorders>
              <w:bottom w:val="single" w:sz="8" w:color="0000EE"/>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Master, LP; Freedom Acquisition I Corp.; and Complete Solaria, Inc.</w:t>
              </w:r>
            </w:hyperlink>
          </w:p>
        </w:tc>
        <w:tc>
          <w:tcPr>
            <w:tcW w:w="140" w:type="dxa"/>
            <w:vAlign w:val="bottom"/>
            <w:tcBorders>
              <w:left w:val="single" w:sz="8" w:color="CCEEFF"/>
              <w:bottom w:val="single" w:sz="8" w:color="CCEEFF"/>
            </w:tcBorders>
            <w:gridSpan w:val="4"/>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5"/>
                <w:szCs w:val="15"/>
                <w:color w:val="auto"/>
              </w:rPr>
            </w:pPr>
          </w:p>
        </w:tc>
        <w:tc>
          <w:tcPr>
            <w:tcW w:w="5180" w:type="dxa"/>
            <w:vAlign w:val="bottom"/>
            <w:gridSpan w:val="24"/>
          </w:tcPr>
          <w:p>
            <w:pPr>
              <w:spacing w:after="0" w:line="17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FPA Funding Amount Pipe Subscription Agreements dated July 13,</w:t>
              </w:r>
            </w:hyperlink>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10.28</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2023,  between  Polar  Multi-Strategy  Master  Fund;  Freedom</w:t>
              </w:r>
            </w:hyperlink>
          </w:p>
        </w:tc>
        <w:tc>
          <w:tcPr>
            <w:tcW w:w="14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24"/>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Acquisition I Corp. and Complete Solaria, Inc.</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15"/>
                <w:szCs w:val="15"/>
                <w:color w:val="auto"/>
              </w:rPr>
            </w:pPr>
          </w:p>
        </w:tc>
        <w:tc>
          <w:tcPr>
            <w:tcW w:w="5040" w:type="dxa"/>
            <w:vAlign w:val="bottom"/>
            <w:tcBorders>
              <w:bottom w:val="single" w:sz="8" w:color="0000EE"/>
              <w:right w:val="single" w:sz="8" w:color="CCEEFF"/>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FPA Funding Amount Pipe Subscription Agreements, dated July 13,</w:t>
              </w:r>
            </w:hyperlink>
          </w:p>
        </w:tc>
        <w:tc>
          <w:tcPr>
            <w:tcW w:w="140" w:type="dxa"/>
            <w:vAlign w:val="bottom"/>
            <w:tcBorders>
              <w:left w:val="single" w:sz="8" w:color="CCEEFF"/>
              <w:bottom w:val="single" w:sz="8" w:color="CCEEFF"/>
            </w:tcBorders>
            <w:gridSpan w:val="4"/>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10.29</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120" w:type="dxa"/>
            <w:vAlign w:val="bottom"/>
            <w:tcBorders>
              <w:bottom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2023, between Diametric True Alpha Market Neutral Master Fund,</w:t>
              </w:r>
            </w:hyperlink>
          </w:p>
        </w:tc>
        <w:tc>
          <w:tcPr>
            <w:tcW w:w="60" w:type="dxa"/>
            <w:vAlign w:val="bottom"/>
            <w:tcBorders>
              <w:bottom w:val="single" w:sz="8" w:color="CCEEFF"/>
            </w:tcBorders>
            <w:gridSpan w:val="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LP, Diametric True Alpha Enhanced Market Neutral Master Fund, LP,</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CCEEFF"/>
            </w:tcBorders>
            <w:gridSpan w:val="4"/>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0000EE"/>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and Pinebridge Partners Master Fund, LP; Freedom Acquisition I</w:t>
              </w:r>
            </w:hyperlink>
          </w:p>
        </w:tc>
        <w:tc>
          <w:tcPr>
            <w:tcW w:w="140" w:type="dxa"/>
            <w:vAlign w:val="bottom"/>
            <w:tcBorders>
              <w:left w:val="single" w:sz="8" w:color="CCEEFF"/>
              <w:bottom w:val="single" w:sz="8" w:color="CCEEFF"/>
            </w:tcBorders>
            <w:gridSpan w:val="4"/>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Corp. and Complete Solaria, Inc.</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94967217"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5"/>
                <w:szCs w:val="15"/>
                <w:color w:val="auto"/>
              </w:rPr>
            </w:pPr>
          </w:p>
        </w:tc>
        <w:tc>
          <w:tcPr>
            <w:tcW w:w="504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New Money Pipe Subscription Agreements dated July 13, 2023,</w:t>
              </w:r>
            </w:hyperlink>
          </w:p>
        </w:tc>
        <w:tc>
          <w:tcPr>
            <w:tcW w:w="140" w:type="dxa"/>
            <w:vAlign w:val="bottom"/>
            <w:gridSpan w:val="4"/>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10.30</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between Meteora Special Opportunity Fund I, LP, Meteora Capital</w:t>
              </w:r>
            </w:hyperlink>
          </w:p>
        </w:tc>
        <w:tc>
          <w:tcPr>
            <w:tcW w:w="14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Partners, LP and Meteora Select Trading Opportunities Master, LP;</w:t>
              </w:r>
            </w:hyperlink>
          </w:p>
        </w:tc>
        <w:tc>
          <w:tcPr>
            <w:tcW w:w="14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24"/>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Freedom Acquisition I Corp.; and Complete Solaria, Inc.</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5"/>
                <w:szCs w:val="15"/>
                <w:color w:val="auto"/>
              </w:rPr>
            </w:pPr>
          </w:p>
        </w:tc>
        <w:tc>
          <w:tcPr>
            <w:tcW w:w="518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New Money Pipe Subscription Agreements, dated July 13, 2023,</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10.31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20"/>
        </w:trPr>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CCEEFF"/>
            </w:tcBorders>
            <w:gridSpan w:val="4"/>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between Diametric True Alpha Market Neutral Master Fund, LP,</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CCEEFF"/>
            </w:tcBorders>
            <w:gridSpan w:val="4"/>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0000EE"/>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Diametric True Alpha Enhanced Market Neutral Master Fund, LP,</w:t>
              </w:r>
            </w:hyperlink>
          </w:p>
        </w:tc>
        <w:tc>
          <w:tcPr>
            <w:tcW w:w="140" w:type="dxa"/>
            <w:vAlign w:val="bottom"/>
            <w:tcBorders>
              <w:left w:val="single" w:sz="8" w:color="CCEEFF"/>
              <w:bottom w:val="single" w:sz="8" w:color="CCEEFF"/>
            </w:tcBorders>
            <w:gridSpan w:val="4"/>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0000EE"/>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and Pinebridge Partners Master Fund, LP; Freedom Acquisition I</w:t>
              </w:r>
            </w:hyperlink>
          </w:p>
        </w:tc>
        <w:tc>
          <w:tcPr>
            <w:tcW w:w="140" w:type="dxa"/>
            <w:vAlign w:val="bottom"/>
            <w:tcBorders>
              <w:left w:val="single" w:sz="8" w:color="CCEEFF"/>
              <w:bottom w:val="single" w:sz="8" w:color="CCEEFF"/>
            </w:tcBorders>
            <w:gridSpan w:val="4"/>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Corp. and Complete Solaria, Inc.</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94967217"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5"/>
                <w:szCs w:val="15"/>
                <w:color w:val="auto"/>
              </w:rPr>
            </w:pPr>
          </w:p>
        </w:tc>
        <w:tc>
          <w:tcPr>
            <w:tcW w:w="5180" w:type="dxa"/>
            <w:vAlign w:val="bottom"/>
            <w:gridSpan w:val="24"/>
          </w:tcPr>
          <w:p>
            <w:pPr>
              <w:spacing w:after="0" w:line="17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Form of Subscription Agreement</w:t>
              </w:r>
            </w:hyperlink>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10.32</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8"/>
              </w:rPr>
            </w:pPr>
            <w:hyperlink r:id="rId223">
              <w:r>
                <w:rPr>
                  <w:rFonts w:ascii="Times New Roman" w:cs="Times New Roman" w:eastAsia="Times New Roman" w:hAnsi="Times New Roman"/>
                  <w:sz w:val="18"/>
                  <w:szCs w:val="18"/>
                  <w:color w:val="0000EE"/>
                  <w:w w:val="98"/>
                </w:rPr>
                <w:t>Form of Subscription Agreement</w:t>
              </w:r>
            </w:hyperlink>
          </w:p>
        </w:tc>
        <w:tc>
          <w:tcPr>
            <w:tcW w:w="2800" w:type="dxa"/>
            <w:vAlign w:val="bottom"/>
            <w:tcBorders>
              <w:bottom w:val="single" w:sz="8" w:color="CCEEFF"/>
            </w:tcBorders>
            <w:gridSpan w:val="16"/>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2023-07-14</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5"/>
                <w:szCs w:val="15"/>
                <w:color w:val="auto"/>
              </w:rPr>
            </w:pPr>
          </w:p>
        </w:tc>
        <w:tc>
          <w:tcPr>
            <w:tcW w:w="504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Promissory Note dated July 10, 2023, issued by Freedom Acquisition</w:t>
              </w:r>
            </w:hyperlink>
          </w:p>
        </w:tc>
        <w:tc>
          <w:tcPr>
            <w:tcW w:w="140" w:type="dxa"/>
            <w:vAlign w:val="bottom"/>
            <w:gridSpan w:val="4"/>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2023-07-11</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24"/>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I Corp. to Freedom Acquisition I LLC</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CEEFF"/>
            </w:tcBorders>
            <w:shd w:val="clear" w:color="auto" w:fill="CCEEFF"/>
          </w:tcPr>
          <w:p>
            <w:pPr>
              <w:spacing w:after="0"/>
              <w:rPr>
                <w:sz w:val="17"/>
                <w:szCs w:val="17"/>
                <w:color w:val="auto"/>
              </w:rPr>
            </w:pPr>
          </w:p>
        </w:tc>
        <w:tc>
          <w:tcPr>
            <w:tcW w:w="474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Consent to Business Combination Agreement, dated July 9, 2023.</w:t>
              </w:r>
            </w:hyperlink>
          </w:p>
        </w:tc>
        <w:tc>
          <w:tcPr>
            <w:tcW w:w="440" w:type="dxa"/>
            <w:vAlign w:val="bottom"/>
            <w:tcBorders>
              <w:bottom w:val="single" w:sz="8" w:color="CCEEFF"/>
            </w:tcBorders>
            <w:gridSpan w:val="7"/>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2023-07-10</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5"/>
                <w:szCs w:val="15"/>
                <w:color w:val="auto"/>
              </w:rPr>
            </w:pPr>
          </w:p>
        </w:tc>
        <w:tc>
          <w:tcPr>
            <w:tcW w:w="5180" w:type="dxa"/>
            <w:vAlign w:val="bottom"/>
            <w:gridSpan w:val="24"/>
          </w:tcPr>
          <w:p>
            <w:pPr>
              <w:spacing w:after="0" w:line="17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2023 Incentive Equity Plan</w:t>
              </w:r>
            </w:hyperlink>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20" w:type="dxa"/>
            <w:vAlign w:val="bottom"/>
            <w:tcBorders>
              <w:bottom w:val="single" w:sz="8" w:color="CCEEFF"/>
            </w:tcBorders>
            <w:shd w:val="clear" w:color="auto" w:fill="CCEEFF"/>
          </w:tcPr>
          <w:p>
            <w:pPr>
              <w:spacing w:after="0"/>
              <w:rPr>
                <w:sz w:val="15"/>
                <w:szCs w:val="15"/>
                <w:color w:val="auto"/>
              </w:rPr>
            </w:pPr>
          </w:p>
        </w:tc>
        <w:tc>
          <w:tcPr>
            <w:tcW w:w="5040" w:type="dxa"/>
            <w:vAlign w:val="bottom"/>
            <w:tcBorders>
              <w:bottom w:val="single" w:sz="8" w:color="0000EE"/>
              <w:right w:val="single" w:sz="8" w:color="CCEEFF"/>
            </w:tcBorders>
            <w:gridSpan w:val="20"/>
            <w:shd w:val="clear" w:color="auto" w:fill="CCEEFF"/>
          </w:tcPr>
          <w:p>
            <w:pPr>
              <w:spacing w:after="0" w:line="176" w:lineRule="exact"/>
              <w:rPr>
                <w:rFonts w:ascii="Times New Roman" w:cs="Times New Roman" w:eastAsia="Times New Roman" w:hAnsi="Times New Roman"/>
                <w:sz w:val="18"/>
                <w:szCs w:val="18"/>
                <w:color w:val="0000EE"/>
                <w:w w:val="98"/>
              </w:rPr>
            </w:pPr>
            <w:hyperlink r:id="rId227">
              <w:r>
                <w:rPr>
                  <w:rFonts w:ascii="Times New Roman" w:cs="Times New Roman" w:eastAsia="Times New Roman" w:hAnsi="Times New Roman"/>
                  <w:sz w:val="18"/>
                  <w:szCs w:val="18"/>
                  <w:color w:val="0000EE"/>
                  <w:w w:val="98"/>
                </w:rPr>
                <w:t>Forms of Option Grant Notice and Option agreement and Global RSU</w:t>
              </w:r>
            </w:hyperlink>
          </w:p>
        </w:tc>
        <w:tc>
          <w:tcPr>
            <w:tcW w:w="140" w:type="dxa"/>
            <w:vAlign w:val="bottom"/>
            <w:tcBorders>
              <w:left w:val="single" w:sz="8" w:color="CCEEFF"/>
              <w:bottom w:val="single" w:sz="8" w:color="CCEEFF"/>
            </w:tcBorders>
            <w:gridSpan w:val="4"/>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8"/>
              </w:rPr>
            </w:pPr>
            <w:hyperlink r:id="rId227">
              <w:r>
                <w:rPr>
                  <w:rFonts w:ascii="Times New Roman" w:cs="Times New Roman" w:eastAsia="Times New Roman" w:hAnsi="Times New Roman"/>
                  <w:sz w:val="18"/>
                  <w:szCs w:val="18"/>
                  <w:color w:val="0000EE"/>
                  <w:w w:val="98"/>
                </w:rPr>
                <w:t>Grant Notice and Agreement</w:t>
              </w:r>
            </w:hyperlink>
          </w:p>
        </w:tc>
        <w:tc>
          <w:tcPr>
            <w:tcW w:w="3100" w:type="dxa"/>
            <w:vAlign w:val="bottom"/>
            <w:tcBorders>
              <w:bottom w:val="single" w:sz="8" w:color="CCEEFF"/>
            </w:tcBorders>
            <w:gridSpan w:val="19"/>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5"/>
                <w:szCs w:val="15"/>
                <w:color w:val="auto"/>
              </w:rPr>
            </w:pPr>
          </w:p>
        </w:tc>
        <w:tc>
          <w:tcPr>
            <w:tcW w:w="5180" w:type="dxa"/>
            <w:vAlign w:val="bottom"/>
            <w:gridSpan w:val="24"/>
          </w:tcPr>
          <w:p>
            <w:pPr>
              <w:spacing w:after="0" w:line="17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2023 Employee Stock Purchase Plan</w:t>
              </w:r>
            </w:hyperlink>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20" w:type="dxa"/>
            <w:vAlign w:val="bottom"/>
            <w:tcBorders>
              <w:bottom w:val="single" w:sz="8" w:color="CCEEFF"/>
            </w:tcBorders>
            <w:shd w:val="clear" w:color="auto" w:fill="CCEEFF"/>
          </w:tcPr>
          <w:p>
            <w:pPr>
              <w:spacing w:after="0"/>
              <w:rPr>
                <w:sz w:val="15"/>
                <w:szCs w:val="15"/>
                <w:color w:val="auto"/>
              </w:rPr>
            </w:pPr>
          </w:p>
        </w:tc>
        <w:tc>
          <w:tcPr>
            <w:tcW w:w="5040" w:type="dxa"/>
            <w:vAlign w:val="bottom"/>
            <w:tcBorders>
              <w:bottom w:val="single" w:sz="8" w:color="0000EE"/>
              <w:right w:val="single" w:sz="8" w:color="CCEEFF"/>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Form of Employment Agreement between Complete Solaria, Inc. and</w:t>
              </w:r>
            </w:hyperlink>
          </w:p>
        </w:tc>
        <w:tc>
          <w:tcPr>
            <w:tcW w:w="140" w:type="dxa"/>
            <w:vAlign w:val="bottom"/>
            <w:tcBorders>
              <w:left w:val="single" w:sz="8" w:color="CCEEFF"/>
              <w:bottom w:val="single" w:sz="8" w:color="CCEEFF"/>
            </w:tcBorders>
            <w:gridSpan w:val="4"/>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5"/>
              </w:rPr>
              <w:t>S-4</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333-269674</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10.22</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2023-05-11</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Executive Officers</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94967217"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15"/>
                <w:szCs w:val="15"/>
                <w:color w:val="auto"/>
              </w:rPr>
            </w:pPr>
          </w:p>
        </w:tc>
        <w:tc>
          <w:tcPr>
            <w:tcW w:w="506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Exchange Agreement dated July 1 2024 among Complete Solaria,</w:t>
              </w:r>
            </w:hyperlink>
          </w:p>
        </w:tc>
        <w:tc>
          <w:tcPr>
            <w:tcW w:w="120" w:type="dxa"/>
            <w:vAlign w:val="bottom"/>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2024-07-08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24"/>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Inc. and the Purchasers party thereto</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20" w:type="dxa"/>
            <w:vAlign w:val="bottom"/>
            <w:tcBorders>
              <w:bottom w:val="single" w:sz="8" w:color="CCEEFF"/>
            </w:tcBorders>
            <w:shd w:val="clear" w:color="auto" w:fill="CCEEFF"/>
          </w:tcPr>
          <w:p>
            <w:pPr>
              <w:spacing w:after="0"/>
              <w:rPr>
                <w:sz w:val="17"/>
                <w:szCs w:val="17"/>
                <w:color w:val="auto"/>
              </w:rPr>
            </w:pPr>
          </w:p>
        </w:tc>
        <w:tc>
          <w:tcPr>
            <w:tcW w:w="324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Form of Convertible Note dated July 1, 2024</w:t>
              </w:r>
            </w:hyperlink>
          </w:p>
        </w:tc>
        <w:tc>
          <w:tcPr>
            <w:tcW w:w="1940" w:type="dxa"/>
            <w:vAlign w:val="bottom"/>
            <w:tcBorders>
              <w:bottom w:val="single" w:sz="8" w:color="CCEEFF"/>
            </w:tcBorders>
            <w:gridSpan w:val="11"/>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2024-07-08</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5"/>
                <w:szCs w:val="15"/>
                <w:color w:val="auto"/>
              </w:rPr>
            </w:pPr>
          </w:p>
        </w:tc>
        <w:tc>
          <w:tcPr>
            <w:tcW w:w="5180" w:type="dxa"/>
            <w:vAlign w:val="bottom"/>
            <w:gridSpan w:val="24"/>
          </w:tcPr>
          <w:p>
            <w:pPr>
              <w:spacing w:after="0" w:line="17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Form of Convertible Note Purchase Agreement dated July 1, 2024</w:t>
              </w:r>
            </w:hyperlink>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2024-07-08</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20" w:type="dxa"/>
            <w:vAlign w:val="bottom"/>
            <w:tcBorders>
              <w:bottom w:val="single" w:sz="8" w:color="CCEEFF"/>
            </w:tcBorders>
            <w:shd w:val="clear" w:color="auto" w:fill="CCEEFF"/>
          </w:tcPr>
          <w:p>
            <w:pPr>
              <w:spacing w:after="0"/>
              <w:rPr>
                <w:sz w:val="17"/>
                <w:szCs w:val="17"/>
                <w:color w:val="auto"/>
              </w:rPr>
            </w:pPr>
          </w:p>
        </w:tc>
        <w:tc>
          <w:tcPr>
            <w:tcW w:w="252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Form of Note Purchase Agreement</w:t>
              </w:r>
            </w:hyperlink>
          </w:p>
        </w:tc>
        <w:tc>
          <w:tcPr>
            <w:tcW w:w="2660" w:type="dxa"/>
            <w:vAlign w:val="bottom"/>
            <w:tcBorders>
              <w:bottom w:val="single" w:sz="8" w:color="CCEEFF"/>
            </w:tcBorders>
            <w:gridSpan w:val="15"/>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2024-09-26</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5"/>
                <w:szCs w:val="15"/>
                <w:color w:val="auto"/>
              </w:rPr>
            </w:pPr>
          </w:p>
        </w:tc>
        <w:tc>
          <w:tcPr>
            <w:tcW w:w="5180" w:type="dxa"/>
            <w:vAlign w:val="bottom"/>
            <w:gridSpan w:val="24"/>
          </w:tcPr>
          <w:p>
            <w:pPr>
              <w:spacing w:after="0" w:line="17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Form of Polar Third Amendment to Forward Purchase Agreement</w:t>
              </w:r>
            </w:hyperlink>
          </w:p>
        </w:tc>
        <w:tc>
          <w:tcPr>
            <w:tcW w:w="7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8-K/A</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2024-07-23</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20" w:type="dxa"/>
            <w:vAlign w:val="bottom"/>
            <w:shd w:val="clear" w:color="auto" w:fill="CCEEFF"/>
          </w:tcPr>
          <w:p>
            <w:pPr>
              <w:spacing w:after="0"/>
              <w:rPr>
                <w:sz w:val="15"/>
                <w:szCs w:val="15"/>
                <w:color w:val="auto"/>
              </w:rPr>
            </w:pPr>
          </w:p>
        </w:tc>
        <w:tc>
          <w:tcPr>
            <w:tcW w:w="518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Common Stock Purchase Agreement effective July 24, 2024 between</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2024-07-17</w:t>
            </w:r>
          </w:p>
        </w:tc>
      </w:tr>
      <w:tr>
        <w:trPr>
          <w:trHeight w:val="216"/>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140" w:type="dxa"/>
            <w:vAlign w:val="bottom"/>
            <w:tcBorders>
              <w:top w:val="single" w:sz="8" w:color="0000EE"/>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the Company and White Lion</w:t>
              </w:r>
            </w:hyperlink>
          </w:p>
        </w:tc>
        <w:tc>
          <w:tcPr>
            <w:tcW w:w="2900" w:type="dxa"/>
            <w:vAlign w:val="bottom"/>
            <w:tcBorders>
              <w:top w:val="single" w:sz="8" w:color="0000EE"/>
              <w:bottom w:val="single" w:sz="8" w:color="CCEEFF"/>
              <w:right w:val="single" w:sz="8" w:color="CCEEFF"/>
            </w:tcBorders>
            <w:gridSpan w:val="14"/>
            <w:shd w:val="clear" w:color="auto" w:fill="CCEEFF"/>
          </w:tcPr>
          <w:p>
            <w:pPr>
              <w:spacing w:after="0"/>
              <w:rPr>
                <w:sz w:val="18"/>
                <w:szCs w:val="18"/>
                <w:color w:val="auto"/>
              </w:rPr>
            </w:pPr>
          </w:p>
        </w:tc>
        <w:tc>
          <w:tcPr>
            <w:tcW w:w="140" w:type="dxa"/>
            <w:vAlign w:val="bottom"/>
            <w:tcBorders>
              <w:top w:val="single" w:sz="8" w:color="CCEEFF"/>
              <w:left w:val="single" w:sz="8" w:color="CCEEFF"/>
              <w:bottom w:val="single" w:sz="8" w:color="CCEEFF"/>
            </w:tcBorders>
            <w:gridSpan w:val="4"/>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655"/>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17"/>
          </w:tcPr>
          <w:p>
            <w:pPr>
              <w:ind w:left="4500"/>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94967217"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920" w:type="dxa"/>
            <w:vAlign w:val="bottom"/>
            <w:gridSpan w:val="32"/>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76"/>
        </w:trPr>
        <w:tc>
          <w:tcPr>
            <w:tcW w:w="9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100" w:type="dxa"/>
            <w:vAlign w:val="bottom"/>
            <w:tcBorders>
              <w:top w:val="single" w:sz="8" w:color="auto"/>
              <w:bottom w:val="single" w:sz="8" w:color="0000EE"/>
            </w:tcBorders>
            <w:gridSpan w:val="31"/>
            <w:shd w:val="clear" w:color="auto" w:fill="CCEEFF"/>
          </w:tcPr>
          <w:p>
            <w:pPr>
              <w:spacing w:after="0" w:line="17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Amendment No. 1 to Common Stock Purchase Agreement effective</w:t>
              </w:r>
            </w:hyperlink>
          </w:p>
        </w:tc>
        <w:tc>
          <w:tcPr>
            <w:tcW w:w="40" w:type="dxa"/>
            <w:vAlign w:val="bottom"/>
            <w:tcBorders>
              <w:top w:val="single" w:sz="8" w:color="auto"/>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80" w:type="dxa"/>
            <w:vAlign w:val="bottom"/>
            <w:tcBorders>
              <w:top w:val="single" w:sz="8" w:color="auto"/>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2024-07-26</w:t>
            </w: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July 24, 2024 between the Company and White Lion</w:t>
              </w:r>
            </w:hyperlink>
          </w:p>
        </w:tc>
        <w:tc>
          <w:tcPr>
            <w:tcW w:w="1380" w:type="dxa"/>
            <w:vAlign w:val="bottom"/>
            <w:tcBorders>
              <w:bottom w:val="single" w:sz="8" w:color="CCEEFF"/>
            </w:tcBorders>
            <w:gridSpan w:val="16"/>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5"/>
                <w:szCs w:val="15"/>
                <w:color w:val="auto"/>
              </w:rPr>
            </w:pPr>
          </w:p>
        </w:tc>
        <w:tc>
          <w:tcPr>
            <w:tcW w:w="5100" w:type="dxa"/>
            <w:vAlign w:val="bottom"/>
            <w:tcBorders>
              <w:bottom w:val="single" w:sz="8" w:color="0000EE"/>
            </w:tcBorders>
            <w:gridSpan w:val="31"/>
          </w:tcPr>
          <w:p>
            <w:pPr>
              <w:spacing w:after="0" w:line="17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Amendment No. 2 to Common Stock Purchase Agreement effective</w:t>
              </w:r>
            </w:hyperlink>
          </w:p>
        </w:tc>
        <w:tc>
          <w:tcPr>
            <w:tcW w:w="80" w:type="dxa"/>
            <w:vAlign w:val="bottom"/>
            <w:gridSpan w:val="3"/>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2024-08-20</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4"/>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August 14, 2024 between the Company and White Lion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120" w:type="dxa"/>
            <w:vAlign w:val="bottom"/>
            <w:tcBorders>
              <w:bottom w:val="single" w:sz="8" w:color="CCEEFF"/>
            </w:tcBorders>
            <w:shd w:val="clear" w:color="auto" w:fill="CCEEFF"/>
          </w:tcPr>
          <w:p>
            <w:pPr>
              <w:spacing w:after="0"/>
              <w:rPr>
                <w:sz w:val="15"/>
                <w:szCs w:val="15"/>
                <w:color w:val="auto"/>
              </w:rPr>
            </w:pPr>
          </w:p>
        </w:tc>
        <w:tc>
          <w:tcPr>
            <w:tcW w:w="5100" w:type="dxa"/>
            <w:vAlign w:val="bottom"/>
            <w:tcBorders>
              <w:bottom w:val="single" w:sz="8" w:color="0000EE"/>
            </w:tcBorders>
            <w:gridSpan w:val="31"/>
            <w:shd w:val="clear" w:color="auto" w:fill="CCEEFF"/>
          </w:tcPr>
          <w:p>
            <w:pPr>
              <w:spacing w:after="0" w:line="17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Amendment No. 3 to Common Stock Purchase Agreement effective</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2026-01-12</w:t>
            </w: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4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as of January 11, 2026 between the Company and White Lion</w:t>
              </w:r>
            </w:hyperlink>
          </w:p>
        </w:tc>
        <w:tc>
          <w:tcPr>
            <w:tcW w:w="740" w:type="dxa"/>
            <w:vAlign w:val="bottom"/>
            <w:tcBorders>
              <w:bottom w:val="single" w:sz="8" w:color="CCEEFF"/>
            </w:tcBorders>
            <w:gridSpan w:val="14"/>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15"/>
                <w:szCs w:val="15"/>
                <w:color w:val="auto"/>
              </w:rPr>
            </w:pPr>
          </w:p>
        </w:tc>
        <w:tc>
          <w:tcPr>
            <w:tcW w:w="5080" w:type="dxa"/>
            <w:vAlign w:val="bottom"/>
            <w:tcBorders>
              <w:bottom w:val="single" w:sz="8" w:color="0000EE"/>
            </w:tcBorders>
            <w:gridSpan w:val="30"/>
          </w:tcPr>
          <w:p>
            <w:pPr>
              <w:spacing w:after="0" w:line="17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Registration Rights Agreement dated July 16, 2024 by and between</w:t>
              </w:r>
            </w:hyperlink>
          </w:p>
        </w:tc>
        <w:tc>
          <w:tcPr>
            <w:tcW w:w="100" w:type="dxa"/>
            <w:vAlign w:val="bottom"/>
            <w:gridSpan w:val="4"/>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2024-07-17</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4"/>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the Company and White Lion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120" w:type="dxa"/>
            <w:vAlign w:val="bottom"/>
            <w:tcBorders>
              <w:bottom w:val="single" w:sz="8" w:color="CCEEFF"/>
            </w:tcBorders>
            <w:shd w:val="clear" w:color="auto" w:fill="CCEEFF"/>
          </w:tcPr>
          <w:p>
            <w:pPr>
              <w:spacing w:after="0"/>
              <w:rPr>
                <w:sz w:val="15"/>
                <w:szCs w:val="15"/>
                <w:color w:val="auto"/>
              </w:rPr>
            </w:pPr>
          </w:p>
        </w:tc>
        <w:tc>
          <w:tcPr>
            <w:tcW w:w="5080" w:type="dxa"/>
            <w:vAlign w:val="bottom"/>
            <w:tcBorders>
              <w:bottom w:val="single" w:sz="8" w:color="0000EE"/>
            </w:tcBorders>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OTC Equity Prepaid Forward Transaction Third Amendment dated as</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POS AM</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333-273820</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10.47</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2024-07-18</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120" w:type="dxa"/>
            <w:vAlign w:val="bottom"/>
            <w:tcBorders>
              <w:bottom w:val="single" w:sz="8" w:color="0000EE"/>
            </w:tcBorders>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of July 17, 2024 by and between Polar Multi-Strategy Master Fund</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34"/>
            <w:shd w:val="clear" w:color="auto" w:fill="CCEEFF"/>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and the Company</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5"/>
                <w:szCs w:val="15"/>
                <w:color w:val="auto"/>
              </w:rPr>
            </w:pPr>
          </w:p>
        </w:tc>
        <w:tc>
          <w:tcPr>
            <w:tcW w:w="5080" w:type="dxa"/>
            <w:vAlign w:val="bottom"/>
            <w:tcBorders>
              <w:bottom w:val="single" w:sz="8" w:color="0000EE"/>
            </w:tcBorders>
            <w:gridSpan w:val="30"/>
          </w:tcPr>
          <w:p>
            <w:pPr>
              <w:spacing w:after="0" w:line="17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Asset Purchase Agreement dated as of August 5, 2024 by and among</w:t>
              </w:r>
            </w:hyperlink>
          </w:p>
        </w:tc>
        <w:tc>
          <w:tcPr>
            <w:tcW w:w="100" w:type="dxa"/>
            <w:vAlign w:val="bottom"/>
            <w:gridSpan w:val="4"/>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2024-08-06</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4"/>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the Company, SunPower Corporation and the other parties thereto</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120" w:type="dxa"/>
            <w:vAlign w:val="bottom"/>
            <w:tcBorders>
              <w:bottom w:val="single" w:sz="8" w:color="CCEEFF"/>
            </w:tcBorders>
            <w:shd w:val="clear" w:color="auto" w:fill="CCEEFF"/>
          </w:tcPr>
          <w:p>
            <w:pPr>
              <w:spacing w:after="0"/>
              <w:rPr>
                <w:sz w:val="15"/>
                <w:szCs w:val="15"/>
                <w:color w:val="auto"/>
              </w:rPr>
            </w:pPr>
          </w:p>
        </w:tc>
        <w:tc>
          <w:tcPr>
            <w:tcW w:w="506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Employment  Agreement  dated  October  10,  2024  between  the</w:t>
              </w:r>
            </w:hyperlink>
          </w:p>
        </w:tc>
        <w:tc>
          <w:tcPr>
            <w:tcW w:w="120" w:type="dxa"/>
            <w:vAlign w:val="bottom"/>
            <w:tcBorders>
              <w:bottom w:val="single" w:sz="8" w:color="CCEEFF"/>
            </w:tcBorders>
            <w:gridSpan w:val="5"/>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2024-10-16</w:t>
            </w: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8"/>
              </w:rPr>
            </w:pPr>
            <w:hyperlink r:id="rId242">
              <w:r>
                <w:rPr>
                  <w:rFonts w:ascii="Times New Roman" w:cs="Times New Roman" w:eastAsia="Times New Roman" w:hAnsi="Times New Roman"/>
                  <w:sz w:val="18"/>
                  <w:szCs w:val="18"/>
                  <w:color w:val="0000EE"/>
                  <w:w w:val="98"/>
                </w:rPr>
                <w:t>Company and Daniel Foley</w:t>
              </w:r>
            </w:hyperlink>
          </w:p>
        </w:tc>
        <w:tc>
          <w:tcPr>
            <w:tcW w:w="3200" w:type="dxa"/>
            <w:vAlign w:val="bottom"/>
            <w:tcBorders>
              <w:bottom w:val="single" w:sz="8" w:color="CCEEFF"/>
            </w:tcBorders>
            <w:gridSpan w:val="30"/>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15"/>
                <w:szCs w:val="15"/>
                <w:color w:val="auto"/>
              </w:rPr>
            </w:pPr>
          </w:p>
        </w:tc>
        <w:tc>
          <w:tcPr>
            <w:tcW w:w="5080" w:type="dxa"/>
            <w:vAlign w:val="bottom"/>
            <w:tcBorders>
              <w:bottom w:val="single" w:sz="8" w:color="0000EE"/>
            </w:tcBorders>
            <w:gridSpan w:val="30"/>
          </w:tcPr>
          <w:p>
            <w:pPr>
              <w:spacing w:after="0" w:line="17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Transition Services Agreement dated September 30, 2024 among</w:t>
              </w:r>
            </w:hyperlink>
          </w:p>
        </w:tc>
        <w:tc>
          <w:tcPr>
            <w:tcW w:w="100" w:type="dxa"/>
            <w:vAlign w:val="bottom"/>
            <w:gridSpan w:val="4"/>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2024-10-01</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4"/>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Complete Solaria, Inc. and the other parties thereto</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120" w:type="dxa"/>
            <w:vAlign w:val="bottom"/>
            <w:shd w:val="clear" w:color="auto" w:fill="CCEEFF"/>
          </w:tcPr>
          <w:p>
            <w:pPr>
              <w:spacing w:after="0"/>
              <w:rPr>
                <w:sz w:val="15"/>
                <w:szCs w:val="15"/>
                <w:color w:val="auto"/>
              </w:rPr>
            </w:pPr>
          </w:p>
        </w:tc>
        <w:tc>
          <w:tcPr>
            <w:tcW w:w="518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Form of Amendment to SAFE (2024)</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2024-04-22</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15"/>
                <w:szCs w:val="15"/>
                <w:color w:val="auto"/>
              </w:rPr>
            </w:pPr>
          </w:p>
        </w:tc>
        <w:tc>
          <w:tcPr>
            <w:tcW w:w="5180" w:type="dxa"/>
            <w:vAlign w:val="bottom"/>
            <w:gridSpan w:val="34"/>
          </w:tcPr>
          <w:p>
            <w:pPr>
              <w:spacing w:after="0" w:line="17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Form of Sandia Second Amendment to Forward Purchase Agreement</w:t>
              </w:r>
            </w:hyperlink>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2024-05-14</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10.34</w:t>
            </w:r>
          </w:p>
        </w:tc>
        <w:tc>
          <w:tcPr>
            <w:tcW w:w="120" w:type="dxa"/>
            <w:vAlign w:val="bottom"/>
            <w:tcBorders>
              <w:bottom w:val="single" w:sz="8" w:color="CCEEFF"/>
            </w:tcBorders>
            <w:shd w:val="clear" w:color="auto" w:fill="CCEEFF"/>
          </w:tcPr>
          <w:p>
            <w:pPr>
              <w:spacing w:after="0"/>
              <w:rPr>
                <w:sz w:val="17"/>
                <w:szCs w:val="17"/>
                <w:color w:val="auto"/>
              </w:rPr>
            </w:pPr>
          </w:p>
        </w:tc>
        <w:tc>
          <w:tcPr>
            <w:tcW w:w="490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246">
              <w:r>
                <w:rPr>
                  <w:rFonts w:ascii="Times New Roman" w:cs="Times New Roman" w:eastAsia="Times New Roman" w:hAnsi="Times New Roman"/>
                  <w:sz w:val="18"/>
                  <w:szCs w:val="18"/>
                  <w:color w:val="0000EE"/>
                  <w:w w:val="99"/>
                </w:rPr>
                <w:t>Form of Polar Second Amendment to Forward Purchase Agreement</w:t>
              </w:r>
            </w:hyperlink>
          </w:p>
        </w:tc>
        <w:tc>
          <w:tcPr>
            <w:tcW w:w="280" w:type="dxa"/>
            <w:vAlign w:val="bottom"/>
            <w:tcBorders>
              <w:bottom w:val="single" w:sz="8" w:color="CCEEFF"/>
            </w:tcBorders>
            <w:gridSpan w:val="8"/>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2024-05-14</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15"/>
                <w:szCs w:val="15"/>
                <w:color w:val="auto"/>
              </w:rPr>
            </w:pPr>
          </w:p>
        </w:tc>
        <w:tc>
          <w:tcPr>
            <w:tcW w:w="5180" w:type="dxa"/>
            <w:vAlign w:val="bottom"/>
            <w:gridSpan w:val="34"/>
          </w:tcPr>
          <w:p>
            <w:pPr>
              <w:spacing w:after="0" w:line="17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Form of SAFE (May 2024)</w:t>
              </w:r>
            </w:hyperlink>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2024-05-17</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10.36#</w:t>
            </w:r>
          </w:p>
        </w:tc>
        <w:tc>
          <w:tcPr>
            <w:tcW w:w="120" w:type="dxa"/>
            <w:vAlign w:val="bottom"/>
            <w:shd w:val="clear" w:color="auto" w:fill="CCEEFF"/>
          </w:tcPr>
          <w:p>
            <w:pPr>
              <w:spacing w:after="0"/>
              <w:rPr>
                <w:sz w:val="17"/>
                <w:szCs w:val="17"/>
                <w:color w:val="auto"/>
              </w:rPr>
            </w:pPr>
          </w:p>
        </w:tc>
        <w:tc>
          <w:tcPr>
            <w:tcW w:w="518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Separation Agreement with Chris Lundell dated as of May 18, 2024</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2024-08-14</w:t>
            </w: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120" w:type="dxa"/>
            <w:vAlign w:val="bottom"/>
            <w:tcBorders>
              <w:top w:val="single" w:sz="8" w:color="CCEEFF"/>
            </w:tcBorders>
          </w:tcPr>
          <w:p>
            <w:pPr>
              <w:spacing w:after="0"/>
              <w:rPr>
                <w:sz w:val="15"/>
                <w:szCs w:val="15"/>
                <w:color w:val="auto"/>
              </w:rPr>
            </w:pPr>
          </w:p>
        </w:tc>
        <w:tc>
          <w:tcPr>
            <w:tcW w:w="4880" w:type="dxa"/>
            <w:vAlign w:val="bottom"/>
            <w:tcBorders>
              <w:top w:val="single" w:sz="8" w:color="0000EE"/>
              <w:bottom w:val="single" w:sz="8" w:color="0000EE"/>
            </w:tcBorders>
            <w:gridSpan w:val="25"/>
          </w:tcPr>
          <w:p>
            <w:pPr>
              <w:spacing w:after="0" w:line="176" w:lineRule="exact"/>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Form of Sandia Third Amendment to Forward Purchase Agreement</w:t>
              </w:r>
            </w:hyperlink>
          </w:p>
        </w:tc>
        <w:tc>
          <w:tcPr>
            <w:tcW w:w="300" w:type="dxa"/>
            <w:vAlign w:val="bottom"/>
            <w:tcBorders>
              <w:top w:val="single" w:sz="8" w:color="CCEEFF"/>
            </w:tcBorders>
            <w:gridSpan w:val="9"/>
          </w:tcPr>
          <w:p>
            <w:pPr>
              <w:spacing w:after="0"/>
              <w:rPr>
                <w:sz w:val="15"/>
                <w:szCs w:val="15"/>
                <w:color w:val="auto"/>
              </w:rPr>
            </w:pPr>
          </w:p>
        </w:tc>
        <w:tc>
          <w:tcPr>
            <w:tcW w:w="78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2024-06-20</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10.38</w:t>
            </w:r>
          </w:p>
        </w:tc>
        <w:tc>
          <w:tcPr>
            <w:tcW w:w="120" w:type="dxa"/>
            <w:vAlign w:val="bottom"/>
            <w:tcBorders>
              <w:bottom w:val="single" w:sz="8" w:color="CCEEFF"/>
            </w:tcBorders>
            <w:shd w:val="clear" w:color="auto" w:fill="CCEEFF"/>
          </w:tcPr>
          <w:p>
            <w:pPr>
              <w:spacing w:after="0"/>
              <w:rPr>
                <w:sz w:val="17"/>
                <w:szCs w:val="17"/>
                <w:color w:val="auto"/>
              </w:rPr>
            </w:pPr>
          </w:p>
        </w:tc>
        <w:tc>
          <w:tcPr>
            <w:tcW w:w="284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8"/>
              </w:rPr>
            </w:pPr>
            <w:hyperlink r:id="rId250">
              <w:r>
                <w:rPr>
                  <w:rFonts w:ascii="Times New Roman" w:cs="Times New Roman" w:eastAsia="Times New Roman" w:hAnsi="Times New Roman"/>
                  <w:sz w:val="18"/>
                  <w:szCs w:val="18"/>
                  <w:color w:val="0000EE"/>
                  <w:w w:val="98"/>
                </w:rPr>
                <w:t>Form of Siemens v. Solaria Final Order</w:t>
              </w:r>
            </w:hyperlink>
          </w:p>
        </w:tc>
        <w:tc>
          <w:tcPr>
            <w:tcW w:w="2340" w:type="dxa"/>
            <w:vAlign w:val="bottom"/>
            <w:tcBorders>
              <w:bottom w:val="single" w:sz="8" w:color="CCEEFF"/>
            </w:tcBorders>
            <w:gridSpan w:val="23"/>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2024-06-21</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15"/>
                <w:szCs w:val="15"/>
                <w:color w:val="auto"/>
              </w:rPr>
            </w:pPr>
          </w:p>
        </w:tc>
        <w:tc>
          <w:tcPr>
            <w:tcW w:w="5180" w:type="dxa"/>
            <w:vAlign w:val="bottom"/>
            <w:gridSpan w:val="34"/>
          </w:tcPr>
          <w:p>
            <w:pPr>
              <w:spacing w:after="0" w:line="17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Form of Common Stock Warrant (2024)</w:t>
              </w:r>
            </w:hyperlink>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2024-06-24</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10.40</w:t>
            </w:r>
          </w:p>
        </w:tc>
        <w:tc>
          <w:tcPr>
            <w:tcW w:w="120" w:type="dxa"/>
            <w:vAlign w:val="bottom"/>
            <w:shd w:val="clear" w:color="auto" w:fill="CCEEFF"/>
          </w:tcPr>
          <w:p>
            <w:pPr>
              <w:spacing w:after="0"/>
              <w:rPr>
                <w:sz w:val="15"/>
                <w:szCs w:val="15"/>
                <w:color w:val="auto"/>
              </w:rPr>
            </w:pPr>
          </w:p>
        </w:tc>
        <w:tc>
          <w:tcPr>
            <w:tcW w:w="518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Form of Statement of Work (2024)</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2024-06-24</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15"/>
                <w:szCs w:val="15"/>
                <w:color w:val="auto"/>
              </w:rPr>
            </w:pPr>
          </w:p>
        </w:tc>
        <w:tc>
          <w:tcPr>
            <w:tcW w:w="5180" w:type="dxa"/>
            <w:vAlign w:val="bottom"/>
            <w:gridSpan w:val="34"/>
          </w:tcPr>
          <w:p>
            <w:pPr>
              <w:spacing w:after="0" w:line="17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Amended and Restated Omnibus Incentive Plan</w:t>
              </w:r>
            </w:hyperlink>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10.42#</w:t>
            </w:r>
          </w:p>
        </w:tc>
        <w:tc>
          <w:tcPr>
            <w:tcW w:w="120" w:type="dxa"/>
            <w:vAlign w:val="bottom"/>
            <w:shd w:val="clear" w:color="auto" w:fill="CCEEFF"/>
          </w:tcPr>
          <w:p>
            <w:pPr>
              <w:spacing w:after="0"/>
              <w:rPr>
                <w:sz w:val="15"/>
                <w:szCs w:val="15"/>
                <w:color w:val="auto"/>
              </w:rPr>
            </w:pPr>
          </w:p>
        </w:tc>
        <w:tc>
          <w:tcPr>
            <w:tcW w:w="518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Amended and Restated 2021 Stock Plan</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15"/>
                <w:szCs w:val="15"/>
                <w:color w:val="auto"/>
              </w:rPr>
            </w:pPr>
          </w:p>
        </w:tc>
        <w:tc>
          <w:tcPr>
            <w:tcW w:w="5100" w:type="dxa"/>
            <w:vAlign w:val="bottom"/>
            <w:tcBorders>
              <w:bottom w:val="single" w:sz="8" w:color="0000EE"/>
            </w:tcBorders>
            <w:gridSpan w:val="31"/>
          </w:tcPr>
          <w:p>
            <w:pPr>
              <w:spacing w:after="0" w:line="17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Forms of Option Agreement and Option Exercise under 2021 Stock</w:t>
              </w:r>
            </w:hyperlink>
          </w:p>
        </w:tc>
        <w:tc>
          <w:tcPr>
            <w:tcW w:w="80" w:type="dxa"/>
            <w:vAlign w:val="bottom"/>
            <w:gridSpan w:val="3"/>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4"/>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Plan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10.44#</w:t>
            </w:r>
          </w:p>
        </w:tc>
        <w:tc>
          <w:tcPr>
            <w:tcW w:w="120" w:type="dxa"/>
            <w:vAlign w:val="bottom"/>
            <w:shd w:val="clear" w:color="auto" w:fill="CCEEFF"/>
          </w:tcPr>
          <w:p>
            <w:pPr>
              <w:spacing w:after="0"/>
              <w:rPr>
                <w:sz w:val="15"/>
                <w:szCs w:val="15"/>
                <w:color w:val="auto"/>
              </w:rPr>
            </w:pPr>
          </w:p>
        </w:tc>
        <w:tc>
          <w:tcPr>
            <w:tcW w:w="518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Solaria Corporation 2016 Stock Plan</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15"/>
                <w:szCs w:val="15"/>
                <w:color w:val="auto"/>
              </w:rPr>
            </w:pPr>
          </w:p>
        </w:tc>
        <w:tc>
          <w:tcPr>
            <w:tcW w:w="5080" w:type="dxa"/>
            <w:vAlign w:val="bottom"/>
            <w:tcBorders>
              <w:bottom w:val="single" w:sz="8" w:color="0000EE"/>
            </w:tcBorders>
            <w:gridSpan w:val="30"/>
          </w:tcPr>
          <w:p>
            <w:pPr>
              <w:spacing w:after="0" w:line="17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Forms of Option Agreement and Notice of Exercise under 2016 Stock</w:t>
              </w:r>
            </w:hyperlink>
          </w:p>
        </w:tc>
        <w:tc>
          <w:tcPr>
            <w:tcW w:w="100" w:type="dxa"/>
            <w:vAlign w:val="bottom"/>
            <w:gridSpan w:val="4"/>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10.12</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4"/>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Plan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10.46#</w:t>
            </w:r>
          </w:p>
        </w:tc>
        <w:tc>
          <w:tcPr>
            <w:tcW w:w="120" w:type="dxa"/>
            <w:vAlign w:val="bottom"/>
            <w:shd w:val="clear" w:color="auto" w:fill="CCEEFF"/>
          </w:tcPr>
          <w:p>
            <w:pPr>
              <w:spacing w:after="0"/>
              <w:rPr>
                <w:sz w:val="15"/>
                <w:szCs w:val="15"/>
                <w:color w:val="auto"/>
              </w:rPr>
            </w:pPr>
          </w:p>
        </w:tc>
        <w:tc>
          <w:tcPr>
            <w:tcW w:w="518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Complete Solaria 2011 Stock Plan</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10.13</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15"/>
                <w:szCs w:val="15"/>
                <w:color w:val="auto"/>
              </w:rPr>
            </w:pPr>
          </w:p>
        </w:tc>
        <w:tc>
          <w:tcPr>
            <w:tcW w:w="506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Forms of Option Agreement and Option Exercise under 2011 Stock</w:t>
              </w:r>
            </w:hyperlink>
          </w:p>
        </w:tc>
        <w:tc>
          <w:tcPr>
            <w:tcW w:w="120" w:type="dxa"/>
            <w:vAlign w:val="bottom"/>
            <w:gridSpan w:val="5"/>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10.14</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34"/>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Plan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CEEFF"/>
          </w:tcPr>
          <w:p>
            <w:pPr>
              <w:spacing w:after="0"/>
              <w:rPr>
                <w:sz w:val="15"/>
                <w:szCs w:val="15"/>
                <w:color w:val="auto"/>
              </w:rPr>
            </w:pPr>
          </w:p>
        </w:tc>
        <w:tc>
          <w:tcPr>
            <w:tcW w:w="518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Solaria Corporation 2006 Stock Plan</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10.15</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15"/>
                <w:szCs w:val="15"/>
                <w:color w:val="auto"/>
              </w:rPr>
            </w:pPr>
          </w:p>
        </w:tc>
        <w:tc>
          <w:tcPr>
            <w:tcW w:w="5180" w:type="dxa"/>
            <w:vAlign w:val="bottom"/>
            <w:gridSpan w:val="34"/>
          </w:tcPr>
          <w:p>
            <w:pPr>
              <w:spacing w:after="0" w:line="17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Forms of Option Agreement, Restricted Stock Agreement and Early</w:t>
              </w:r>
            </w:hyperlink>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10.16</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Exercise under 2006 Stock Plan</w:t>
              </w:r>
            </w:hyperlink>
          </w:p>
        </w:tc>
        <w:tc>
          <w:tcPr>
            <w:tcW w:w="14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10.50</w:t>
            </w:r>
          </w:p>
        </w:tc>
        <w:tc>
          <w:tcPr>
            <w:tcW w:w="120" w:type="dxa"/>
            <w:vAlign w:val="bottom"/>
            <w:shd w:val="clear" w:color="auto" w:fill="CCEEFF"/>
          </w:tcPr>
          <w:p>
            <w:pPr>
              <w:spacing w:after="0"/>
              <w:rPr>
                <w:sz w:val="17"/>
                <w:szCs w:val="17"/>
                <w:color w:val="auto"/>
              </w:rPr>
            </w:pPr>
          </w:p>
        </w:tc>
        <w:tc>
          <w:tcPr>
            <w:tcW w:w="518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Form of Common Stock Purchase Agreement</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5"/>
              </w:rPr>
              <w:t>S-1</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333-273820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10.41</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2024-07-19</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10.51#</w:t>
            </w:r>
          </w:p>
        </w:tc>
        <w:tc>
          <w:tcPr>
            <w:tcW w:w="120" w:type="dxa"/>
            <w:vAlign w:val="bottom"/>
            <w:tcBorders>
              <w:top w:val="single" w:sz="8" w:color="CCEEFF"/>
            </w:tcBorders>
          </w:tcPr>
          <w:p>
            <w:pPr>
              <w:spacing w:after="0"/>
              <w:rPr>
                <w:sz w:val="15"/>
                <w:szCs w:val="15"/>
                <w:color w:val="auto"/>
              </w:rPr>
            </w:pPr>
          </w:p>
        </w:tc>
        <w:tc>
          <w:tcPr>
            <w:tcW w:w="3280" w:type="dxa"/>
            <w:vAlign w:val="bottom"/>
            <w:tcBorders>
              <w:top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Form of Employment Extension Agreement</w:t>
              </w:r>
            </w:hyperlink>
          </w:p>
        </w:tc>
        <w:tc>
          <w:tcPr>
            <w:tcW w:w="1900" w:type="dxa"/>
            <w:vAlign w:val="bottom"/>
            <w:tcBorders>
              <w:top w:val="single" w:sz="8" w:color="CCEEFF"/>
            </w:tcBorders>
            <w:gridSpan w:val="19"/>
          </w:tcPr>
          <w:p>
            <w:pPr>
              <w:spacing w:after="0"/>
              <w:rPr>
                <w:sz w:val="15"/>
                <w:szCs w:val="15"/>
                <w:color w:val="auto"/>
              </w:rPr>
            </w:pPr>
          </w:p>
        </w:tc>
        <w:tc>
          <w:tcPr>
            <w:tcW w:w="78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2024-07-05</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CEEFF"/>
          </w:tcPr>
          <w:p>
            <w:pPr>
              <w:spacing w:after="0"/>
              <w:rPr>
                <w:sz w:val="17"/>
                <w:szCs w:val="17"/>
                <w:color w:val="auto"/>
              </w:rPr>
            </w:pPr>
          </w:p>
        </w:tc>
        <w:tc>
          <w:tcPr>
            <w:tcW w:w="518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Form of Amendment to OTC Equity Prepaid Forward Transaction</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2025-07-21</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10.53</w:t>
            </w:r>
          </w:p>
        </w:tc>
        <w:tc>
          <w:tcPr>
            <w:tcW w:w="120" w:type="dxa"/>
            <w:vAlign w:val="bottom"/>
            <w:tcBorders>
              <w:top w:val="single" w:sz="8" w:color="CCEEFF"/>
            </w:tcBorders>
          </w:tcPr>
          <w:p>
            <w:pPr>
              <w:spacing w:after="0"/>
              <w:rPr>
                <w:sz w:val="15"/>
                <w:szCs w:val="15"/>
                <w:color w:val="auto"/>
              </w:rPr>
            </w:pPr>
          </w:p>
        </w:tc>
        <w:tc>
          <w:tcPr>
            <w:tcW w:w="4760" w:type="dxa"/>
            <w:vAlign w:val="bottom"/>
            <w:tcBorders>
              <w:top w:val="single" w:sz="8" w:color="0000EE"/>
            </w:tcBorders>
            <w:gridSpan w:val="24"/>
          </w:tcPr>
          <w:p>
            <w:pPr>
              <w:spacing w:after="0" w:line="176" w:lineRule="exact"/>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Fourth Amendment to OTC Equity Prepaid Forward Transaction</w:t>
              </w:r>
            </w:hyperlink>
          </w:p>
        </w:tc>
        <w:tc>
          <w:tcPr>
            <w:tcW w:w="420" w:type="dxa"/>
            <w:vAlign w:val="bottom"/>
            <w:tcBorders>
              <w:top w:val="single" w:sz="8" w:color="CCEEFF"/>
            </w:tcBorders>
            <w:gridSpan w:val="10"/>
          </w:tcPr>
          <w:p>
            <w:pPr>
              <w:spacing w:after="0"/>
              <w:rPr>
                <w:sz w:val="15"/>
                <w:szCs w:val="15"/>
                <w:color w:val="auto"/>
              </w:rPr>
            </w:pPr>
          </w:p>
        </w:tc>
        <w:tc>
          <w:tcPr>
            <w:tcW w:w="78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ind w:left="420"/>
              <w:spacing w:after="0" w:line="176" w:lineRule="exact"/>
              <w:rPr>
                <w:sz w:val="20"/>
                <w:szCs w:val="20"/>
                <w:color w:val="auto"/>
              </w:rPr>
            </w:pPr>
            <w:r>
              <w:rPr>
                <w:rFonts w:ascii="Times New Roman" w:cs="Times New Roman" w:eastAsia="Times New Roman" w:hAnsi="Times New Roman"/>
                <w:sz w:val="18"/>
                <w:szCs w:val="18"/>
                <w:color w:val="auto"/>
              </w:rPr>
              <w:t>2025-07-21</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10.54</w:t>
            </w:r>
          </w:p>
        </w:tc>
        <w:tc>
          <w:tcPr>
            <w:tcW w:w="120" w:type="dxa"/>
            <w:vAlign w:val="bottom"/>
            <w:shd w:val="clear" w:color="auto" w:fill="CCEEFF"/>
          </w:tcPr>
          <w:p>
            <w:pPr>
              <w:spacing w:after="0"/>
              <w:rPr>
                <w:sz w:val="15"/>
                <w:szCs w:val="15"/>
                <w:color w:val="auto"/>
              </w:rPr>
            </w:pPr>
          </w:p>
        </w:tc>
        <w:tc>
          <w:tcPr>
            <w:tcW w:w="518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Fifth Amendment to OTC Equity Prepaid Forward Transaction</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2025-08-04</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655"/>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3"/>
          </w:tcPr>
          <w:p>
            <w:pPr>
              <w:ind w:left="4500"/>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80" w:type="dxa"/>
            <w:vAlign w:val="bottom"/>
            <w:gridSpan w:val="16"/>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75"/>
        </w:trPr>
        <w:tc>
          <w:tcPr>
            <w:tcW w:w="9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10.55</w:t>
            </w:r>
          </w:p>
        </w:tc>
        <w:tc>
          <w:tcPr>
            <w:tcW w:w="120" w:type="dxa"/>
            <w:vAlign w:val="bottom"/>
            <w:tcBorders>
              <w:top w:val="single" w:sz="8" w:color="CCEEFF"/>
            </w:tcBorders>
            <w:shd w:val="clear" w:color="auto" w:fill="CCEEFF"/>
          </w:tcPr>
          <w:p>
            <w:pPr>
              <w:spacing w:after="0"/>
              <w:rPr>
                <w:sz w:val="15"/>
                <w:szCs w:val="15"/>
                <w:color w:val="auto"/>
              </w:rPr>
            </w:pPr>
          </w:p>
        </w:tc>
        <w:tc>
          <w:tcPr>
            <w:tcW w:w="5140" w:type="dxa"/>
            <w:vAlign w:val="bottom"/>
            <w:tcBorders>
              <w:top w:val="single" w:sz="8" w:color="auto"/>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Membership Interest Purchase agreement, dated September 21, 2025,</w:t>
              </w:r>
            </w:hyperlink>
          </w:p>
        </w:tc>
        <w:tc>
          <w:tcPr>
            <w:tcW w:w="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2025-09-22</w:t>
            </w:r>
          </w:p>
        </w:tc>
      </w:tr>
      <w:tr>
        <w:trPr>
          <w:trHeight w:val="20"/>
        </w:trPr>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by and among the Company, Complete Solar, Inc., Sunder Energy</w:t>
              </w:r>
            </w:hyperlink>
          </w:p>
        </w:tc>
        <w:tc>
          <w:tcPr>
            <w:tcW w:w="140" w:type="dxa"/>
            <w:vAlign w:val="bottom"/>
            <w:tcBorders>
              <w:left w:val="single" w:sz="8" w:color="CCEEFF"/>
              <w:bottom w:val="single" w:sz="8" w:color="CCEEFF"/>
            </w:tcBorders>
            <w:gridSpan w:val="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LLC and Chicken Parm Pizza LLC</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15"/>
                <w:szCs w:val="15"/>
                <w:color w:val="auto"/>
              </w:rPr>
            </w:pPr>
          </w:p>
        </w:tc>
        <w:tc>
          <w:tcPr>
            <w:tcW w:w="5180" w:type="dxa"/>
            <w:vAlign w:val="bottom"/>
            <w:gridSpan w:val="22"/>
          </w:tcPr>
          <w:p>
            <w:pPr>
              <w:spacing w:after="0" w:line="17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Form of September 2025 Note Purchase Agreement</w:t>
              </w:r>
            </w:hyperlink>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2025-09-22</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10.57</w:t>
            </w:r>
          </w:p>
        </w:tc>
        <w:tc>
          <w:tcPr>
            <w:tcW w:w="120" w:type="dxa"/>
            <w:vAlign w:val="bottom"/>
            <w:shd w:val="clear" w:color="auto" w:fill="CCEEFF"/>
          </w:tcPr>
          <w:p>
            <w:pPr>
              <w:spacing w:after="0"/>
              <w:rPr>
                <w:sz w:val="15"/>
                <w:szCs w:val="15"/>
                <w:color w:val="auto"/>
              </w:rPr>
            </w:pPr>
          </w:p>
        </w:tc>
        <w:tc>
          <w:tcPr>
            <w:tcW w:w="518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Membership Interest Purchase Agreement, dated November 21, 2025,</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2025-11-24</w:t>
            </w:r>
          </w:p>
        </w:tc>
      </w:tr>
      <w:tr>
        <w:trPr>
          <w:trHeight w:val="20"/>
        </w:trPr>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12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by and among SunPower Inc., Ambia Energy, LLC and Ambia</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7"/>
              </w:rPr>
            </w:pPr>
            <w:hyperlink r:id="rId268">
              <w:r>
                <w:rPr>
                  <w:rFonts w:ascii="Times New Roman" w:cs="Times New Roman" w:eastAsia="Times New Roman" w:hAnsi="Times New Roman"/>
                  <w:sz w:val="18"/>
                  <w:szCs w:val="18"/>
                  <w:color w:val="0000EE"/>
                  <w:w w:val="97"/>
                </w:rPr>
                <w:t>Holdings, Inc.</w:t>
              </w:r>
            </w:hyperlink>
          </w:p>
        </w:tc>
        <w:tc>
          <w:tcPr>
            <w:tcW w:w="4160" w:type="dxa"/>
            <w:vAlign w:val="bottom"/>
            <w:tcBorders>
              <w:bottom w:val="single" w:sz="8" w:color="CCEEFF"/>
            </w:tcBorders>
            <w:gridSpan w:val="19"/>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15"/>
                <w:szCs w:val="15"/>
                <w:color w:val="auto"/>
              </w:rPr>
            </w:pPr>
          </w:p>
        </w:tc>
        <w:tc>
          <w:tcPr>
            <w:tcW w:w="5180" w:type="dxa"/>
            <w:vAlign w:val="bottom"/>
            <w:gridSpan w:val="22"/>
          </w:tcPr>
          <w:p>
            <w:pPr>
              <w:spacing w:after="0" w:line="17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Standby Equity Purchase Agreement, dated as of January 27, 2026,</w:t>
              </w:r>
            </w:hyperlink>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2026-01-30</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by and between SunPower Inc. and YA II PN, LTD</w:t>
              </w:r>
            </w:hyperlink>
          </w:p>
        </w:tc>
        <w:tc>
          <w:tcPr>
            <w:tcW w:w="1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10.59</w:t>
            </w:r>
          </w:p>
        </w:tc>
        <w:tc>
          <w:tcPr>
            <w:tcW w:w="120" w:type="dxa"/>
            <w:vAlign w:val="bottom"/>
            <w:tcBorders>
              <w:bottom w:val="single" w:sz="8" w:color="CCEEFF"/>
            </w:tcBorders>
            <w:shd w:val="clear" w:color="auto" w:fill="CCEEFF"/>
          </w:tcPr>
          <w:p>
            <w:pPr>
              <w:spacing w:after="0"/>
              <w:rPr>
                <w:sz w:val="15"/>
                <w:szCs w:val="15"/>
                <w:color w:val="auto"/>
              </w:rPr>
            </w:pPr>
          </w:p>
        </w:tc>
        <w:tc>
          <w:tcPr>
            <w:tcW w:w="504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Registration Rights  Agreement,  dated  as  of  January  27,  2026,</w:t>
              </w:r>
            </w:hyperlink>
          </w:p>
        </w:tc>
        <w:tc>
          <w:tcPr>
            <w:tcW w:w="140" w:type="dxa"/>
            <w:vAlign w:val="bottom"/>
            <w:tcBorders>
              <w:left w:val="single" w:sz="8" w:color="CCEEFF"/>
              <w:bottom w:val="single" w:sz="8" w:color="CCEEFF"/>
            </w:tcBorders>
            <w:gridSpan w:val="3"/>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2026-01-30</w:t>
            </w: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w w:val="98"/>
              </w:rPr>
            </w:pPr>
            <w:hyperlink r:id="rId270">
              <w:r>
                <w:rPr>
                  <w:rFonts w:ascii="Times New Roman" w:cs="Times New Roman" w:eastAsia="Times New Roman" w:hAnsi="Times New Roman"/>
                  <w:sz w:val="18"/>
                  <w:szCs w:val="18"/>
                  <w:color w:val="0000EE"/>
                  <w:w w:val="98"/>
                </w:rPr>
                <w:t>between SunPower Inc. and YA II PN, LTD</w:t>
              </w:r>
            </w:hyperlink>
          </w:p>
        </w:tc>
        <w:tc>
          <w:tcPr>
            <w:tcW w:w="2020" w:type="dxa"/>
            <w:vAlign w:val="bottom"/>
            <w:tcBorders>
              <w:bottom w:val="single" w:sz="8" w:color="CCEEFF"/>
            </w:tcBorders>
            <w:gridSpan w:val="7"/>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10.60</w:t>
            </w:r>
          </w:p>
        </w:tc>
        <w:tc>
          <w:tcPr>
            <w:tcW w:w="120" w:type="dxa"/>
            <w:vAlign w:val="bottom"/>
          </w:tcPr>
          <w:p>
            <w:pPr>
              <w:spacing w:after="0"/>
              <w:rPr>
                <w:sz w:val="15"/>
                <w:szCs w:val="15"/>
                <w:color w:val="auto"/>
              </w:rPr>
            </w:pPr>
          </w:p>
        </w:tc>
        <w:tc>
          <w:tcPr>
            <w:tcW w:w="504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Stock Purchase Agreement, dated as of January 30, 2026, among</w:t>
              </w:r>
            </w:hyperlink>
          </w:p>
        </w:tc>
        <w:tc>
          <w:tcPr>
            <w:tcW w:w="140" w:type="dxa"/>
            <w:vAlign w:val="bottom"/>
            <w:gridSpan w:val="3"/>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2026-02-02</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SunPower  Inc.,  Cobalt  Power  Systems,  Inc.  and  the  selling</w:t>
              </w:r>
            </w:hyperlink>
          </w:p>
        </w:tc>
        <w:tc>
          <w:tcPr>
            <w:tcW w:w="1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22"/>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shareholders party thereto</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10.61</w:t>
            </w:r>
          </w:p>
        </w:tc>
        <w:tc>
          <w:tcPr>
            <w:tcW w:w="120" w:type="dxa"/>
            <w:vAlign w:val="bottom"/>
            <w:tcBorders>
              <w:bottom w:val="single" w:sz="8" w:color="CCEEFF"/>
            </w:tcBorders>
            <w:shd w:val="clear" w:color="auto" w:fill="CCEEFF"/>
          </w:tcPr>
          <w:p>
            <w:pPr>
              <w:spacing w:after="0"/>
              <w:rPr>
                <w:sz w:val="15"/>
                <w:szCs w:val="15"/>
                <w:color w:val="auto"/>
              </w:rPr>
            </w:pPr>
          </w:p>
        </w:tc>
        <w:tc>
          <w:tcPr>
            <w:tcW w:w="504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Purchase Agreement dated March 6, 2026 between SunPower Inc.</w:t>
              </w:r>
            </w:hyperlink>
          </w:p>
        </w:tc>
        <w:tc>
          <w:tcPr>
            <w:tcW w:w="140" w:type="dxa"/>
            <w:vAlign w:val="bottom"/>
            <w:tcBorders>
              <w:left w:val="single" w:sz="8" w:color="CCEEFF"/>
              <w:bottom w:val="single" w:sz="8" w:color="CCEEFF"/>
            </w:tcBorders>
            <w:gridSpan w:val="3"/>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2026-03-11</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and YA II PN, LTD</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15"/>
                <w:szCs w:val="15"/>
                <w:color w:val="auto"/>
              </w:rPr>
            </w:pPr>
          </w:p>
        </w:tc>
        <w:tc>
          <w:tcPr>
            <w:tcW w:w="5180" w:type="dxa"/>
            <w:vAlign w:val="bottom"/>
            <w:gridSpan w:val="22"/>
          </w:tcPr>
          <w:p>
            <w:pPr>
              <w:spacing w:after="0" w:line="176" w:lineRule="exact"/>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0000EE"/>
                </w:rPr>
                <w:t>Registration  Rights  Agreement  dated  March  6,  2026  between</w:t>
              </w:r>
            </w:hyperlink>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2026-03-11</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0000EE"/>
                </w:rPr>
                <w:t>SunPower Inc. and YA II PN, LTD</w:t>
              </w:r>
            </w:hyperlink>
          </w:p>
        </w:tc>
        <w:tc>
          <w:tcPr>
            <w:tcW w:w="1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10.63</w:t>
            </w:r>
          </w:p>
        </w:tc>
        <w:tc>
          <w:tcPr>
            <w:tcW w:w="120" w:type="dxa"/>
            <w:vAlign w:val="bottom"/>
            <w:tcBorders>
              <w:bottom w:val="single" w:sz="8" w:color="CCEEFF"/>
            </w:tcBorders>
            <w:shd w:val="clear" w:color="auto" w:fill="CCEEFF"/>
          </w:tcPr>
          <w:p>
            <w:pPr>
              <w:spacing w:after="0"/>
              <w:rPr>
                <w:sz w:val="15"/>
                <w:szCs w:val="15"/>
                <w:color w:val="auto"/>
              </w:rPr>
            </w:pPr>
          </w:p>
        </w:tc>
        <w:tc>
          <w:tcPr>
            <w:tcW w:w="504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274">
              <w:r>
                <w:rPr>
                  <w:rFonts w:ascii="Times New Roman" w:cs="Times New Roman" w:eastAsia="Times New Roman" w:hAnsi="Times New Roman"/>
                  <w:sz w:val="18"/>
                  <w:szCs w:val="18"/>
                  <w:color w:val="0000EE"/>
                  <w:w w:val="99"/>
                </w:rPr>
                <w:t>Amendment and Agreement dated March 5, 2026 between SunPower</w:t>
              </w:r>
            </w:hyperlink>
          </w:p>
        </w:tc>
        <w:tc>
          <w:tcPr>
            <w:tcW w:w="140" w:type="dxa"/>
            <w:vAlign w:val="bottom"/>
            <w:tcBorders>
              <w:left w:val="single" w:sz="8" w:color="CCEEFF"/>
              <w:bottom w:val="single" w:sz="8" w:color="CCEEFF"/>
            </w:tcBorders>
            <w:gridSpan w:val="3"/>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2026-03-11</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Inc. and Chicken Parm Pizza LLC</w:t>
              </w:r>
            </w:hyperlink>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15"/>
                <w:szCs w:val="15"/>
                <w:color w:val="auto"/>
              </w:rPr>
            </w:pPr>
          </w:p>
        </w:tc>
        <w:tc>
          <w:tcPr>
            <w:tcW w:w="504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Offer Letter dated February 1, 2026 between SunPower Inc. and</w:t>
              </w:r>
            </w:hyperlink>
          </w:p>
        </w:tc>
        <w:tc>
          <w:tcPr>
            <w:tcW w:w="140" w:type="dxa"/>
            <w:vAlign w:val="bottom"/>
            <w:gridSpan w:val="3"/>
          </w:tcPr>
          <w:p>
            <w:pPr>
              <w:spacing w:after="0"/>
              <w:rPr>
                <w:sz w:val="15"/>
                <w:szCs w:val="15"/>
                <w:color w:val="auto"/>
              </w:rPr>
            </w:pPr>
          </w:p>
        </w:tc>
        <w:tc>
          <w:tcPr>
            <w:tcW w:w="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16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2026-02-05</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22"/>
          </w:tcPr>
          <w:p>
            <w:pPr>
              <w:spacing w:after="0" w:line="19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Wendell Laidley</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10.65#*</w:t>
            </w:r>
          </w:p>
        </w:tc>
        <w:tc>
          <w:tcPr>
            <w:tcW w:w="120" w:type="dxa"/>
            <w:vAlign w:val="bottom"/>
            <w:shd w:val="clear" w:color="auto" w:fill="CCEEFF"/>
          </w:tcPr>
          <w:p>
            <w:pPr>
              <w:spacing w:after="0"/>
              <w:rPr>
                <w:sz w:val="17"/>
                <w:szCs w:val="17"/>
                <w:color w:val="auto"/>
              </w:rPr>
            </w:pPr>
          </w:p>
        </w:tc>
        <w:tc>
          <w:tcPr>
            <w:tcW w:w="5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Restricted Stock Inducement Agreement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top w:val="single" w:sz="8" w:color="CCEEFF"/>
            </w:tcBorders>
          </w:tcPr>
          <w:p>
            <w:pPr>
              <w:spacing w:after="0"/>
              <w:rPr>
                <w:sz w:val="15"/>
                <w:szCs w:val="15"/>
                <w:color w:val="auto"/>
              </w:rPr>
            </w:pPr>
          </w:p>
        </w:tc>
        <w:tc>
          <w:tcPr>
            <w:tcW w:w="354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Code of Business Conduct and Ethics</w:t>
            </w:r>
          </w:p>
        </w:tc>
        <w:tc>
          <w:tcPr>
            <w:tcW w:w="1640" w:type="dxa"/>
            <w:vAlign w:val="bottom"/>
            <w:tcBorders>
              <w:top w:val="single" w:sz="8" w:color="CCEEFF"/>
            </w:tcBorders>
            <w:gridSpan w:val="6"/>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7"/>
                <w:szCs w:val="17"/>
                <w:color w:val="auto"/>
              </w:rPr>
            </w:pPr>
          </w:p>
        </w:tc>
        <w:tc>
          <w:tcPr>
            <w:tcW w:w="518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Letter from Deloitte &amp; Touche LLP</w:t>
              </w:r>
            </w:hyperlink>
          </w:p>
        </w:tc>
        <w:tc>
          <w:tcPr>
            <w:tcW w:w="7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2024-08-01</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top w:val="single" w:sz="8" w:color="CCEEFF"/>
            </w:tcBorders>
          </w:tcPr>
          <w:p>
            <w:pPr>
              <w:spacing w:after="0"/>
              <w:rPr>
                <w:sz w:val="15"/>
                <w:szCs w:val="15"/>
                <w:color w:val="auto"/>
              </w:rPr>
            </w:pPr>
          </w:p>
        </w:tc>
        <w:tc>
          <w:tcPr>
            <w:tcW w:w="2560" w:type="dxa"/>
            <w:vAlign w:val="bottom"/>
            <w:tcBorders>
              <w:top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277">
              <w:r>
                <w:rPr>
                  <w:rFonts w:ascii="Times New Roman" w:cs="Times New Roman" w:eastAsia="Times New Roman" w:hAnsi="Times New Roman"/>
                  <w:sz w:val="18"/>
                  <w:szCs w:val="18"/>
                  <w:color w:val="0000EE"/>
                </w:rPr>
                <w:t>Letter from Marcum LLP</w:t>
              </w:r>
            </w:hyperlink>
          </w:p>
        </w:tc>
        <w:tc>
          <w:tcPr>
            <w:tcW w:w="2620" w:type="dxa"/>
            <w:vAlign w:val="bottom"/>
            <w:tcBorders>
              <w:top w:val="single" w:sz="8" w:color="CCEEFF"/>
            </w:tcBorders>
            <w:gridSpan w:val="10"/>
          </w:tcPr>
          <w:p>
            <w:pPr>
              <w:spacing w:after="0"/>
              <w:rPr>
                <w:sz w:val="15"/>
                <w:szCs w:val="15"/>
                <w:color w:val="auto"/>
              </w:rPr>
            </w:pPr>
          </w:p>
        </w:tc>
        <w:tc>
          <w:tcPr>
            <w:tcW w:w="78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2023-07-24</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7"/>
                <w:szCs w:val="17"/>
                <w:color w:val="auto"/>
              </w:rPr>
            </w:pPr>
          </w:p>
        </w:tc>
        <w:tc>
          <w:tcPr>
            <w:tcW w:w="518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Insider Trading Policy</w:t>
              </w:r>
            </w:hyperlink>
          </w:p>
        </w:tc>
        <w:tc>
          <w:tcPr>
            <w:tcW w:w="780" w:type="dxa"/>
            <w:vAlign w:val="bottom"/>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2025-04-30</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top w:val="single" w:sz="8" w:color="CCEEFF"/>
            </w:tcBorders>
          </w:tcPr>
          <w:p>
            <w:pPr>
              <w:spacing w:after="0"/>
              <w:rPr>
                <w:sz w:val="15"/>
                <w:szCs w:val="15"/>
                <w:color w:val="auto"/>
              </w:rPr>
            </w:pPr>
          </w:p>
        </w:tc>
        <w:tc>
          <w:tcPr>
            <w:tcW w:w="1600" w:type="dxa"/>
            <w:vAlign w:val="bottom"/>
            <w:tcBorders>
              <w:top w:val="single" w:sz="8" w:color="0000EE"/>
            </w:tcBorders>
            <w:gridSpan w:val="6"/>
          </w:tcPr>
          <w:p>
            <w:pPr>
              <w:spacing w:after="0" w:line="17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List of Subsidiaries</w:t>
              </w:r>
            </w:hyperlink>
          </w:p>
        </w:tc>
        <w:tc>
          <w:tcPr>
            <w:tcW w:w="3580" w:type="dxa"/>
            <w:vAlign w:val="bottom"/>
            <w:tcBorders>
              <w:top w:val="single" w:sz="8" w:color="CCEEFF"/>
            </w:tcBorders>
            <w:gridSpan w:val="16"/>
          </w:tcPr>
          <w:p>
            <w:pPr>
              <w:spacing w:after="0"/>
              <w:rPr>
                <w:sz w:val="15"/>
                <w:szCs w:val="15"/>
                <w:color w:val="auto"/>
              </w:rPr>
            </w:pPr>
          </w:p>
        </w:tc>
        <w:tc>
          <w:tcPr>
            <w:tcW w:w="78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5"/>
              </w:rPr>
              <w:t>S-1</w:t>
            </w:r>
          </w:p>
        </w:tc>
        <w:tc>
          <w:tcPr>
            <w:tcW w:w="14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333-273820</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ind w:left="420"/>
              <w:spacing w:after="0" w:line="176" w:lineRule="exact"/>
              <w:rPr>
                <w:sz w:val="20"/>
                <w:szCs w:val="20"/>
                <w:color w:val="auto"/>
              </w:rPr>
            </w:pPr>
            <w:r>
              <w:rPr>
                <w:rFonts w:ascii="Times New Roman" w:cs="Times New Roman" w:eastAsia="Times New Roman" w:hAnsi="Times New Roman"/>
                <w:sz w:val="18"/>
                <w:szCs w:val="18"/>
                <w:color w:val="auto"/>
              </w:rPr>
              <w:t>2023-08-09</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15"/>
                <w:szCs w:val="15"/>
                <w:color w:val="auto"/>
              </w:rPr>
            </w:pPr>
          </w:p>
        </w:tc>
        <w:tc>
          <w:tcPr>
            <w:tcW w:w="504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w:t>
            </w:r>
          </w:p>
        </w:tc>
        <w:tc>
          <w:tcPr>
            <w:tcW w:w="140" w:type="dxa"/>
            <w:vAlign w:val="bottom"/>
            <w:tcBorders>
              <w:left w:val="single" w:sz="8" w:color="CCEEFF"/>
              <w:bottom w:val="single" w:sz="8" w:color="CCEEFF"/>
            </w:tcBorders>
            <w:gridSpan w:val="3"/>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0000EE"/>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14(a) and Rule 15d-14(a) under the Securities Exchange Act of 1934,</w:t>
            </w:r>
          </w:p>
        </w:tc>
        <w:tc>
          <w:tcPr>
            <w:tcW w:w="140" w:type="dxa"/>
            <w:vAlign w:val="bottom"/>
            <w:tcBorders>
              <w:left w:val="single" w:sz="8" w:color="CCEEFF"/>
              <w:bottom w:val="single" w:sz="8" w:color="CCEEFF"/>
            </w:tcBorders>
            <w:gridSpan w:val="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2"/>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4"/>
              </w:rPr>
              <w:t>2002</w:t>
            </w: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480" w:type="dxa"/>
            <w:vAlign w:val="bottom"/>
            <w:tcBorders>
              <w:top w:val="single" w:sz="8" w:color="0000EE"/>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6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38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130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top w:val="single" w:sz="8" w:color="CCEEFF"/>
            </w:tcBorders>
          </w:tcPr>
          <w:p>
            <w:pPr>
              <w:spacing w:after="0"/>
              <w:rPr>
                <w:sz w:val="15"/>
                <w:szCs w:val="15"/>
                <w:color w:val="auto"/>
              </w:rPr>
            </w:pPr>
          </w:p>
        </w:tc>
        <w:tc>
          <w:tcPr>
            <w:tcW w:w="5040" w:type="dxa"/>
            <w:vAlign w:val="bottom"/>
            <w:tcBorders>
              <w:top w:val="single" w:sz="8" w:color="CCEEFF"/>
              <w:bottom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w:t>
            </w:r>
          </w:p>
        </w:tc>
        <w:tc>
          <w:tcPr>
            <w:tcW w:w="140" w:type="dxa"/>
            <w:vAlign w:val="bottom"/>
            <w:tcBorders>
              <w:top w:val="single" w:sz="8" w:color="CCEEFF"/>
            </w:tcBorders>
            <w:gridSpan w:val="3"/>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14(a) and Rule 15d-14(a) under the Securities Exchange Act of 1934,</w:t>
            </w:r>
          </w:p>
        </w:tc>
        <w:tc>
          <w:tcPr>
            <w:tcW w:w="1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2002</w:t>
            </w:r>
          </w:p>
        </w:tc>
        <w:tc>
          <w:tcPr>
            <w:tcW w:w="1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504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18 U.S.C.</w:t>
            </w:r>
          </w:p>
        </w:tc>
        <w:tc>
          <w:tcPr>
            <w:tcW w:w="140" w:type="dxa"/>
            <w:vAlign w:val="bottom"/>
            <w:tcBorders>
              <w:left w:val="single" w:sz="8" w:color="CCEEFF"/>
              <w:bottom w:val="single" w:sz="8" w:color="CCEEFF"/>
            </w:tcBorders>
            <w:gridSpan w:val="3"/>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0000EE"/>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1350, as adopted pursuant to Section 906 of the Sarbanes-Oxley Act</w:t>
            </w:r>
          </w:p>
        </w:tc>
        <w:tc>
          <w:tcPr>
            <w:tcW w:w="140" w:type="dxa"/>
            <w:vAlign w:val="bottom"/>
            <w:tcBorders>
              <w:left w:val="single" w:sz="8" w:color="CCEEFF"/>
              <w:bottom w:val="single" w:sz="8" w:color="CCEEFF"/>
            </w:tcBorders>
            <w:gridSpan w:val="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51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18 U.S.C.</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14"/>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1350, as adopted pursuant to Section 906 of the Sarbanes-Oxley Act</w:t>
            </w:r>
          </w:p>
        </w:tc>
        <w:tc>
          <w:tcPr>
            <w:tcW w:w="1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shd w:val="clear" w:color="auto" w:fill="CCEEFF"/>
          </w:tcPr>
          <w:p>
            <w:pPr>
              <w:spacing w:after="0"/>
              <w:rPr>
                <w:sz w:val="15"/>
                <w:szCs w:val="15"/>
                <w:color w:val="auto"/>
              </w:rPr>
            </w:pPr>
          </w:p>
        </w:tc>
        <w:tc>
          <w:tcPr>
            <w:tcW w:w="518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Complete Solaria, Inc. Clawback Policy</w:t>
              </w:r>
            </w:hyperlink>
          </w:p>
        </w:tc>
        <w:tc>
          <w:tcPr>
            <w:tcW w:w="780" w:type="dxa"/>
            <w:vAlign w:val="bottom"/>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2025-04-30</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5180" w:type="dxa"/>
            <w:vAlign w:val="bottom"/>
            <w:gridSpan w:val="22"/>
          </w:tcPr>
          <w:p>
            <w:pPr>
              <w:spacing w:after="0" w:line="198" w:lineRule="exact"/>
              <w:rPr>
                <w:sz w:val="20"/>
                <w:szCs w:val="20"/>
                <w:color w:val="auto"/>
              </w:rPr>
            </w:pPr>
            <w:r>
              <w:rPr>
                <w:rFonts w:ascii="Times New Roman" w:cs="Times New Roman" w:eastAsia="Times New Roman" w:hAnsi="Times New Roman"/>
                <w:sz w:val="18"/>
                <w:szCs w:val="18"/>
                <w:color w:val="auto"/>
              </w:rPr>
              <w:t>Inline XBRL Document Set for the consolidated condensed financial</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statements  and  accompanying  notes  in  Consolidated  Condensed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Financial Statements and Supplemental Details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98"/>
        </w:trPr>
        <w:tc>
          <w:tcPr>
            <w:tcW w:w="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7"/>
                <w:szCs w:val="17"/>
                <w:color w:val="auto"/>
              </w:rPr>
            </w:pPr>
          </w:p>
        </w:tc>
        <w:tc>
          <w:tcPr>
            <w:tcW w:w="5180" w:type="dxa"/>
            <w:vAlign w:val="bottom"/>
            <w:gridSpan w:val="2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 formatted in Inline XBRL and</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34"/>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1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as Exhibit 101</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arrangement.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704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SUNPOWER INC.</w:t>
            </w:r>
          </w:p>
        </w:tc>
      </w:tr>
      <w:tr>
        <w:trPr>
          <w:trHeight w:val="43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14, 2026</w:t>
            </w:r>
          </w:p>
        </w:tc>
        <w:tc>
          <w:tcPr>
            <w:tcW w:w="704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By: /s/ THURMAN J. RODGERS</w:t>
            </w:r>
          </w:p>
        </w:tc>
      </w:tr>
      <w:tr>
        <w:trPr>
          <w:trHeight w:val="198"/>
        </w:trPr>
        <w:tc>
          <w:tcPr>
            <w:tcW w:w="42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 Thurman J. Rodgers</w:t>
            </w:r>
          </w:p>
        </w:tc>
      </w:tr>
      <w:tr>
        <w:trPr>
          <w:trHeight w:val="234"/>
        </w:trPr>
        <w:tc>
          <w:tcPr>
            <w:tcW w:w="42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Thurman J. Rodgers and Wendell Laidley his true and lawful attorney-in-fact and agent, with full power of substitution and, for him and in his name, place and stead, in any and all capacities to sign any and all amendments to this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 or substitutes, may lawfully do or cause to be done by virtue hereof.</w:t>
      </w:r>
    </w:p>
    <w:p>
      <w:pPr>
        <w:spacing w:after="0" w:line="18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52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Thurman J. Rodgers</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14, 2026</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Thurman J. Rodgers</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Wendell Laidley</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14, 2026</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Wendell Laidley</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Jeanne Nguyen</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14, 2026</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Jeanne Nguyen</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Lundell</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14, 2026</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Chris Lundell</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Antonio R. Alvarez</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14, 2026</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Antonio R. Alvarez</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Gishen</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14, 2026</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Adam Gishen</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Ronald Pasek</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14, 2026</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Ronald Pasek</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Tidjane Thiam</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14, 2026</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Tidjane Thiam</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Devin Whatley</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14, 2026</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Devin Whatley</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Anderson</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14, 2026</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William J. Anderson</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Lothar Meir</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14, 2026</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Lothar Meir</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Daniel McCranie</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14, 2026</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 Daniel McCranie</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Jamie Haenggi</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14, 2026</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Jamie Haenggi</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853"/>
        </w:trPr>
        <w:tc>
          <w:tcPr>
            <w:tcW w:w="40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2"/>
          </w:tcPr>
          <w:p>
            <w:pPr>
              <w:ind w:left="148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258"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10.65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INDUCEMENT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NOTICE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THIS RESTRICTED STOCK UNIT INDUCEMENT AGREEMENT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sets forth the award by SunPower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you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of the number of restricted stock units specified and on the terms set forth below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RSU Award granted hereunder is not made under the Company’s 2023 Equity Incentive Plan, as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and the share reserve thereunder, or any other plan, and is made as an “employment inducement award” within the meaning of Nasdaq Listing Rule 5635(c), as of the Grant Date (set forth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Participant commences employment on or before the Grant Date. Notwithstanding the foregoing, subject to the terms and conditions herein, for administrative convenience the RSU Award will be governed by (a) the terms and conditions set forth in sections 5 through 12 and 14 of the Plan applicable to awards under the Plan as if the RSU Award had been granted under the Plan, and (b) the Inducement RSU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provisions of the Plan are hereby incorporated herein by reference. Capitalized terms not explicitly defined herein but defined in the Plan or the Agreement shall have the meanings set forth in the Plan or the Agreement, as applicable.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Participant:</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00" w:lineRule="exact"/>
        <w:rPr>
          <w:sz w:val="20"/>
          <w:szCs w:val="20"/>
          <w:color w:val="auto"/>
        </w:rPr>
      </w:pPr>
    </w:p>
    <w:p>
      <w:pPr>
        <w:sectPr>
          <w:pgSz w:w="11900" w:h="16838" w:orient="portrait"/>
          <w:cols w:equalWidth="0" w:num="2">
            <w:col w:w="4460" w:space="720"/>
            <w:col w:w="6060"/>
          </w:cols>
          <w:pgMar w:left="320" w:top="117" w:right="339" w:bottom="1440" w:gutter="0" w:footer="0" w:header="0"/>
          <w:type w:val="continuous"/>
        </w:sectPr>
      </w:pPr>
    </w:p>
    <w:p>
      <w:pPr>
        <w:spacing w:after="0" w:line="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Grant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00" w:lineRule="exact"/>
        <w:rPr>
          <w:sz w:val="20"/>
          <w:szCs w:val="20"/>
          <w:color w:val="auto"/>
        </w:rPr>
      </w:pPr>
    </w:p>
    <w:p>
      <w:pPr>
        <w:sectPr>
          <w:pgSz w:w="11900" w:h="16838" w:orient="portrait"/>
          <w:cols w:equalWidth="0" w:num="2">
            <w:col w:w="4460" w:space="720"/>
            <w:col w:w="6060"/>
          </w:cols>
          <w:pgMar w:left="320" w:top="117" w:right="339" w:bottom="1440" w:gutter="0" w:footer="0" w:header="0"/>
          <w:type w:val="continuous"/>
        </w:sectPr>
      </w:pPr>
    </w:p>
    <w:p>
      <w:pPr>
        <w:spacing w:after="0" w:line="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as grant date</w:t>
      </w:r>
    </w:p>
    <w:p>
      <w:pPr>
        <w:spacing w:after="0" w:line="200" w:lineRule="exact"/>
        <w:rPr>
          <w:sz w:val="20"/>
          <w:szCs w:val="20"/>
          <w:color w:val="auto"/>
        </w:rPr>
      </w:pPr>
    </w:p>
    <w:p>
      <w:pPr>
        <w:sectPr>
          <w:pgSz w:w="11900" w:h="16838" w:orient="portrait"/>
          <w:cols w:equalWidth="0" w:num="2">
            <w:col w:w="4460" w:space="720"/>
            <w:col w:w="6060"/>
          </w:cols>
          <w:pgMar w:left="320" w:top="117" w:right="339" w:bottom="1440" w:gutter="0" w:footer="0" w:header="0"/>
          <w:type w:val="continuous"/>
        </w:sectPr>
      </w:pP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Number of Restricted Stock Units: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w:t>
      </w:r>
    </w:p>
    <w:p>
      <w:pPr>
        <w:spacing w:after="0" w:line="200" w:lineRule="exact"/>
        <w:rPr>
          <w:sz w:val="20"/>
          <w:szCs w:val="20"/>
          <w:color w:val="auto"/>
        </w:rPr>
      </w:pPr>
    </w:p>
    <w:p>
      <w:pPr>
        <w:sectPr>
          <w:pgSz w:w="11900" w:h="16838" w:orient="portrait"/>
          <w:cols w:equalWidth="0" w:num="2">
            <w:col w:w="4460" w:space="720"/>
            <w:col w:w="6060"/>
          </w:cols>
          <w:pgMar w:left="320" w:top="117" w:right="339" w:bottom="1440" w:gutter="0" w:footer="0" w:header="0"/>
          <w:type w:val="continuous"/>
        </w:sectPr>
      </w:pPr>
    </w:p>
    <w:p>
      <w:pPr>
        <w:spacing w:after="0" w:line="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RSUs shall become vested in accordance with the vesting schedule approved by the Company’s board of directors and as notified to the Participant prior to Participant’s acceptance of employment and also through the On-Line Platform.</w:t>
      </w:r>
    </w:p>
    <w:p>
      <w:pPr>
        <w:spacing w:after="0" w:line="172" w:lineRule="exact"/>
        <w:rPr>
          <w:sz w:val="20"/>
          <w:szCs w:val="20"/>
          <w:color w:val="auto"/>
        </w:rPr>
      </w:pPr>
    </w:p>
    <w:p>
      <w:pPr>
        <w:sectPr>
          <w:pgSz w:w="11900" w:h="16838" w:orient="portrait"/>
          <w:cols w:equalWidth="0" w:num="2">
            <w:col w:w="4460" w:space="720"/>
            <w:col w:w="6060"/>
          </w:cols>
          <w:pgMar w:left="320" w:top="117" w:right="339" w:bottom="1440"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Issuance Schedule: </w:t>
      </w:r>
      <w:r>
        <w:rPr>
          <w:rFonts w:ascii="Times New Roman" w:cs="Times New Roman" w:eastAsia="Times New Roman" w:hAnsi="Times New Roman"/>
          <w:sz w:val="18"/>
          <w:szCs w:val="18"/>
          <w:color w:val="auto"/>
        </w:rPr>
        <w:t>One share of Common Stock will be issued for each restricted stock unit which vests at the time set forth in Section 5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Participant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159" w:lineRule="exact"/>
        <w:rPr>
          <w:sz w:val="20"/>
          <w:szCs w:val="20"/>
          <w:color w:val="auto"/>
        </w:rPr>
      </w:pPr>
    </w:p>
    <w:p>
      <w:pPr>
        <w:ind w:left="660" w:right="20" w:hanging="328"/>
        <w:spacing w:after="0" w:line="26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 is governed by this Grant Notice and the RSU Award Agreement (as defined below). Even though this RSU Award is made outside the terms of the Plan and the share reserve thereunder, for administrative convenience the provisions of sections 5 through 12 and 14 of the Plan are incorporated herein and into the RSU Award Agreement by reference and made a part of this document.</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Grant Notice and the Agreement (together, the “</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15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the RSU Award Agreement (including the Plan terms incorporated by reference herein) and the Prospectus.</w:t>
      </w:r>
    </w:p>
    <w:p>
      <w:pPr>
        <w:spacing w:after="0" w:line="16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un</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ower</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249428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249428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5">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-127635</wp:posOffset>
            </wp:positionV>
            <wp:extent cx="249428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articipant</w:t>
            </w:r>
            <w:r>
              <w:rPr>
                <w:rFonts w:ascii="Times New Roman" w:cs="Times New Roman" w:eastAsia="Times New Roman" w:hAnsi="Times New Roman"/>
                <w:sz w:val="18"/>
                <w:szCs w:val="18"/>
                <w:b w:val="1"/>
                <w:bCs w:val="1"/>
                <w:color w:val="auto"/>
              </w:rPr>
              <w:t>:</w:t>
            </w:r>
          </w:p>
        </w:tc>
        <w:tc>
          <w:tcPr>
            <w:tcW w:w="3900" w:type="dxa"/>
            <w:vAlign w:val="bottom"/>
          </w:tcPr>
          <w:p>
            <w:pPr>
              <w:spacing w:after="0"/>
              <w:rPr>
                <w:sz w:val="20"/>
                <w:szCs w:val="20"/>
                <w:color w:val="auto"/>
              </w:rPr>
            </w:pPr>
          </w:p>
        </w:tc>
      </w:tr>
      <w:tr>
        <w:trPr>
          <w:trHeight w:val="43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Signed Electronically through On-Line Platform</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[__], 2025</w:t>
            </w:r>
          </w:p>
        </w:tc>
      </w:tr>
    </w:tbl>
    <w:p>
      <w:pPr>
        <w:spacing w:after="0" w:line="200" w:lineRule="exact"/>
        <w:rPr>
          <w:sz w:val="20"/>
          <w:szCs w:val="20"/>
          <w:color w:val="auto"/>
        </w:rPr>
      </w:pPr>
    </w:p>
    <w:p>
      <w:pPr>
        <w:spacing w:after="0" w:line="214"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INDUCEMENT RSU AWARD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As reflected by your Restricted Stock Unit Inducement Agreement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SunPower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 RSU Award outside the terms of the Company’s 2023 Equity Incentive Plan, as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stock units as indicated in your Grant Notice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as an “employment inducement award” within the meaning of Nasdaq Listing Rule 5635(c). Notwithstanding the foregoing, the RSU Award and this RSU Award Agreement (as defined below) will be governed by the terms and conditions set forth in sections 5 through 12 and 14 of the Plan as if the RSU Award had been granted under the Plan. The provisions of the those sections of the Plan are hereby incorporated herein by reference.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terms of your RSU Award as specified in this Inducement RSU Award Agreement for your RSU Award, including any additional terms and conditions for your country set forth in the appendix hereto, if applicable (the “</w:t>
      </w:r>
      <w:r>
        <w:rPr>
          <w:rFonts w:ascii="Times New Roman" w:cs="Times New Roman" w:eastAsia="Times New Roman" w:hAnsi="Times New Roman"/>
          <w:sz w:val="18"/>
          <w:szCs w:val="18"/>
          <w:b w:val="1"/>
          <w:bCs w:val="1"/>
          <w:i w:val="1"/>
          <w:iCs w:val="1"/>
          <w:color w:val="auto"/>
        </w:rPr>
        <w:t>Appendix</w:t>
      </w:r>
      <w:r>
        <w:rPr>
          <w:rFonts w:ascii="Times New Roman" w:cs="Times New Roman" w:eastAsia="Times New Roman" w:hAnsi="Times New Roman"/>
          <w:sz w:val="18"/>
          <w:szCs w:val="18"/>
          <w:color w:val="auto"/>
        </w:rPr>
        <w:t>” and, together with the Inducement RSU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Grant Notice constitute your “</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Capitalized terms not explicitly defined herein but defined in the Plan or the Agreement shall have the meanings set forth in the Plan or the Agreement, as applicable.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general terms applicable to your RSU Award are as follows:</w:t>
      </w:r>
    </w:p>
    <w:p>
      <w:pPr>
        <w:spacing w:after="0" w:line="221" w:lineRule="exact"/>
        <w:rPr>
          <w:sz w:val="20"/>
          <w:szCs w:val="20"/>
          <w:color w:val="auto"/>
        </w:rPr>
      </w:pPr>
    </w:p>
    <w:p>
      <w:pPr>
        <w:jc w:val="both"/>
        <w:ind w:firstLine="656"/>
        <w:spacing w:after="0" w:line="262" w:lineRule="auto"/>
        <w:tabs>
          <w:tab w:leader="none" w:pos="855"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all the provisions of sections 5 through 12 and 14 of the Plan,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herein by reference. You acknowledge receipt of a copy of the Plan. Your RSU Award is further subject to all interpretations, amendments, rules and regulations, which may from time to time be promulgated and adopted pursuant to the Plan. In the event of any conflict between the RSU Award Agreement and the provisions of sections 5 through 12 and 14 of the Plan, the provisions of this RSU Award Agreement shall control.</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831"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OF THE RSU AWARD. </w:t>
      </w:r>
      <w:r>
        <w:rPr>
          <w:rFonts w:ascii="Times New Roman" w:cs="Times New Roman" w:eastAsia="Times New Roman" w:hAnsi="Times New Roman"/>
          <w:sz w:val="18"/>
          <w:szCs w:val="18"/>
          <w:color w:val="auto"/>
        </w:rPr>
        <w:t>This RSU Award represents your right to be issued on a future date the number of shares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is equal to the number of restricted stock units indicated in the Grant Notice subject to your satisfaction of the vesting conditions set forth therein (the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28"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shall receive no benefit or adjustment to your RSU Award with respect to any cash dividend, stock dividend or other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does not result from a Capitalization Adjustment as provided in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sentence shall not apply with respect to any shares of Common Stock that are delivered to you in connection with your RSU Award after such shares have been delivered to you.</w:t>
      </w:r>
    </w:p>
    <w:p>
      <w:pPr>
        <w:spacing w:after="0" w:line="170"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esponsibility for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axes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980"/>
        <w:spacing w:after="0" w:line="254" w:lineRule="auto"/>
        <w:tabs>
          <w:tab w:leader="none" w:pos="1240"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Regardless of any action taken by the Company or, if different, the Affiliate to which you provide Continuous Service (the “</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Recipient</w:t>
      </w:r>
      <w:r>
        <w:rPr>
          <w:rFonts w:ascii="Times New Roman" w:cs="Times New Roman" w:eastAsia="Times New Roman" w:hAnsi="Times New Roman"/>
          <w:sz w:val="18"/>
          <w:szCs w:val="18"/>
          <w:color w:val="auto"/>
        </w:rPr>
        <w:t>”) with respect to any income tax, social insurance, payroll tax, fringe benefits tax, payment on account or other tax-related items associated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grant or vesting of the RSU Award or sale of the underlying Common Stock or other tax-related items related to your participation in the Plan and legally applicable or deemed applicable to you (the “</w:t>
      </w:r>
      <w:r>
        <w:rPr>
          <w:rFonts w:ascii="Times New Roman" w:cs="Times New Roman" w:eastAsia="Times New Roman" w:hAnsi="Times New Roman"/>
          <w:sz w:val="18"/>
          <w:szCs w:val="18"/>
          <w:b w:val="1"/>
          <w:bCs w:val="1"/>
          <w:i w:val="1"/>
          <w:iCs w:val="1"/>
          <w:color w:val="auto"/>
        </w:rPr>
        <w:t>Tax Liability</w:t>
      </w:r>
      <w:r>
        <w:rPr>
          <w:rFonts w:ascii="Times New Roman" w:cs="Times New Roman" w:eastAsia="Times New Roman" w:hAnsi="Times New Roman"/>
          <w:sz w:val="18"/>
          <w:szCs w:val="18"/>
          <w:color w:val="auto"/>
        </w:rPr>
        <w:t>”), you hereby acknowledge and agree that the Tax Liability is your ultimate responsibility and may exceed the amount, if any, actually withheld by the Company or the Service Recipient. You further acknowledge that the Company and the Service Recipient (i) make no representations or undertakings regarding any Tax Liability in connection with any aspect of this RSU Award, including, but not limited to, the grant or vesting of the RSU Award, the issuance of Common Stock pursuant to such vesting, the subsequent sale of shares of Common Stock, and the payment of any dividends on the shares; and (ii) do not commit to and are under no obligation to structure the terms of the grant or any aspect of the RSU Award to reduce or eliminate your Tax Liability or achieve a particular tax result. Further, if you are subject to Tax Liability in more than one jurisdiction, you acknowledge that the Company and/or the Service Recipient (or former service recipient, as applicable) may be required to withhold or account for Tax Liability in more than one jurisdiction.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0" w:name="page171"/>
    <w:bookmarkEnd w:id="170"/>
    <w:p>
      <w:pPr>
        <w:jc w:val="both"/>
        <w:ind w:firstLine="980"/>
        <w:spacing w:after="0" w:line="252" w:lineRule="auto"/>
        <w:tabs>
          <w:tab w:leader="none" w:pos="1264"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Prior to any relevant taxable or tax withholding event, as applicable, you agree to make adequate arrangements satisfactory to the Company and/or the Service Recipient to satisfy all Tax Liability. As further provided in Section 8 of the Plan, you hereby authorize the Company and any applicable Service Recipient to satisfy any applicable withholding obligations with regard to the Tax Liability by one or a combination of the following methods: (i) causing you to pay any portion of the Tax Liability in cash or cash equivalent in a form acceptable to the Company and/or the Service Recipient; (ii) withholding from any compensation otherwise payable to you by the Company or the Service Recipient; (iii) withholding shares of Common Stock from the shares of Common Stock issued or otherwise issuable to you in connection with the Award;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necessary to qualify for an exemption from application of Section 16(b) of the Exchange Act, if applicable, such share withholding procedure will be subject to the express prior approval of the Board or the Company’s Compensation Committee; (iv) permitting or requiring you to enter into a “same day sale” commitment, if applicable, with a broker-dealer that is a member of the Financial Industry Regulatory Authority (a “</w:t>
      </w:r>
      <w:r>
        <w:rPr>
          <w:rFonts w:ascii="Times New Roman" w:cs="Times New Roman" w:eastAsia="Times New Roman" w:hAnsi="Times New Roman"/>
          <w:sz w:val="18"/>
          <w:szCs w:val="18"/>
          <w:b w:val="1"/>
          <w:bCs w:val="1"/>
          <w:i w:val="1"/>
          <w:iCs w:val="1"/>
          <w:color w:val="auto"/>
        </w:rPr>
        <w:t>FINRA Dealer</w:t>
      </w:r>
      <w:r>
        <w:rPr>
          <w:rFonts w:ascii="Times New Roman" w:cs="Times New Roman" w:eastAsia="Times New Roman" w:hAnsi="Times New Roman"/>
          <w:sz w:val="18"/>
          <w:szCs w:val="18"/>
          <w:color w:val="auto"/>
        </w:rPr>
        <w:t>”), pursuant to this authorization and without further consent, whereby you irrevocably elect to sell a portion of the shares of Common Stock to be delivered in connection with your Restricted Stock Units to satisfy the Tax Liability and whereby the FINRA Dealer irrevocably commits to forward the proceeds necessary to satisfy the Tax Liability directly to the Company or the Service Recipient; and/or (v) any other method determined by the Company to be in compliance with Applicable Law. Furthermore, you agree to pay or reimburse the Company or the Service Recipient any amount the Company or the Service Recipient may be required to withhold, collect or pay as a result of this RSU Award or that cannot be satisfied by the means previously described. In the event it is determined that the amount of the Tax Liability was greater than the amount withheld by the Company and/or the Service Recipient (as applicable), you agree to indemnify and hold the Company and/or the Service Recipient (as applicable) harmless from any failure by the Company or the applicable Service Recipient to withhold the proper amount.</w:t>
      </w:r>
    </w:p>
    <w:p>
      <w:pPr>
        <w:spacing w:after="0" w:line="193" w:lineRule="exact"/>
        <w:rPr>
          <w:rFonts w:ascii="Times New Roman" w:cs="Times New Roman" w:eastAsia="Times New Roman" w:hAnsi="Times New Roman"/>
          <w:sz w:val="18"/>
          <w:szCs w:val="18"/>
          <w:b w:val="1"/>
          <w:bCs w:val="1"/>
          <w:color w:val="auto"/>
        </w:rPr>
      </w:pPr>
    </w:p>
    <w:p>
      <w:pPr>
        <w:jc w:val="both"/>
        <w:ind w:firstLine="980"/>
        <w:spacing w:after="0" w:line="254" w:lineRule="auto"/>
        <w:tabs>
          <w:tab w:leader="none" w:pos="1216"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and/or the Service Recipient may withhold or account for your Tax Liability by considering statutory withholding amounts or other withholding rates applicable in your jurisdiction(s), including (i) maximum applicable rates in your jurisdiction(s). In the event of over-withholding, you may receive a refund of any over-withheld amount in cash from the Company or the Service Recipient (with no entitlement to the Common Stock equivalent), or if not refunded, you may seek a refund from the local tax authorities. In the event of under-withholding, you may be required to pay any Tax Liability directly to the applicable tax authority or to the Company and/or the Service Recipient. If the Tax Liability withholding obligation is satisfied by withholding shares of Common Stock, for tax purposes, you are deemed to have been issued the full number of shares of Common Stock subject to the vested portion of the RSU Award, notwithstanding that a number of the shares of Common Stock is held back solely for the purpose of paying such Tax Liability.</w:t>
      </w:r>
    </w:p>
    <w:p>
      <w:pPr>
        <w:spacing w:after="0" w:line="191" w:lineRule="exact"/>
        <w:rPr>
          <w:rFonts w:ascii="Times New Roman" w:cs="Times New Roman" w:eastAsia="Times New Roman" w:hAnsi="Times New Roman"/>
          <w:sz w:val="18"/>
          <w:szCs w:val="18"/>
          <w:b w:val="1"/>
          <w:bCs w:val="1"/>
          <w:color w:val="auto"/>
        </w:rPr>
      </w:pPr>
    </w:p>
    <w:p>
      <w:pPr>
        <w:ind w:firstLine="980"/>
        <w:spacing w:after="0" w:line="282" w:lineRule="auto"/>
        <w:tabs>
          <w:tab w:leader="none" w:pos="1237"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any withholding obligation for the Tax Liability is satisfied, the Company shall have no obligation to issue or deliver to you any Common Stock in respect of the RSU Award.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ind w:left="840" w:hanging="184"/>
        <w:spacing w:after="0"/>
        <w:tabs>
          <w:tab w:leader="none" w:pos="840"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ssuance</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1240" w:hanging="260"/>
        <w:spacing w:after="0"/>
        <w:tabs>
          <w:tab w:leader="none" w:pos="1240" w:val="left"/>
        </w:tabs>
        <w:numPr>
          <w:ilvl w:val="2"/>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shares in respect of the Restricted Stock Units is intended to comply with U.S. Treasury Regulations Section 1.409A-1(b)</w:t>
      </w:r>
    </w:p>
    <w:p>
      <w:pPr>
        <w:spacing w:after="0" w:line="27"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25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will be construed and administered in such a manner. Subject to the satisfaction of the Tax Liability withholding obligation, if any, in the event one or more Restricted Stock Units vests, the Company shall issue to you one (1) share of Common Stock for each vested Restricted Stock Unit on the applicable vesting date. Each issuance date determined by this paragraph is referred to as an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2"/>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Original Issuance Date falls on a date that is not a business day, delivery shall instead occur on the next following business day. In</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 if:</w:t>
      </w:r>
    </w:p>
    <w:p>
      <w:pPr>
        <w:spacing w:after="0" w:line="206"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511" w:val="left"/>
        </w:tabs>
        <w:numPr>
          <w:ilvl w:val="3"/>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Arrangement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w:t>
      </w:r>
    </w:p>
    <w:p>
      <w:pPr>
        <w:spacing w:after="0" w:line="183"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561" w:val="left"/>
        </w:tabs>
        <w:numPr>
          <w:ilvl w:val="3"/>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either (1) a Tax Liability withholding obligation does not apply, or (2) the Company decides, prior to the Original Issuance Date, (A) not to satisfy the Tax Liability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Tax Liability in cash, </w:t>
      </w: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8"/>
          <w:szCs w:val="18"/>
          <w:u w:val="single" w:color="auto"/>
          <w:color w:val="auto"/>
        </w:rPr>
        <w:t>if and only if</w:t>
      </w:r>
      <w:r>
        <w:rPr>
          <w:rFonts w:ascii="Times New Roman" w:cs="Times New Roman" w:eastAsia="Times New Roman" w:hAnsi="Times New Roman"/>
          <w:sz w:val="18"/>
          <w:szCs w:val="18"/>
          <w:color w:val="auto"/>
        </w:rPr>
        <w:t xml:space="preserve"> permitted in a manner that complies with U.S.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U.S. Treasury Regulations Section 1.409A-1(d).</w:t>
      </w:r>
    </w:p>
    <w:p>
      <w:pPr>
        <w:spacing w:after="0" w:line="190"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ature of</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accepting the RSU Award, you acknowledge, understand and agree that:</w:t>
      </w:r>
    </w:p>
    <w:p>
      <w:pPr>
        <w:spacing w:after="0" w:line="229" w:lineRule="exact"/>
        <w:rPr>
          <w:rFonts w:ascii="Times New Roman" w:cs="Times New Roman" w:eastAsia="Times New Roman" w:hAnsi="Times New Roman"/>
          <w:sz w:val="18"/>
          <w:szCs w:val="18"/>
          <w:b w:val="1"/>
          <w:bCs w:val="1"/>
          <w:color w:val="auto"/>
        </w:rPr>
      </w:pPr>
    </w:p>
    <w:p>
      <w:pPr>
        <w:ind w:firstLine="980"/>
        <w:spacing w:after="0" w:line="282" w:lineRule="auto"/>
        <w:tabs>
          <w:tab w:leader="none" w:pos="1227" w:val="left"/>
        </w:tabs>
        <w:numPr>
          <w:ilvl w:val="2"/>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provisions incorporated by reference herein may be modified, amended, suspended or terminated by the Company at any time, to the extent permitted by the Plan;</w:t>
      </w:r>
    </w:p>
    <w:p>
      <w:pPr>
        <w:spacing w:after="0" w:line="161" w:lineRule="exact"/>
        <w:rPr>
          <w:rFonts w:ascii="Times New Roman" w:cs="Times New Roman" w:eastAsia="Times New Roman" w:hAnsi="Times New Roman"/>
          <w:sz w:val="18"/>
          <w:szCs w:val="18"/>
          <w:b w:val="1"/>
          <w:bCs w:val="1"/>
          <w:color w:val="auto"/>
        </w:rPr>
      </w:pPr>
    </w:p>
    <w:p>
      <w:pPr>
        <w:ind w:firstLine="980"/>
        <w:spacing w:after="0" w:line="282" w:lineRule="auto"/>
        <w:tabs>
          <w:tab w:leader="none" w:pos="1237" w:val="left"/>
        </w:tabs>
        <w:numPr>
          <w:ilvl w:val="2"/>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 of the RSU Award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61" w:lineRule="exact"/>
        <w:rPr>
          <w:rFonts w:ascii="Times New Roman" w:cs="Times New Roman" w:eastAsia="Times New Roman" w:hAnsi="Times New Roman"/>
          <w:sz w:val="18"/>
          <w:szCs w:val="18"/>
          <w:b w:val="1"/>
          <w:bCs w:val="1"/>
          <w:color w:val="auto"/>
        </w:rPr>
      </w:pPr>
    </w:p>
    <w:p>
      <w:pPr>
        <w:ind w:left="1220" w:hanging="240"/>
        <w:spacing w:after="0"/>
        <w:tabs>
          <w:tab w:leader="none" w:pos="1220" w:val="left"/>
        </w:tabs>
        <w:numPr>
          <w:ilvl w:val="2"/>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decisions with respect to future RSU Awards or other grants, if any, will be at the sole discretion of the Company;</w:t>
      </w:r>
    </w:p>
    <w:p>
      <w:pPr>
        <w:spacing w:after="0" w:line="225" w:lineRule="exact"/>
        <w:rPr>
          <w:rFonts w:ascii="Times New Roman" w:cs="Times New Roman" w:eastAsia="Times New Roman" w:hAnsi="Times New Roman"/>
          <w:sz w:val="18"/>
          <w:szCs w:val="18"/>
          <w:b w:val="1"/>
          <w:bCs w:val="1"/>
          <w:color w:val="auto"/>
        </w:rPr>
      </w:pPr>
    </w:p>
    <w:p>
      <w:pPr>
        <w:ind w:left="1240" w:hanging="260"/>
        <w:spacing w:after="0"/>
        <w:tabs>
          <w:tab w:leader="none" w:pos="1240" w:val="left"/>
        </w:tabs>
        <w:numPr>
          <w:ilvl w:val="2"/>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RSU Award shall not create a right to employment or other service relationship with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2" w:name="page173"/>
    <w:bookmarkEnd w:id="172"/>
    <w:p>
      <w:pPr>
        <w:ind w:firstLine="980"/>
        <w:spacing w:after="0" w:line="282" w:lineRule="auto"/>
        <w:tabs>
          <w:tab w:leader="none" w:pos="123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RSU Award shall not be interpreted as forming or amending an employment or service contract with the Company or the Service Recipient, and shall not interfere with the ability of the Company or the Service Recipient, as applicable, to terminate your Continuous Service (if any);</w:t>
      </w:r>
    </w:p>
    <w:p>
      <w:pPr>
        <w:spacing w:after="0" w:line="161" w:lineRule="exact"/>
        <w:rPr>
          <w:rFonts w:ascii="Times New Roman" w:cs="Times New Roman" w:eastAsia="Times New Roman" w:hAnsi="Times New Roman"/>
          <w:sz w:val="18"/>
          <w:szCs w:val="18"/>
          <w:b w:val="1"/>
          <w:bCs w:val="1"/>
          <w:color w:val="auto"/>
        </w:rPr>
      </w:pPr>
    </w:p>
    <w:p>
      <w:pPr>
        <w:ind w:firstLine="980"/>
        <w:spacing w:after="0" w:line="282" w:lineRule="auto"/>
        <w:tabs>
          <w:tab w:leader="none" w:pos="1197"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RSU Award and the shares of Common Stock subject to the RSU Award, and the income from and value of same, are not intended to replace any pension rights or compensation;</w:t>
      </w:r>
    </w:p>
    <w:p>
      <w:pPr>
        <w:spacing w:after="0" w:line="161" w:lineRule="exact"/>
        <w:rPr>
          <w:rFonts w:ascii="Times New Roman" w:cs="Times New Roman" w:eastAsia="Times New Roman" w:hAnsi="Times New Roman"/>
          <w:sz w:val="18"/>
          <w:szCs w:val="18"/>
          <w:b w:val="1"/>
          <w:bCs w:val="1"/>
          <w:color w:val="auto"/>
        </w:rPr>
      </w:pPr>
    </w:p>
    <w:p>
      <w:pPr>
        <w:jc w:val="both"/>
        <w:ind w:firstLine="980"/>
        <w:spacing w:after="0" w:line="266" w:lineRule="auto"/>
        <w:tabs>
          <w:tab w:leader="none" w:pos="124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RSU Award and the shares of Common Stock subject to the RSU Award, and the income from and value of same, are not part of normal or expected compensation for purposes of, including but not limited to, calculating any severance, resignation, termination, redundancy, dismissal, end-of-service payments, bonuses, holiday pay, long-service awards, pension or retirement or welfare benefits or similar payments;</w:t>
      </w:r>
    </w:p>
    <w:p>
      <w:pPr>
        <w:spacing w:after="0" w:line="175" w:lineRule="exact"/>
        <w:rPr>
          <w:rFonts w:ascii="Times New Roman" w:cs="Times New Roman" w:eastAsia="Times New Roman" w:hAnsi="Times New Roman"/>
          <w:sz w:val="18"/>
          <w:szCs w:val="18"/>
          <w:b w:val="1"/>
          <w:bCs w:val="1"/>
          <w:color w:val="auto"/>
        </w:rPr>
      </w:pPr>
    </w:p>
    <w:p>
      <w:pPr>
        <w:ind w:firstLine="980"/>
        <w:spacing w:after="0" w:line="282" w:lineRule="auto"/>
        <w:tabs>
          <w:tab w:leader="none" w:pos="1237"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agreed with the Company in writing, the RSU Award and the shares of Common Stock subject to the RSU Award, and the income from and value of same, are not granted as consideration for, or in connection with, the service you may provide as a director of an Affiliate;</w:t>
      </w:r>
    </w:p>
    <w:p>
      <w:pPr>
        <w:spacing w:after="0" w:line="161" w:lineRule="exact"/>
        <w:rPr>
          <w:rFonts w:ascii="Times New Roman" w:cs="Times New Roman" w:eastAsia="Times New Roman" w:hAnsi="Times New Roman"/>
          <w:sz w:val="18"/>
          <w:szCs w:val="18"/>
          <w:b w:val="1"/>
          <w:bCs w:val="1"/>
          <w:color w:val="auto"/>
        </w:rPr>
      </w:pPr>
    </w:p>
    <w:p>
      <w:pPr>
        <w:ind w:left="1200" w:hanging="220"/>
        <w:spacing w:after="0"/>
        <w:tabs>
          <w:tab w:leader="none" w:pos="120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future value of the underlying shares of Common Stock is unknown, indeterminable and cannot be predicted with certainty;</w:t>
      </w:r>
    </w:p>
    <w:p>
      <w:pPr>
        <w:spacing w:after="0" w:line="225" w:lineRule="exact"/>
        <w:rPr>
          <w:rFonts w:ascii="Times New Roman" w:cs="Times New Roman" w:eastAsia="Times New Roman" w:hAnsi="Times New Roman"/>
          <w:sz w:val="18"/>
          <w:szCs w:val="18"/>
          <w:b w:val="1"/>
          <w:bCs w:val="1"/>
          <w:color w:val="auto"/>
        </w:rPr>
      </w:pPr>
    </w:p>
    <w:p>
      <w:pPr>
        <w:jc w:val="both"/>
        <w:ind w:firstLine="980"/>
        <w:spacing w:after="0" w:line="266" w:lineRule="auto"/>
        <w:tabs>
          <w:tab w:leader="none" w:pos="1197"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claim or entitlement to compensation or damages shall arise from forfeiture of the RSU Award resulting from the termination of your Continuous Service (for any reason whatsoever, whether or not later found to be invalid or in breach of employment laws in the jurisdiction where you are providing service or the terms of your employment or other service agreement, if any);</w:t>
      </w:r>
    </w:p>
    <w:p>
      <w:pPr>
        <w:spacing w:after="0" w:line="175" w:lineRule="exact"/>
        <w:rPr>
          <w:rFonts w:ascii="Times New Roman" w:cs="Times New Roman" w:eastAsia="Times New Roman" w:hAnsi="Times New Roman"/>
          <w:sz w:val="18"/>
          <w:szCs w:val="18"/>
          <w:b w:val="1"/>
          <w:bCs w:val="1"/>
          <w:color w:val="auto"/>
        </w:rPr>
      </w:pPr>
    </w:p>
    <w:p>
      <w:pPr>
        <w:jc w:val="both"/>
        <w:ind w:firstLine="980"/>
        <w:spacing w:after="0" w:line="255" w:lineRule="auto"/>
        <w:tabs>
          <w:tab w:leader="none" w:pos="1237"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the RSU Award, your Continuous Service will be considered terminated as of the date you are no longer actively providing services to the Company or any Affiliate (regardless of the reason for such termination and whether or not later found to be invalid or in breach of employment laws in the jurisdiction where you are providing service or the terms of your employment or other service agreement, if any), and such date will not be extended by any notice period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your period of Continuous Service would not include any contractual notice period or any period of “garden leave” or similar period mandated under employment laws in the jurisdiction where you are providing service or the terms of your employment or other service agreement, if any); the Compensation Committee shall have the exclusive discretion to determine when you are no longer actively providing services for purposes of your RSU Award (including whether you may still be considered to be providing services while on a leave of absence); and</w:t>
      </w:r>
    </w:p>
    <w:p>
      <w:pPr>
        <w:spacing w:after="0" w:line="188" w:lineRule="exact"/>
        <w:rPr>
          <w:rFonts w:ascii="Times New Roman" w:cs="Times New Roman" w:eastAsia="Times New Roman" w:hAnsi="Times New Roman"/>
          <w:sz w:val="18"/>
          <w:szCs w:val="18"/>
          <w:b w:val="1"/>
          <w:bCs w:val="1"/>
          <w:color w:val="auto"/>
        </w:rPr>
      </w:pPr>
    </w:p>
    <w:p>
      <w:pPr>
        <w:jc w:val="both"/>
        <w:ind w:firstLine="980"/>
        <w:spacing w:after="0" w:line="266" w:lineRule="auto"/>
        <w:tabs>
          <w:tab w:leader="none" w:pos="1187"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Company nor the Service Recipient shall be liable for any foreign exchange rate fluctuation between your local currency and the United States Dollar that may affect the value of the Restricted Stock Units or of any amounts due to you pursuant to the settlement of the RSU Award or the subsequent sale of any shares of Common Stock acquired upon settlement.</w:t>
      </w:r>
    </w:p>
    <w:p>
      <w:pPr>
        <w:spacing w:after="0" w:line="171"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841"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the Plan, your RSU Award is not transferable, except by will or by the applicable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and distribution</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28"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the terms of any agreement governing a Corporate Transaction involving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 provision for the appointment of a stockholder representative that is authorized to act on your behalf with respect to any escrow, indemnities and any contingent consideration.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firstLine="656"/>
        <w:spacing w:after="0" w:line="262" w:lineRule="auto"/>
        <w:tabs>
          <w:tab w:leader="none" w:pos="828"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iability for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axes</w:t>
      </w:r>
      <w:r>
        <w:rPr>
          <w:rFonts w:ascii="Times New Roman" w:cs="Times New Roman" w:eastAsia="Times New Roman" w:hAnsi="Times New Roman"/>
          <w:sz w:val="18"/>
          <w:szCs w:val="18"/>
          <w:color w:val="auto"/>
        </w:rPr>
        <w:t>. As a condition to accepting the RSU Award, you hereby (a) agree to not make any claim against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Officers, Directors, Employees or Affiliates related to any Tax Liability arising from the RSU Award and (b) acknowledge that you were advised to consult with your own personal tax, financial and other legal advisors regarding the tax consequences of the RSU Award and have either done so or knowingly and voluntarily declined to do so.</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58"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dvice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egarding</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rant</w:t>
      </w:r>
      <w:r>
        <w:rPr>
          <w:rFonts w:ascii="Times New Roman" w:cs="Times New Roman" w:eastAsia="Times New Roman" w:hAnsi="Times New Roman"/>
          <w:sz w:val="18"/>
          <w:szCs w:val="18"/>
          <w:color w:val="auto"/>
        </w:rPr>
        <w:t>. The Company is not providing any tax, legal or financial advice, nor is the Company making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recommendations regarding the RSU Award, or your acquisition or sale of the underlying shares of Common Stock. You should consult with your own personal tax, legal and financial advisors regarding the RSU Award before taking any action related to the RSU Award.</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21"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 and</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RSU Award and the provisions of this Agreement are governed by, and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laws of the State of Delaware, without regard to the conflict of law principles that would result in any application of any law other than the law of the State of Delaware. For purposes of any action, lawsuit or other proceedings brought to enforce this Agreement, relating to it, or arising from it, the parties hereby submit to and consent to the sole and exclusive jurisdiction of the courts of the State of Delaware, and no other courts, where this grant is made and/or to be performed.</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18"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part of this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18"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ompliance with</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Plan or this Agreement, unless there is an exemption from any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qualification or other legal requirement applicable to the shares of Common Stock, the Company shall not be required to deliver any shares issuable upon settlement of the Restricted Stock Units prior to the completion of any registration or qualification of the shares under any local, state, federal or foreign securities or exchange control law or under rulings or regulations of the U.S.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Further, you agree that the Company shall have unilateral authority to amend the Agreement without your consent to the extent necessary to comply with securities or other laws applicable to issuance of shares of Common Stock.</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31"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LANGUAGE. </w:t>
      </w:r>
      <w:r>
        <w:rPr>
          <w:rFonts w:ascii="Times New Roman" w:cs="Times New Roman" w:eastAsia="Times New Roman" w:hAnsi="Times New Roman"/>
          <w:sz w:val="18"/>
          <w:szCs w:val="18"/>
          <w:color w:val="auto"/>
        </w:rPr>
        <w:t>You acknowledge that you are proficient in the English language, or have consulted with an advisor who is proficient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English language, so as to enable you to understand the provisions of this Agreement and any other terms incorporated by reference herein. If you have received this Agreement or any other document related to the Plan translated into a language other than English and if the meaning of the translated version is different than the English version, the English version will control.</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18"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lectronic</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elivery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articipation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in its sole discretion, decide to deliver any documents related the RSU Award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means. You hereby consent to receive such documents by electronic delivery through an online or electronic system established and maintained by the Company or a third party designated by the Company (the “</w:t>
      </w:r>
      <w:r>
        <w:rPr>
          <w:rFonts w:ascii="Times New Roman" w:cs="Times New Roman" w:eastAsia="Times New Roman" w:hAnsi="Times New Roman"/>
          <w:sz w:val="18"/>
          <w:szCs w:val="18"/>
          <w:b w:val="1"/>
          <w:bCs w:val="1"/>
          <w:i w:val="1"/>
          <w:iCs w:val="1"/>
          <w:color w:val="auto"/>
        </w:rPr>
        <w:t>On-Line Platform</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18"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provisions of this Agreement are severable and if any one or more provisions are determined to be illegal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in whole or in part, the remaining provisions shall nevertheless be binding and enforceable.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4" w:name="page175"/>
    <w:bookmarkEnd w:id="174"/>
    <w:p>
      <w:pPr>
        <w:jc w:val="both"/>
        <w:ind w:firstLine="656"/>
        <w:spacing w:after="0" w:line="262" w:lineRule="auto"/>
        <w:tabs>
          <w:tab w:leader="none" w:pos="918"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APPENDIX. </w:t>
      </w:r>
      <w:r>
        <w:rPr>
          <w:rFonts w:ascii="Times New Roman" w:cs="Times New Roman" w:eastAsia="Times New Roman" w:hAnsi="Times New Roman"/>
          <w:sz w:val="18"/>
          <w:szCs w:val="18"/>
          <w:color w:val="auto"/>
        </w:rPr>
        <w:t>Notwithstanding any provisions in this Inducement RSU Award Agreement, the RSU Award shall be subject to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set forth in any Appendix for your country. Moreover, if you relocate to one of the countries included in the Appendix, the additional terms and conditions for such country will apply to you, to the extent the Company determines that the application of such terms and conditions is necessary or advisable for legal or administrative reasons. The Appendix constitutes part of this Agreement.</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18"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mposition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reserves the right to impose other requirements on the RSU and on any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acquired under this RSU Award, to the extent the Company determines it is necessary or advisable for legal or administrative reasons, and to require you to sign any additional agreements or undertakings that may be necessary to accomplish the foregoing.</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18"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You acknowledge that a waiver by the Company of breach of any provision of this Agreement shall not operate or be construed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of any other provision of this Agreement, or of any subsequent breach by you or any other participant.</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18"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buse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acknowledge that, depending on your or your broker’s country or where the Company shares are listed,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be subject to insider trading restrictions and/or market abuse laws which may affect your ability to accept, acquire, sell or otherwise dispose of shares of Common Stock, rights to shares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Restricted Stock Units) or rights linked to the value of shares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phantom awards, futures) during such times you are considered to have “inside information” regarding the Company as defined in the laws or regulations in the applicable jurisdictions). Local insider trading laws and regulations may prohibit the cancellation or amendment of orders you placed before you possessed inside information. Furthermore, you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insider trading policy of the Company. You are responsible for complying with any restrictions and should speak to your personal advisor on this matter.</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931"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ontrol</w:t>
      </w:r>
      <w:r>
        <w:rPr>
          <w:rFonts w:ascii="Times New Roman" w:cs="Times New Roman" w:eastAsia="Times New Roman" w:hAnsi="Times New Roman"/>
          <w:sz w:val="18"/>
          <w:szCs w:val="18"/>
          <w:b w:val="1"/>
          <w:bCs w:val="1"/>
          <w:color w:val="auto"/>
        </w:rPr>
        <w:t>, F</w:t>
      </w:r>
      <w:r>
        <w:rPr>
          <w:rFonts w:ascii="Times New Roman" w:cs="Times New Roman" w:eastAsia="Times New Roman" w:hAnsi="Times New Roman"/>
          <w:sz w:val="12"/>
          <w:szCs w:val="12"/>
          <w:b w:val="1"/>
          <w:bCs w:val="1"/>
          <w:color w:val="auto"/>
        </w:rPr>
        <w:t>oreign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sset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ccount and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Depending upon the country to which laws you are subject, you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certain foreign asset/account and/or tax reporting requirements that may affect your ability to acquire or hold shares of Common Stock hereunder (including from any dividends or sale proceeds arising from the sale of shares of Common Stock) in a brokerage or bank account outside your country of residence. Your country may require that you report such accounts, assets or transactions to the applicable authorities in your country. You also may be required to repatriate cash received f to your country within a certain period of time after receipt. You are responsible for knowledge of and compliance with any such regulations and should speak with your personal tax, legal and financial advisors regarding same.</w:t>
      </w:r>
    </w:p>
    <w:p>
      <w:pPr>
        <w:spacing w:after="0" w:line="182"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25"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DOCUMENTS. </w:t>
      </w:r>
      <w:r>
        <w:rPr>
          <w:rFonts w:ascii="Times New Roman" w:cs="Times New Roman" w:eastAsia="Times New Roman" w:hAnsi="Times New Roman"/>
          <w:sz w:val="18"/>
          <w:szCs w:val="18"/>
          <w:color w:val="auto"/>
        </w:rPr>
        <w:t>You hereby acknowledge receipt of or the right to receive a document providing the information required by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428(b)(1) promulgated under the Securities Act, which includes the Prospectus. In addition, you acknowledge receipt of the Company’s Trading Policy.</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18"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QUESTIONS. </w:t>
      </w:r>
      <w:r>
        <w:rPr>
          <w:rFonts w:ascii="Times New Roman" w:cs="Times New Roman" w:eastAsia="Times New Roman" w:hAnsi="Times New Roman"/>
          <w:sz w:val="18"/>
          <w:szCs w:val="18"/>
          <w:color w:val="auto"/>
        </w:rPr>
        <w:t>If you have questions regarding these or any other terms and conditions applicable to your RSU Award, including a summary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applicable federal income tax consequences please see the Prospectus.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5" w:name="page176"/>
    <w:bookmarkEnd w:id="1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ppendix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 xml:space="preserve">to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2"/>
          <w:szCs w:val="12"/>
          <w:b w:val="1"/>
          <w:bCs w:val="1"/>
          <w:color w:val="auto"/>
        </w:rPr>
        <w:t xml:space="preserve">nducement </w:t>
      </w:r>
      <w:r>
        <w:rPr>
          <w:rFonts w:ascii="Times New Roman" w:cs="Times New Roman" w:eastAsia="Times New Roman" w:hAnsi="Times New Roman"/>
          <w:sz w:val="17"/>
          <w:szCs w:val="17"/>
          <w:b w:val="1"/>
          <w:bCs w:val="1"/>
          <w:color w:val="auto"/>
        </w:rPr>
        <w:t>RSU A</w:t>
      </w:r>
      <w:r>
        <w:rPr>
          <w:rFonts w:ascii="Times New Roman" w:cs="Times New Roman" w:eastAsia="Times New Roman" w:hAnsi="Times New Roman"/>
          <w:sz w:val="12"/>
          <w:szCs w:val="12"/>
          <w:b w:val="1"/>
          <w:bCs w:val="1"/>
          <w:color w:val="auto"/>
        </w:rPr>
        <w:t xml:space="preserve">ward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greement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intentionally omitted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omplete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olaria</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ode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onduct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thics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ntroduction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committed to maintaining the highest standards of business conduct and ethics. This Code of Business Conduct and Ethics reflects the business practices and principles of behavior that support this commitment. We expect every employee, officer and director to read and understand the Code and its application to the performance of his or her business responsibilities. References in the Code to employees are intended to cover officers and, as applicable, directors. For purposes of this Code, the Chief Compliance Officer (the “</w:t>
      </w:r>
      <w:r>
        <w:rPr>
          <w:rFonts w:ascii="Times New Roman" w:cs="Times New Roman" w:eastAsia="Times New Roman" w:hAnsi="Times New Roman"/>
          <w:sz w:val="18"/>
          <w:szCs w:val="18"/>
          <w:b w:val="1"/>
          <w:bCs w:val="1"/>
          <w:i w:val="1"/>
          <w:iCs w:val="1"/>
          <w:color w:val="auto"/>
        </w:rPr>
        <w:t>Chief Compliance Officer</w:t>
      </w:r>
      <w:r>
        <w:rPr>
          <w:rFonts w:ascii="Times New Roman" w:cs="Times New Roman" w:eastAsia="Times New Roman" w:hAnsi="Times New Roman"/>
          <w:sz w:val="18"/>
          <w:szCs w:val="18"/>
          <w:color w:val="auto"/>
        </w:rPr>
        <w:t>”) (as further described in Section 16) shall be the Company’s General Counsel. In the absence of a General Counsel, the Company’s Chief Financial Officer, or such other designee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serve as the Chief Compliance Officer.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Officers, managers and other supervisors are expected to develop in employees a sense of commitment to the spirit, as well as the letter, of the Code. Supervisors are also expected to ensure that all agents and contractors conform to Code standards when working for or on behalf of Complete Solaria,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compliance environment within each supervisor’s assigned area of responsibility will be a significant factor in evaluating the quality of that individual’s performance. In addition, any employee who makes an exemplary effort to implement and uphold our legal and ethical standards will be recognized for that effort in his or her performance review. Nothing in the Code alters the at-will employment policy of the Company.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Code addresses conduct that is particularly important to proper dealings with the people and entities with whom we interact, but reflects only a part of our commitment. From time to time we may adopt additional policies and procedures with which our employees, officers and directors are expected to comply, if applicable to them. However, it is the responsibility of each employee to apply common sense, together with his or her own highest personal ethical standards, in making business decisions where there is no stated guideline in the Code.</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Action by members of your immediate family, significant others or other persons who live in your household (referred to in the Code as “</w:t>
      </w:r>
      <w:r>
        <w:rPr>
          <w:rFonts w:ascii="Times New Roman" w:cs="Times New Roman" w:eastAsia="Times New Roman" w:hAnsi="Times New Roman"/>
          <w:sz w:val="18"/>
          <w:szCs w:val="18"/>
          <w:b w:val="1"/>
          <w:bCs w:val="1"/>
          <w:i w:val="1"/>
          <w:iCs w:val="1"/>
          <w:color w:val="auto"/>
        </w:rPr>
        <w:t>family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members</w:t>
      </w:r>
      <w:r>
        <w:rPr>
          <w:rFonts w:ascii="Times New Roman" w:cs="Times New Roman" w:eastAsia="Times New Roman" w:hAnsi="Times New Roman"/>
          <w:sz w:val="18"/>
          <w:szCs w:val="18"/>
          <w:color w:val="auto"/>
        </w:rPr>
        <w:t>”) also may potentially result in ethical issues to the extent that they involve Company business. For example, acceptance of inappropriate gifts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family member from one of our suppliers could create a conflict of interest and result in a Code violation attributable to you. Consequently, in complying with the Code, you should consider not only your own conduct, but also that of your family members, significant others and other persons who live in your household.</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2"/>
          <w:szCs w:val="12"/>
          <w:b w:val="1"/>
          <w:bCs w:val="1"/>
          <w:color w:val="auto"/>
        </w:rPr>
        <w:t>ou should not hesitate to ask questions about whether any conduct may violate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voice concerns or clarify gray areas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16 </w:t>
      </w:r>
      <w:r>
        <w:rPr>
          <w:rFonts w:ascii="Times New Roman" w:cs="Times New Roman" w:eastAsia="Times New Roman" w:hAnsi="Times New Roman"/>
          <w:sz w:val="12"/>
          <w:szCs w:val="12"/>
          <w:b w:val="1"/>
          <w:bCs w:val="1"/>
          <w:color w:val="auto"/>
        </w:rPr>
        <w:t>below details the compliance resources available to you</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 addition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you should be alert to possible violations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ode by others and</w:t>
      </w:r>
    </w:p>
    <w:p>
      <w:pPr>
        <w:spacing w:after="0" w:line="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2"/>
          <w:szCs w:val="12"/>
          <w:b w:val="1"/>
          <w:bCs w:val="1"/>
          <w:color w:val="auto"/>
        </w:rPr>
        <w:t>report suspected violations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2"/>
          <w:szCs w:val="12"/>
          <w:b w:val="1"/>
          <w:bCs w:val="1"/>
          <w:color w:val="auto"/>
        </w:rPr>
        <w:t xml:space="preserve"> without fear of any </w:t>
      </w:r>
      <w:r>
        <w:rPr>
          <w:rFonts w:ascii="Times New Roman" w:cs="Times New Roman" w:eastAsia="Times New Roman" w:hAnsi="Times New Roman"/>
          <w:sz w:val="17"/>
          <w:szCs w:val="17"/>
          <w:b w:val="1"/>
          <w:bCs w:val="1"/>
          <w:color w:val="auto"/>
        </w:rPr>
        <w:t>form of retaliation, as further described in Section 16.</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7"/>
          <w:szCs w:val="17"/>
          <w:color w:val="auto"/>
        </w:rPr>
        <w:t>Violations of the Code will not be tolerated.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7"/>
          <w:szCs w:val="17"/>
          <w:color w:val="auto"/>
        </w:rPr>
        <w:t>Any employee who violates the standards in the Code may be subject to disciplinary action, which, depending on the nature of the violation and the history of the employee, may range from a warning or reprimand to and including termination of employment and, in appropriate cases, civil legal action or referral for regulatory or criminal prosecution.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7" w:name="page178"/>
    <w:bookmarkEnd w:id="177"/>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Honest and Ethical Conduct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the policy of the Company to promote high standards of integrity by conducting our affairs in an honest and ethical manner. The integrity and reputation of the Company depends on the honesty, fairness and integrity brought to the job by each person associated with us. Unyielding personal integrity is the foundation of corporate integrity.</w:t>
      </w:r>
    </w:p>
    <w:p>
      <w:pPr>
        <w:spacing w:after="0" w:line="172"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Legal Compliance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Obeying the law, both in letter and in spirit, is the foundation of this Code. Our success depends upon each employee’s operating within legal guidelines and cooperating with local, national and international authorities. We expect employees to understand the legal and regulatory requirements applicable to their business units and areas of responsibility. We hold periodic training sessions to ensure that all employees comply with the relevant laws, rules and regulations associated with their employment, including laws prohibiting insider trading (which are discussed in further detail in Section 3 below). While we do not expect you to memorize every detail of these laws, rules and regulations, we want you to be able to determine when to seek advice from others. If you do have a question in the area of legal compliance, it is important that you not hesitate to seek answers from your supervisor or the Chief Compliance Officer.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Disregard of the law will not be tolerated. Violation of domestic or foreign laws, rules and regulations may subject an individual, as well as the Company, to civil and/or criminal penalties. You should be aware that conduct and records, including emails, are subject to internal and external audits and to discovery by third parties in the event of a government investigation or civil litigation. It is in everyone’s best interests to know and comply with our legal obligations.</w:t>
      </w:r>
    </w:p>
    <w:p>
      <w:pPr>
        <w:spacing w:after="0" w:line="176"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Insider Trading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Employees who have access to confidential (or “inside”) information are not permitted to use or share that information for stock trading purposes or for any other purpose except to conduct our business. All non-public information about the Company or about companies with which we do business is considered confidential information. To use material non-public information in connection with buying or selling securities, including “tipping” others who might make an investment decision on the basis of this information, is not only unethical, it is illegal. Employees must exercise the utmost care when handling material inside information. Please refer to the Company’s Insider Trading Policy for more detailed information.</w:t>
      </w:r>
    </w:p>
    <w:p>
      <w:pPr>
        <w:spacing w:after="0" w:line="179"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International Business Laws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employees are expected to comply with the applicable laws in all countries to which they travel, in which they operate and where we otherwise do business, including laws prohibiting bribery, corruption or the conduct of business with specified individuals, companies or countries. The fact that, in some countries, certain laws are not enforced or that violation of those laws is not subject to public criticism will not be accepted as an excuse for noncompliance. In addition, we expect employees to comply with U.S. laws, rules and regulations governing the conduct of business by its citizens and corporations outside the 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U.S. laws, rules and regulations, which extend to all our activities outside the U.S., include:</w:t>
      </w:r>
    </w:p>
    <w:p>
      <w:pPr>
        <w:spacing w:after="0" w:line="225" w:lineRule="exact"/>
        <w:rPr>
          <w:sz w:val="20"/>
          <w:szCs w:val="20"/>
          <w:color w:val="auto"/>
        </w:rPr>
      </w:pPr>
    </w:p>
    <w:p>
      <w:pPr>
        <w:ind w:left="980" w:right="120" w:hanging="324"/>
        <w:spacing w:after="0" w:line="266"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which prohibits directly or indirectly giving anything of value to a government official to obtain or retain business or favorable treatment and requires the maintenance of accurate books of account, with all company transactions being properly recorded;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8" w:name="page179"/>
    <w:bookmarkEnd w:id="178"/>
    <w:p>
      <w:pPr>
        <w:jc w:val="both"/>
        <w:ind w:left="980" w:hanging="324"/>
        <w:spacing w:after="0" w:line="266"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Embargoes, which generally prohibit U.S. companies, their subsidiaries and their employees from doing business with countries, or traveling to, subject to sanctions imposed by the U.S. government (currently, Burma, Cuba, Iran, North Korea, Sudan and Syria), as well as specific companies and individuals identified on lists published by the U.S. Treasury Department;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Export Controls, which restrict exports from the U.S. and re-exports from other countries of goods, software and technology to many countries, and prohibits transfers of U.S.-origin items to denied persons and entities;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Antiboycott Regulations, which prohibit U.S. companies from taking any action that has the effect of furthering or supporting a restrictive trade practice or boycott imposed by a foreign country against a country friendly to the U.S. or against any U.S. person.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 question as to whether an activity is restricted or prohibited, seek assistance before taking any action, including giving any verbal assurances that might be regulated by international laws.</w:t>
      </w:r>
    </w:p>
    <w:p>
      <w:pPr>
        <w:spacing w:after="0" w:line="158"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Antitrust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Antitrust laws are designed to protect the competitive process. These laws are based on the premise that the public interest is best served by vigorous competition and will suffer from illegal agreements or collusion among competitors. Antitrust laws generally prohibit:</w:t>
      </w:r>
    </w:p>
    <w:p>
      <w:pPr>
        <w:spacing w:after="0" w:line="162" w:lineRule="exact"/>
        <w:rPr>
          <w:sz w:val="20"/>
          <w:szCs w:val="20"/>
          <w:color w:val="auto"/>
        </w:rPr>
      </w:pPr>
    </w:p>
    <w:p>
      <w:pPr>
        <w:ind w:left="980" w:hanging="324"/>
        <w:spacing w:after="0" w:line="282" w:lineRule="auto"/>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formal or informal, with competitors that harm competition or customers, including price fixing and allocations of customers, territories or contracts;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formal or informal, that establish or fix the price at which a customer may resell a product;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or maintenance of a monopoly or attempted monopoly through anti-competitive conduct.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kinds of information, such as pricing, production and inventory, should not be exchanged with competitors, regardless of how innocent or casual the exchange may be and regardless of the setting, whether business or social.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Antitrust laws impose severe penalties for certain types of violations, including criminal penalties and potential fines and damages of millions of dollars, which may be tripled under certain circumstances. Understanding the requirements of antitrust and unfair competition laws of the various jurisdictions where we do business can be difficult, and you are urged to seek assistance from your supervisor or the Compliance Officer whenever you have a question relating to these laws.</w:t>
      </w:r>
    </w:p>
    <w:p>
      <w:pPr>
        <w:spacing w:after="0" w:line="176"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Environmental Compliance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Federal law imposes criminal liability on any person or company that contaminates the environment with any hazardous substance that could cause injury to the community or environment. Violation of environmental laws can involve monetary fines and imprisonment. We expect employees to comply with all applicable environmental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our policy to conduct our business in an environmentally responsible way that minimizes environmental impacts. We are committed to minimizing and, if practicable, eliminating the use of any substance or material that may cause environmental damage, reducing waste generation and disposing of all waste through safe and responsible methods, minimizing environmental risks by employing safe technologies and operating procedures, and being prepared to respond appropriately to accidents and emergencies.</w:t>
      </w:r>
    </w:p>
    <w:p>
      <w:pPr>
        <w:spacing w:after="0" w:line="176"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Conflicts of Interest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respect the rights of our employees to manage their personal affairs and investments and do not wish to impinge on their personal lives. At the same time, employees should avoid conflicts of interest that occur when their personal interests may interfere in any way with the performance of their duties or the best interests of the Company. A conflicting personal interest could result from an expectation of personal gain now or in the future or from a need to satisfy a prior or concurrent personal obligation. We expect our employees to be free from influences that conflict with the best interests of the Company or might deprive the Company their undivided loyalty in business dealings. Even the appearance of a conflict of interest where none actually exists can be damaging and should be avoided. Whether or not a conflict of interest exists or will exist can be unclear. Conflicts of interest are prohibited unless specifically authorized as described below.</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you have any questions about a potential conflict or if you become aware of an actual or potential conflict, and you are not an officer or director of the Company, you should discuss the matter with your supervisor or the Chief Compliance Officer. Supervisors may not authorize conflict of interest matters or make determinations as to whether a problematic conflict of interest exists without first seeking the approval of the Chief Compliance Officer and providing the Chief Compliance Officer with a written description of the activity. If the supervisor is involved in the potential or actual conflict, you should discuss the matter directly with the Chief Compliance Officer. Officers and directors may seek authorizations and determinations from the Company’s Nominating and Governance Committee. Factors that may be considered in evaluating a potential conflict of interest are, among others:</w:t>
      </w:r>
    </w:p>
    <w:p>
      <w:pPr>
        <w:spacing w:after="0" w:line="187" w:lineRule="exact"/>
        <w:rPr>
          <w:sz w:val="20"/>
          <w:szCs w:val="20"/>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may interfere with the employee’s job performance, responsibilities or morale;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employee has access to confidential information;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may interfere with the job performance, responsibilities or morale of others within the organization;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adverse or beneficial impact on our business;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adverse or beneficial impact on our relationships with our customers or suppliers or other service providers;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would enhance or support a competitor’s position;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it would result in financial or other benefit (direct or indirect) to the employee;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it would result in financial or other benefit (direct or indirect) to one of our customers, suppliers or other service providers;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it would appear improper to an outside observer.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ind w:firstLine="648"/>
        <w:spacing w:after="0" w:line="282" w:lineRule="auto"/>
        <w:rPr>
          <w:sz w:val="20"/>
          <w:szCs w:val="20"/>
          <w:color w:val="auto"/>
        </w:rPr>
      </w:pPr>
      <w:r>
        <w:rPr>
          <w:rFonts w:ascii="Times New Roman" w:cs="Times New Roman" w:eastAsia="Times New Roman" w:hAnsi="Times New Roman"/>
          <w:sz w:val="18"/>
          <w:szCs w:val="18"/>
          <w:color w:val="auto"/>
        </w:rPr>
        <w:t>Although no list can include every possible situation in which a conflict of interest could arise, the following are examples of situations that may, depending on the facts and circumstances, involve problematic conflicts of interests:</w:t>
      </w:r>
    </w:p>
    <w:p>
      <w:pPr>
        <w:spacing w:after="0" w:line="158" w:lineRule="exact"/>
        <w:rPr>
          <w:sz w:val="20"/>
          <w:szCs w:val="20"/>
          <w:color w:val="auto"/>
        </w:rPr>
      </w:pPr>
    </w:p>
    <w:p>
      <w:pPr>
        <w:jc w:val="both"/>
        <w:ind w:left="980" w:hanging="324"/>
        <w:spacing w:after="0" w:line="262" w:lineRule="auto"/>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Employment by (including consulting for) or service on the board of a competitor, customer or supplier or other service provider. </w:t>
      </w:r>
      <w:r>
        <w:rPr>
          <w:rFonts w:ascii="Times New Roman" w:cs="Times New Roman" w:eastAsia="Times New Roman" w:hAnsi="Times New Roman"/>
          <w:sz w:val="18"/>
          <w:szCs w:val="18"/>
          <w:color w:val="auto"/>
        </w:rPr>
        <w:t>Activity that enhances or supports the position of a competitor to the detriment of the Company is prohibited, including employment by or service on the board of a competitor. Employment by or service on the board of a customer or supplier or other service provider is generally discouraged and you must seek authorization in advance if you plan to take such a position.</w:t>
      </w:r>
    </w:p>
    <w:p>
      <w:pPr>
        <w:spacing w:after="0" w:line="203"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Owning, directly or indirectly, a significant financial interest in any entity that does business, seeks to do business or competes with us. </w:t>
      </w:r>
      <w:r>
        <w:rPr>
          <w:rFonts w:ascii="Times New Roman" w:cs="Times New Roman" w:eastAsia="Times New Roman" w:hAnsi="Times New Roman"/>
          <w:sz w:val="18"/>
          <w:szCs w:val="18"/>
          <w:color w:val="auto"/>
        </w:rPr>
        <w:t>In addition to the factors described above, persons evaluating ownership in other entities for conflicts of interest will consider the size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nature of the investment; the nature of the relationship between the other entity and the Company; the employee’s access to confidential information and the employee’s ability to influence Company decisions. If you would like to acquire a financial interest of that kind, you must seek approval in advance.</w:t>
      </w:r>
    </w:p>
    <w:p>
      <w:pPr>
        <w:spacing w:after="0" w:line="179"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Soliciting or accepting gifts, favors, loans or preferential treatment from any person or entity that does business or seeks to do business with us. </w:t>
      </w:r>
      <w:r>
        <w:rPr>
          <w:rFonts w:ascii="Times New Roman" w:cs="Times New Roman" w:eastAsia="Times New Roman" w:hAnsi="Times New Roman"/>
          <w:sz w:val="18"/>
          <w:szCs w:val="18"/>
          <w:color w:val="auto"/>
        </w:rPr>
        <w:t>See Section 11 for further discussion of the issues involved in this type of conflict.</w:t>
      </w:r>
    </w:p>
    <w:p>
      <w:pPr>
        <w:spacing w:after="0" w:line="154" w:lineRule="exact"/>
        <w:rPr>
          <w:rFonts w:ascii="Times New Roman" w:cs="Times New Roman" w:eastAsia="Times New Roman" w:hAnsi="Times New Roman"/>
          <w:sz w:val="18"/>
          <w:szCs w:val="18"/>
          <w:color w:val="auto"/>
        </w:rPr>
      </w:pPr>
    </w:p>
    <w:p>
      <w:pPr>
        <w:ind w:left="980" w:right="560" w:hanging="324"/>
        <w:spacing w:after="0" w:line="286" w:lineRule="auto"/>
        <w:tabs>
          <w:tab w:leader="none" w:pos="9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Soliciting contributions to any charity or for any political candidate from any person or entity that does business or seeks to do business with us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Taking personal advantage of corporate opportunities. </w:t>
      </w:r>
      <w:r>
        <w:rPr>
          <w:rFonts w:ascii="Times New Roman" w:cs="Times New Roman" w:eastAsia="Times New Roman" w:hAnsi="Times New Roman"/>
          <w:sz w:val="18"/>
          <w:szCs w:val="18"/>
          <w:color w:val="auto"/>
        </w:rPr>
        <w:t>See Section 8 for further discussion of the issues involved in this type of conflict.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Moonlighting without permission.</w:t>
      </w:r>
    </w:p>
    <w:p>
      <w:pPr>
        <w:spacing w:after="0" w:line="252" w:lineRule="exact"/>
        <w:rPr>
          <w:rFonts w:ascii="Times New Roman" w:cs="Times New Roman" w:eastAsia="Times New Roman" w:hAnsi="Times New Roman"/>
          <w:sz w:val="18"/>
          <w:szCs w:val="18"/>
          <w:b w:val="1"/>
          <w:bCs w:val="1"/>
          <w:color w:val="auto"/>
        </w:rPr>
      </w:pPr>
    </w:p>
    <w:p>
      <w:pPr>
        <w:jc w:val="both"/>
        <w:ind w:left="980" w:hanging="324"/>
        <w:spacing w:after="0" w:line="268" w:lineRule="auto"/>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Conducting our business transactions with your family member or a business in which you have a significant financial interest. </w:t>
      </w:r>
      <w:r>
        <w:rPr>
          <w:rFonts w:ascii="Times New Roman" w:cs="Times New Roman" w:eastAsia="Times New Roman" w:hAnsi="Times New Roman"/>
          <w:sz w:val="18"/>
          <w:szCs w:val="18"/>
          <w:color w:val="auto"/>
        </w:rPr>
        <w:t>Material related-party transactions approved by the Audit Committee and involving any executive officer or director will be publicly disclosed as required by applicable laws and regulations in keeping with the Company’s Related Persons Transactions Policy.</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86" w:lineRule="auto"/>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Exercising supervisory or other authority on behalf of the Company over a co-worker who is also a family member</w:t>
      </w:r>
      <w:r>
        <w:rPr>
          <w:rFonts w:ascii="Times New Roman" w:cs="Times New Roman" w:eastAsia="Times New Roman" w:hAnsi="Times New Roman"/>
          <w:sz w:val="18"/>
          <w:szCs w:val="18"/>
          <w:color w:val="auto"/>
        </w:rPr>
        <w:t>. The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supervisor and/or the Chief Compliance Officer will consult with the Human Resources department to assess the advisability of reassignment.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Loans to, or guarantees of obligations of, employees or their family members by the Company could constitute an improper personal benefit to the recipients of these loans or guarantees, depending on the facts and circumstances. Some loans are expressly prohibited by law and applicable law requires that our Board of Directors approve all loans and guarantees to employees. As a result, all loans and guarantees by the Company must be approved in advance by the Board of Directors after recommendation of the Board’s Nominating and Corporate Governance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Corporate Opportunities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may not take personal advantage of opportunities for the Company that are presented to you or discovered by you as a result of your position with us or through your use of corporate property or information, unless authorized by your supervisor, the Chief Compliance Officer or the Audit Committee, as described in Section 7 above. Even opportunities that are acquired privately by you may be questionable if they are related to our existing or proposed lines of business. Significant participation in an investment or outside business opportunity that is directly related to our lines of business must be pre-approved. You may not use your position with us or corporate property or information for improper personal gain, nor should you compete with us in any way.</w:t>
      </w:r>
    </w:p>
    <w:p>
      <w:pPr>
        <w:spacing w:after="0" w:line="183"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Maintenance of Corporate Books, Records, Documents and Accounts; Financial Integrity; Public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integrity of our records and public disclosure depends upon the validity, accuracy and completeness of the information supporting the entries to our books of account. Therefore, our corporate and business records should be completed accurately and honestly. The making of false or misleading entries, whether they relate to financial results or test results, is strictly prohibited. Our records serve as a basis for managing our business and are important in meeting our obligations to customers, suppliers, creditors, employees and others with whom we do business. As a result, it is important that our books, records and accounts accurately and fairly reflect, in reasonable detail, our assets, liabilities, revenues, costs and expenses, as well as all transactions and changes in assets and liabilities. We require that:</w:t>
      </w:r>
    </w:p>
    <w:p>
      <w:pPr>
        <w:spacing w:after="0" w:line="187" w:lineRule="exact"/>
        <w:rPr>
          <w:sz w:val="20"/>
          <w:szCs w:val="20"/>
          <w:color w:val="auto"/>
        </w:rPr>
      </w:pPr>
    </w:p>
    <w:p>
      <w:pPr>
        <w:ind w:left="980" w:hanging="324"/>
        <w:spacing w:after="0" w:line="282"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entry be made in our books and records that intentionally hides or disguises the nature of any transaction or of any of our liabilities or misclassifies any transactions as to accounts or accounting periods;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 supported by appropriate documentation;</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sales and other commercial transactions be reflected accurately in the documentation for those transactions and all such documentation be reflected accurately in our books and records;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comply with our system of internal controls;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cash or other assets be maintained for any purpose in any unrecorded or “off-the-books” fund.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accounting records are also relied upon to produce reports for our management, stockholders and creditors, as well as for governmental agencies. In particular, we rely upon our accounting and other business and corporate records in preparing the periodic and current reports that we file with the SEC. Securities laws require that these reports provide full, fair, accurate, timely and understandable disclosure and fairly present our financial condition and results of operations. Employees who collect, provide or analyze information for or otherwise contribute in any way in preparing or verifying these reports should strive to ensure that our financial disclosure is accurate and transparent and that our reports contain all of the information about the Company that would be important to enable stockholders and potential investors to assess the soundness and risks of our business and finances and the quality and integrity of our accounting and disclosures. In addition: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2" w:name="page183"/>
    <w:bookmarkEnd w:id="182"/>
    <w:p>
      <w:pPr>
        <w:ind w:left="980" w:hanging="324"/>
        <w:spacing w:after="0" w:line="282" w:lineRule="auto"/>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may take or authorize any action that would intentionally cause our financial records or financial disclosure to fail to comply with generally accepted accounting principles, the rules and regulations of the SEC or other applicable laws, rules and regulations;</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must cooperate fully with our Finance and Accounting Department, as well as our independent public accountants and counsel, respond to their questions with candor and provide them with complete and accurate information to help ensure that our books and records, as well as our reports filed with the SEC, are accurate and complete; and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should knowingly make (or cause or encourage any other person to make) any false or misleading statement in any of our reports filed with the SEC or knowingly omit (or cause or encourage any other person to omit) any information necessary to make the disclosure in any of our reports accurate in all material respects.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employee who becomes aware of any departure from these standards has a responsibility to report his or her knowledge promptly to a supervisor, the Chief Compliance Officer, the Audit Committee of the Board or one of the other compliance resources described in Section 16 or in accordance with the provisions of the Company’s Whistleblower Policy on reporting complaints regarding accounting and auditing matters.</w:t>
      </w:r>
    </w:p>
    <w:p>
      <w:pPr>
        <w:spacing w:after="0" w:line="172"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Fair Dealing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strive to outperform our competition fairly and honestly. Advantages over our competitors are to be obtained through superior performance of our products and services, not through unethical or illegal business practices. Acquiring proprietary information from others through improper means, possessing trade secret information that was improperly obtained, or inducing improper disclosure of confidential information from past or present employees of other companies is prohibited, even if motivated by an intention to advance our interests. If information is obtained by mistake that may constitute a trade secret or other confidential information of another business, or if you have any questions about the legality of proposed information gathering, you must consult your supervisor or the Chief Compliance Officer, as further described in Section 16.</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are expected to deal fairly with our customers, suppliers, employees and anyone else with whom you have contact in the course of performing your job. Be aware that the Federal Trade Commission Act provides that “unfair methods of competition in commerce, and unfair or deceptive acts or practices in commerce, are declared unlawful.” It is a violation of the Act to engage in deceptive, unfair or unethical practices and to make misrepresentations in connection with sales activities.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Employees involved in procurement have a special responsibility to adhere to principles of fair competition in the purchase of products and services by selecting suppliers based exclusively on normal commercial considerations, such as quality, cost, availability, service and reputation, and not on the receipt of special favors.</w:t>
      </w:r>
    </w:p>
    <w:p>
      <w:pPr>
        <w:spacing w:after="0" w:line="172"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Gifts and Entertainment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Business gifts and entertainment are meant to create goodwill and sound working relationships and not to gain improper advantage with customers or facilitate approvals from government officials. The exchange, as a normal business courtesy, of meals or entertainment (such as tickets to a game or the theatre or a round of golf) is a common and acceptable practice as long as it is not extravagant. Unless express permission is received from a supervisor, the Chief Compliance Officer or the Audit Committee, gifts and entertainment cannot be offered, provided or accepted by any employee unless consistent with customary business practices and not (a) of more than token or nominal monetary value, (b) in cash, (c) susceptible of being construed as a bribe or kickback, (d) made or received on a regular or frequent basis or (e) in violation of any laws. This principle applies to our transactions everywhere in the world, even where the practice is widely considered “a way of doing business.” Employees should not accept gifts or entertainment that may reasonably be deemed to affect their judgment or actions in the performance of their duties. Our customers, suppliers and the public at large should know that our employees’ judgment is not for sale.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some statutes, such as the U.S. Foreign Corrupt Practices Act, giving anything of value to a government official to obtain or retain business or favorable treatment is a criminal act subject to prosecution and conviction. Furthermore, gratuities and payments to physicians and teaching hospitals must be in accordance with federal and state laws, including the federal Anti-Kickback Statute and Physician Payments Sunshine Act and similar state laws. Discuss with your supervisor or the Chief Compliance Officer any proposed entertainment or gifts if you are uncertain about their appropriateness.</w:t>
      </w:r>
    </w:p>
    <w:p>
      <w:pPr>
        <w:spacing w:after="0" w:line="176"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Protection and Proper Use of Company Assets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employees are expected to protect our assets and ensure their efficient use. Theft, carelessness and waste have a direct impact on our profitability. Our property, such as office supplies, computer equipment, and buildings, are expected to be used only for legitimate business purposes, although incidental personal use may be permitted. You may not, however, use our corporate name, any brand name or trademark owned or associated with the Company or any letterhead stationery for any personal purpose.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not, while acting on behalf of the Company or while using our computing or communications equipment or facilities, either:</w:t>
      </w:r>
    </w:p>
    <w:p>
      <w:pPr>
        <w:spacing w:after="0" w:line="225" w:lineRule="exact"/>
        <w:rPr>
          <w:sz w:val="20"/>
          <w:szCs w:val="20"/>
          <w:color w:val="auto"/>
        </w:rPr>
      </w:pPr>
    </w:p>
    <w:p>
      <w:pPr>
        <w:ind w:left="980" w:right="20" w:hanging="324"/>
        <w:spacing w:after="0" w:line="282" w:lineRule="auto"/>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the internal computer system (also known as “hacking”) or other resource of another entity without express written authorization from the entity responsible for operating that resource; 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any unlawful or illegal act, including harassment, libel, fraud, sending of unsolicited bulk email (also known as “spam”) or material of objectionable content in violation of applicable law, trafficking in contraband of any kind or any kind of espionage.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receive authorization to access another entity’s internal computer system or other resource, you must make a permanent record of that authorization so that it may be retrieved for future reference, and you may not exceed the scope of that authorization.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Unsolicited bulk email is regulated by law in a number of jurisdictions. If you intend to send unsolicited bulk email to persons outside of the Company, either while acting on our behalf or using our computing or communications equipment or facilities, you should contact your supervisor or the Chief Compliance Officer for prior approval.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data residing on or transmitted through our computing and communications facilities, including email and word processing documents, is the property of the Company and subject to inspection, retention and review by the Company, with or without an employee’s or third party’s knowledge, consent or approval, in accordance with applicable law. Any misuse or suspected misuse of our assets must be immediately reported to your supervisor or the Chief Compliance Officer.</w:t>
      </w:r>
    </w:p>
    <w:p>
      <w:pPr>
        <w:spacing w:after="0" w:line="176"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Confidentiality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One of our most important assets is our confidential information. As an employee of the Company, you may learn of information about the Company that is confidential and proprietary. You also may learn of information before that information is released to the general public. Employees who have received or have access to confidential information should take care to keep this information confidential. Confidential information includes non-public information that might be of use to competitors or harmful to the Company or its customers if disclosed, such as business plans, scientific and technical strategies, financial information, information related to the Company’s research, testing platforms and sequencing methods, data and results, inventions, works of authorship, trade secrets, processes, conceptions, formulas, patents, patent applications, licenses, suppliers, manufacturers, customers, market data, personnel data, personally identifiable information pertaining to our employees, customers or other individuals (including, for example, names, addresses, telephone numbers and social security numbers), and similar types of information provided to us by our customers, suppliers and partners. This information may be protected by patent, trademark, copyright and trade secret 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because we interact with other companies and organizations, there may be times when you learn confidential information about other companies before that information has been made available to the public. You must treat this information in the same manner as you are required to treat our confidential and proprietary information. There may even be times when you must treat as confidential the fact that we have an interest in, or are involved with, another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expected to keep confidential and proprietary information confidential unless and until that information is released to the public through approved channels (usually through a press release, an SEC filing or a formal communication from a member of senior management, as further described in Section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14). Every employee has a duty to refrain from disclosing to any person confidential or proprietary information about us or any other company learned in the course of employment here, until that information is disclosed to the public through approved channels. This policy requires you to refrain from discussing confidential or proprietary information with outsiders and even with other employees of the Company, unless those fellow employees have a legitimate need to know the information in order to perform their job duties. Unauthorized use or distribution of this information could also be illegal and result in civil liability and/or criminal penalties.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also take care not to inadvertently disclose confidential information. Materials that contain confidential information, such as memos, notebooks, computer disks and laptop computers, should be stored securely. Unauthorized posting or discussion of any information concerning our business, information or prospects on the Internet is prohibited. You may not discuss our business, information or prospects in any “chat room,” regardless of whether you use your own name or a pseudonym. Be cautious when discussing sensitive information in public places like elevators, airports, restaurants and “quasi-public” areas in and around our place of business. All Company emails, voicemails and other communications are presumed confidential and should not be forwarded or otherwise disseminated outside of the Company except where required for legitimate business purposes.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above responsibilities, if you are handling information protected by any privacy policy published by us, such as our website privacy policy, then you must handle that information in accordance with the applicable policy.</w:t>
      </w:r>
    </w:p>
    <w:p>
      <w:pPr>
        <w:spacing w:after="0" w:line="158"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Media/Public Discussions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is our policy to disclose material information concerning Complete Solaria, Inc. to the public only through specific limited channels to avoid inappropriate publicity and to ensure that all those with an interest in the company will have equal access to information. All inquiries or calls from the press and financial analysts should be referred to the Company’s Chief Executive Officer, President and Chief Operating Officer or Chief Financial Officer. We have designated our CEO and CFO as our official spokespersons for financial matters. We have designated our CEO, President and CFO as our official spokespersons for scientific, clinical, technical and other related information. Unless a specific exception has been made by the CEO, President or CFO, these designees are the only people who may communicate with the press on behalf of the Company. You also may not provide any information to the media about us off the record, for background, confidentially or secretly.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Waivers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waiver of this Code for executive officers (including, where required by applicable laws, our principal executive officer, principal financial officer, principal accounting officer or controller (or persons performing similar functions)) or directors may be authorized only by our Board of Directors or, to the extent permitted by the rules of Nasdaq and our Corporate Governance Guidelines, a committee of the Board and will be disclosed to stockholders as required by applicable laws, rules and regulations.</w:t>
      </w:r>
    </w:p>
    <w:p>
      <w:pPr>
        <w:spacing w:after="0" w:line="176"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Standards and Procedures Compliance Resources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facilitate compliance with this Code and other Company compliance policies, we have implemented a program of Code awareness, training and review. We have appointed a Chief Compliance Officer to oversee this program. The Chief Compliance Officer is a person to whom you can address any questions or concerns. In addition to fielding questions or concerns with respect to potential violations of this Code, the Chief Compliance Officer is responsible for:</w:t>
      </w:r>
    </w:p>
    <w:p>
      <w:pPr>
        <w:spacing w:after="0" w:line="180" w:lineRule="exact"/>
        <w:rPr>
          <w:sz w:val="20"/>
          <w:szCs w:val="20"/>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possible violations of the Code;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new employees in Code policies;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annual training sessions to refresh employees’ familiarity with the Code;</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distributing copies of the Code annually via email and the Company’s secure internal human resources website to each employee with a reminder that each employee is responsible for reading, understanding and complying with the Code;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the Code as needed and alerting employees to any updates, with appropriate approval of the Board of Directors, as appropriate, to reflect changes in the law, Company operations and in recognized best practices, and to reflect the Company’s experience;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promoting an atmosphere of responsible and ethical conduct.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Your most immediate resource for any matter related to the Code is your supervisor. He or she may have the information you need or may be able to refer the question to another appropriate source. There may, however, be times when you prefer not to go to your supervisor. In these instances, you should feel free to discuss your concern with the Chief Compliance Officer. If you are uncomfortable speaking with the Chief Compliance Officer because he or she works in your department or is one of your supervisors, please contact the Chief Executive Officer. Of course, if your concern involves potential misconduct by another person and relates to questionable accounting or auditing matters under the Company’s Whistleblower Policy, you may report that violation as set forth in such policy.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6" w:name="page187"/>
    <w:bookmarkEnd w:id="18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Clarifying Questions and Concerns; Reporting Possible Violations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encounter a situation or are considering a course of action and its appropriateness is unclear, discuss the matter promptly with your supervisor or the Chief Compliance Officer; even the appearance of impropriety can be very damaging and should be avoided.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you are aware of a suspected or actual violation of laws, regulations, the Code or any other Company policy, you have a responsibility to report it. You are expected to promptly provide a compliance resource with a specific description of the violation that you believe has occurred, including any information you have about the persons involved and the time of the violation. Further, the Company encourages and expects each of us to report when we feel we are being pressured to compromise standards that may lead to a potential violation. Please report these matters directly to your manager or the Chief Compliance Officer ([●]). We will take prompt disciplinary action against any employee who retaliates against you, including termination of employment.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Whether you choose to speak with your supervisor or the Chief Compliance Officer, you should do so without fear of any form of retaliation. The Company does not tolerate retaliation in any form against anyone who in good faith reports suspected violations or unethical behavior or who participates in an investigation regarding suspected violations or unethical behavior. If you feel that you have been retaliated against in any manner whatsoever, please notify the Chief Compliance Officer ([ ● ]) immediately. Those who engage in retaliation will be subject to disciplinary action up to and including termination.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for any reason you do not wish to discuss suspected violations or unethical behavior directly with the Company, please contact the Company’s Toll-Free Hotline. Calls may be made for any reason at any time, around the clock. In order to provide additional assurance of anonymity, all Hotline calls are taken by a trained third-party vendor. The toll free number to call in North America is 1 (833) 636-3127. If you are outside North America, or if you prefer to use the internet, you may voice your concerns by filling out the web form located at www.whistleblowerservices.com/CSLR.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Supervisors must promptly report any complaints or observations of Code violations to the Chief Compliance Officer. If you believe your supervisor has not taken appropriate action, you should contact the Chief Compliance Officer directly. The Chief Compliance Officer will investigate all reported possible Code violations promptly and with the highest degree of confidentiality that is possible under the specific circumstances. Neither you nor your supervisor may conduct any preliminary investigation, unless authorized to do so by the Chief Compliance Officer. Your cooperation in the investigation will be expected. As needed, the Chief Compliance Officer will consult with legal counsel, the Human Resources department and/or Audit Committee of the Board of Directors. It is our policy to employ a fair process by which to determine violations of the Code.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any complaints or observations of violations that may involve accounting, internal accounting controls and auditing concerns, under the Company’s Whistleblower Policy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Chief Compliance Officer shall promptly inform the Audit Committee, and the Audit Committee shall be responsible for supervising and overseeing the inquiry and any investigation that is undertaken. If a potential violation is reported via the confidential hotline or email address as provided under the Whistleblower Policy, the Audit Committee will be notified automatically and directly.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investigation indicates that a violation of the Code has probably occurred, we will take such action as we believe to be appropriate under the circumstances. If we determine that an employee is responsible for a Code violation, he or she will be subject to disciplinary action up to, and including, termination of employment and, in appropriate cases, civil action or referral for criminal prosecution. Appropriate action may also be taken to deter any future Code violations.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RULES 13a-14(a) AND 15d-14(a) UNDER THE SECURITIES EXCHANGE ACT OF 1934,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Thurman J. Rodgers, certify that:</w:t>
      </w:r>
    </w:p>
    <w:p>
      <w:pPr>
        <w:spacing w:after="0" w:line="225"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28, 2025 of SunPower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jc w:val="both"/>
        <w:ind w:left="980" w:hanging="324"/>
        <w:spacing w:after="0" w:line="266" w:lineRule="auto"/>
        <w:tabs>
          <w:tab w:leader="none" w:pos="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980" w:hanging="323"/>
        <w:spacing w:after="0" w:line="266" w:lineRule="auto"/>
        <w:tabs>
          <w:tab w:leader="none" w:pos="960" w:val="left"/>
        </w:tabs>
        <w:rPr>
          <w:sz w:val="20"/>
          <w:szCs w:val="20"/>
          <w:color w:val="auto"/>
        </w:rPr>
      </w:pPr>
      <w:r>
        <w:rPr>
          <w:rFonts w:ascii="Times New Roman" w:cs="Times New Roman" w:eastAsia="Times New Roman" w:hAnsi="Times New Roman"/>
          <w:sz w:val="12"/>
          <w:szCs w:val="12"/>
          <w:color w:val="auto"/>
        </w:rPr>
        <w:t>b</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left="980" w:hanging="324"/>
        <w:spacing w:after="0" w:line="282" w:lineRule="auto"/>
        <w:tabs>
          <w:tab w:leader="none" w:pos="9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14, 2026</w:t>
      </w:r>
      <w:r>
        <w:rPr>
          <w:sz w:val="20"/>
          <w:szCs w:val="20"/>
          <w:color w:val="auto"/>
        </w:rPr>
        <w:tab/>
      </w:r>
      <w:r>
        <w:rPr>
          <w:rFonts w:ascii="Times New Roman" w:cs="Times New Roman" w:eastAsia="Times New Roman" w:hAnsi="Times New Roman"/>
          <w:sz w:val="18"/>
          <w:szCs w:val="18"/>
          <w:color w:val="auto"/>
        </w:rPr>
        <w:t>By: /s/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and Executive Chairman</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RULES 13a-14(a) AND 15d-14(a) UNDER THE SECURITIES EXCHANGE ACT OF 1934,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Wendell Laidley, certify that:</w:t>
      </w:r>
    </w:p>
    <w:p>
      <w:pPr>
        <w:spacing w:after="0" w:line="225"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28, 2025 of SunPower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980" w:hanging="323"/>
        <w:spacing w:after="0" w:line="266" w:lineRule="auto"/>
        <w:tabs>
          <w:tab w:leader="none" w:pos="960" w:val="left"/>
        </w:tabs>
        <w:rPr>
          <w:sz w:val="20"/>
          <w:szCs w:val="20"/>
          <w:color w:val="auto"/>
        </w:rPr>
      </w:pPr>
      <w:r>
        <w:rPr>
          <w:rFonts w:ascii="Times New Roman" w:cs="Times New Roman" w:eastAsia="Times New Roman" w:hAnsi="Times New Roman"/>
          <w:sz w:val="12"/>
          <w:szCs w:val="12"/>
          <w:color w:val="auto"/>
        </w:rPr>
        <w:t>b</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left="980" w:hanging="324"/>
        <w:spacing w:after="0" w:line="282" w:lineRule="auto"/>
        <w:tabs>
          <w:tab w:leader="none" w:pos="9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14, 2026</w:t>
      </w:r>
      <w:r>
        <w:rPr>
          <w:sz w:val="20"/>
          <w:szCs w:val="20"/>
          <w:color w:val="auto"/>
        </w:rPr>
        <w:tab/>
      </w:r>
      <w:r>
        <w:rPr>
          <w:rFonts w:ascii="Times New Roman" w:cs="Times New Roman" w:eastAsia="Times New Roman" w:hAnsi="Times New Roman"/>
          <w:sz w:val="18"/>
          <w:szCs w:val="18"/>
          <w:color w:val="auto"/>
        </w:rPr>
        <w:t>By: /s/ Wendell Laidley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Wendell Laidley</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Thurman J. Rodgers, Chief Executive Officer of SunPower, Inc. (the “Company”), certifies that, to the best of his knowledge:</w:t>
      </w:r>
    </w:p>
    <w:p>
      <w:pPr>
        <w:spacing w:after="0" w:line="176" w:lineRule="exact"/>
        <w:rPr>
          <w:sz w:val="20"/>
          <w:szCs w:val="20"/>
          <w:color w:val="auto"/>
        </w:rPr>
      </w:pPr>
    </w:p>
    <w:p>
      <w:pPr>
        <w:ind w:left="660" w:hanging="652"/>
        <w:spacing w:after="0" w:line="282" w:lineRule="auto"/>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fiscal year ended December 28, 2025, to which this Certification is attached as Exhibit 32.1 (the “Annual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14, 2026</w:t>
      </w:r>
      <w:r>
        <w:rPr>
          <w:sz w:val="20"/>
          <w:szCs w:val="20"/>
          <w:color w:val="auto"/>
        </w:rPr>
        <w:tab/>
      </w:r>
      <w:r>
        <w:rPr>
          <w:rFonts w:ascii="Times New Roman" w:cs="Times New Roman" w:eastAsia="Times New Roman" w:hAnsi="Times New Roman"/>
          <w:sz w:val="17"/>
          <w:szCs w:val="17"/>
          <w:color w:val="auto"/>
        </w:rPr>
        <w:t>/s/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Annual Report to which it relates, is not deemed filed with the Securities and Exchange Commission and is not to be incorporated by reference into any filing of the Company under the Securities Act of 1933, as amended, or the Exchange Act (whether made before or after the date of the Annual Report),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Wendell Laidley, Chief Financial Officer of SunPower, Inc. (the “Company”), certifies that, to the best of his knowledge:</w:t>
      </w:r>
    </w:p>
    <w:p>
      <w:pPr>
        <w:spacing w:after="0" w:line="176" w:lineRule="exact"/>
        <w:rPr>
          <w:sz w:val="20"/>
          <w:szCs w:val="20"/>
          <w:color w:val="auto"/>
        </w:rPr>
      </w:pPr>
    </w:p>
    <w:p>
      <w:pPr>
        <w:ind w:left="660" w:hanging="652"/>
        <w:spacing w:after="0" w:line="282" w:lineRule="auto"/>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fiscal year ended December 28, 2025, to which this Certification is attached as Exhibit 32.2 (the “Annual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14, 2026</w:t>
      </w:r>
      <w:r>
        <w:rPr>
          <w:sz w:val="20"/>
          <w:szCs w:val="20"/>
          <w:color w:val="auto"/>
        </w:rPr>
        <w:tab/>
      </w:r>
      <w:r>
        <w:rPr>
          <w:rFonts w:ascii="Times New Roman" w:cs="Times New Roman" w:eastAsia="Times New Roman" w:hAnsi="Times New Roman"/>
          <w:sz w:val="17"/>
          <w:szCs w:val="17"/>
          <w:color w:val="auto"/>
        </w:rPr>
        <w:t>/s/ Wendell Laidley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Wendell Laidley</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Annual Report to which it relates, is not deemed filed with the Securities and Exchange Commission and is not to be incorporated by reference into any filing of the Company under the Securities Act of 1933, as amended, or the Exchange Act (whether made before or after the date of the Annual Report),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lvl w:ilvl="1">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1)"/>
      <w:numFmt w:val="lowerRoman"/>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1)"/>
      <w:numFmt w:val="decimal"/>
      <w:start w:val="1"/>
    </w:lvl>
  </w:abstractNum>
  <w:abstractNum w:abstractNumId="27">
    <w:nsid w:val="1A32234B"/>
    <w:multiLevelType w:val="hybridMultilevel"/>
    <w:lvl w:ilvl="0">
      <w:lvlJc w:val="left"/>
      <w:lvlText w:val="(%1)"/>
      <w:numFmt w:val="decimal"/>
      <w:start w:val="2"/>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1)"/>
      <w:numFmt w:val="decimal"/>
      <w:start w:val="1"/>
    </w:lvl>
  </w:abstractNum>
  <w:abstractNum w:abstractNumId="35">
    <w:nsid w:val="1A27709E"/>
    <w:multiLevelType w:val="hybridMultilevel"/>
    <w:lvl w:ilvl="0">
      <w:lvlJc w:val="left"/>
      <w:lvlText w:val="(%1)"/>
      <w:numFmt w:val="lowerRoman"/>
      <w:start w:val="1"/>
    </w:lvl>
  </w:abstractNum>
  <w:abstractNum w:abstractNumId="36">
    <w:nsid w:val="71EA1109"/>
    <w:multiLevelType w:val="hybridMultilevel"/>
    <w:lvl w:ilvl="0">
      <w:lvlJc w:val="left"/>
      <w:lvlText w:val="(%1)"/>
      <w:numFmt w:val="decimal"/>
      <w:start w:val="1"/>
    </w:lvl>
  </w:abstractNum>
  <w:abstractNum w:abstractNumId="37">
    <w:nsid w:val="100F59DC"/>
    <w:multiLevelType w:val="hybridMultilevel"/>
    <w:lvl w:ilvl="0">
      <w:lvlJc w:val="left"/>
      <w:lvlText w:val="(%1)"/>
      <w:numFmt w:val="decimal"/>
      <w:start w:val="1"/>
    </w:lvl>
  </w:abstractNum>
  <w:abstractNum w:abstractNumId="38">
    <w:nsid w:val="7FB7E0AA"/>
    <w:multiLevelType w:val="hybridMultilevel"/>
    <w:lvl w:ilvl="0">
      <w:lvlJc w:val="left"/>
      <w:lvlText w:val="(%1)"/>
      <w:numFmt w:val="decimal"/>
      <w:start w:val="4"/>
    </w:lvl>
  </w:abstractNum>
  <w:abstractNum w:abstractNumId="39">
    <w:nsid w:val="6EB5BD4"/>
    <w:multiLevelType w:val="hybridMultilevel"/>
    <w:lvl w:ilvl="0">
      <w:lvlJc w:val="left"/>
      <w:lvlText w:val="(%1)"/>
      <w:numFmt w:val="decimal"/>
      <w:start w:val="1"/>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1)"/>
      <w:numFmt w:val="decimal"/>
      <w:start w:val="1"/>
    </w:lvl>
  </w:abstractNum>
  <w:abstractNum w:abstractNumId="44">
    <w:nsid w:val="4C04A8AF"/>
    <w:multiLevelType w:val="hybridMultilevel"/>
    <w:lvl w:ilvl="0">
      <w:lvlJc w:val="left"/>
      <w:lvlText w:val="(%1)"/>
      <w:numFmt w:val="decimal"/>
      <w:start w:val="1"/>
    </w:lvl>
  </w:abstractNum>
  <w:abstractNum w:abstractNumId="45">
    <w:nsid w:val="1716703B"/>
    <w:multiLevelType w:val="hybridMultilevel"/>
    <w:lvl w:ilvl="0">
      <w:lvlJc w:val="left"/>
      <w:lvlText w:val="(%1)"/>
      <w:numFmt w:val="decimal"/>
      <w:start w:val="1"/>
    </w:lvl>
  </w:abstractNum>
  <w:abstractNum w:abstractNumId="46">
    <w:nsid w:val="14E17E33"/>
    <w:multiLevelType w:val="hybridMultilevel"/>
    <w:lvl w:ilvl="0">
      <w:lvlJc w:val="left"/>
      <w:lvlText w:val="(%1)"/>
      <w:numFmt w:val="decimal"/>
      <w:start w:val="1"/>
    </w:lvl>
  </w:abstractNum>
  <w:abstractNum w:abstractNumId="47">
    <w:nsid w:val="3222E7CD"/>
    <w:multiLevelType w:val="hybridMultilevel"/>
    <w:lvl w:ilvl="0">
      <w:lvlJc w:val="left"/>
      <w:lvlText w:val="(%1)"/>
      <w:numFmt w:val="decimal"/>
      <w:start w:val="1"/>
    </w:lvl>
  </w:abstractNum>
  <w:abstractNum w:abstractNumId="48">
    <w:nsid w:val="74DE0EE3"/>
    <w:multiLevelType w:val="hybridMultilevel"/>
    <w:lvl w:ilvl="0">
      <w:lvlJc w:val="left"/>
      <w:lvlText w:val="(%1)"/>
      <w:numFmt w:val="decimal"/>
      <w:start w:val="1"/>
    </w:lvl>
  </w:abstractNum>
  <w:abstractNum w:abstractNumId="49">
    <w:nsid w:val="68EBC550"/>
    <w:multiLevelType w:val="hybridMultilevel"/>
    <w:lvl w:ilvl="0">
      <w:lvlJc w:val="left"/>
      <w:lvlText w:val="(%1)"/>
      <w:numFmt w:val="lowerLetter"/>
      <w:start w:val="1"/>
    </w:lvl>
  </w:abstractNum>
  <w:abstractNum w:abstractNumId="50">
    <w:nsid w:val="2DF6D648"/>
    <w:multiLevelType w:val="hybridMultilevel"/>
    <w:lvl w:ilvl="0">
      <w:lvlJc w:val="left"/>
      <w:lvlText w:val="(%1)"/>
      <w:numFmt w:val="lowerRoman"/>
      <w:start w:val="1"/>
    </w:lvl>
  </w:abstractNum>
  <w:abstractNum w:abstractNumId="51">
    <w:nsid w:val="46B7D447"/>
    <w:multiLevelType w:val="hybridMultilevel"/>
    <w:lvl w:ilvl="0">
      <w:lvlJc w:val="left"/>
      <w:lvlText w:val="(%1)"/>
      <w:numFmt w:val="decimal"/>
      <w:start w:val="1"/>
    </w:lvl>
  </w:abstractNum>
  <w:abstractNum w:abstractNumId="52">
    <w:nsid w:val="4A2AC315"/>
    <w:multiLevelType w:val="hybridMultilevel"/>
    <w:lvl w:ilvl="0">
      <w:lvlJc w:val="left"/>
      <w:lvlText w:val="(%1)"/>
      <w:numFmt w:val="decimal"/>
      <w:start w:val="1"/>
    </w:lvl>
  </w:abstractNum>
  <w:abstractNum w:abstractNumId="53">
    <w:nsid w:val="39EE015C"/>
    <w:multiLevelType w:val="hybridMultilevel"/>
    <w:lvl w:ilvl="0">
      <w:lvlJc w:val="left"/>
      <w:lvlText w:val="(%1)"/>
      <w:numFmt w:val="lowerRoman"/>
      <w:start w:val="2"/>
    </w:lvl>
  </w:abstractNum>
  <w:abstractNum w:abstractNumId="54">
    <w:nsid w:val="57FC4FBB"/>
    <w:multiLevelType w:val="hybridMultilevel"/>
    <w:lvl w:ilvl="0">
      <w:lvlJc w:val="left"/>
      <w:lvlText w:val="(%1)"/>
      <w:numFmt w:val="decimal"/>
      <w:start w:val="1"/>
    </w:lvl>
  </w:abstractNum>
  <w:abstractNum w:abstractNumId="55">
    <w:nsid w:val="CC1016F"/>
    <w:multiLevelType w:val="hybridMultilevel"/>
    <w:lvl w:ilvl="0">
      <w:lvlJc w:val="left"/>
      <w:lvlText w:val="(%1)"/>
      <w:numFmt w:val="decimal"/>
      <w:start w:val="2"/>
    </w:lvl>
  </w:abstractNum>
  <w:abstractNum w:abstractNumId="56">
    <w:nsid w:val="43F18422"/>
    <w:multiLevelType w:val="hybridMultilevel"/>
    <w:lvl w:ilvl="0">
      <w:lvlJc w:val="left"/>
      <w:lvlText w:val="$"/>
      <w:numFmt w:val="bullet"/>
      <w:start w:val="1"/>
    </w:lvl>
  </w:abstractNum>
  <w:abstractNum w:abstractNumId="57">
    <w:nsid w:val="60EF0119"/>
    <w:multiLevelType w:val="hybridMultilevel"/>
    <w:lvl w:ilvl="0">
      <w:lvlJc w:val="left"/>
      <w:lvlText w:val="(%1)"/>
      <w:numFmt w:val="decimal"/>
      <w:start w:val="1"/>
    </w:lvl>
  </w:abstractNum>
  <w:abstractNum w:abstractNumId="58">
    <w:nsid w:val="26F324BA"/>
    <w:multiLevelType w:val="hybridMultilevel"/>
    <w:lvl w:ilvl="0">
      <w:lvlJc w:val="left"/>
      <w:lvlText w:val="$"/>
      <w:numFmt w:val="bullet"/>
      <w:start w:val="1"/>
    </w:lvl>
  </w:abstractNum>
  <w:abstractNum w:abstractNumId="59">
    <w:nsid w:val="7F01579B"/>
    <w:multiLevelType w:val="hybridMultilevel"/>
    <w:lvl w:ilvl="0">
      <w:lvlJc w:val="left"/>
      <w:lvlText w:val="(%1)"/>
      <w:numFmt w:val="decimal"/>
      <w:start w:val="1"/>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
      <w:numFmt w:val="bullet"/>
      <w:start w:val="1"/>
    </w:lvl>
  </w:abstractNum>
  <w:abstractNum w:abstractNumId="62">
    <w:nsid w:val="5FB8370B"/>
    <w:multiLevelType w:val="hybridMultilevel"/>
    <w:lvl w:ilvl="0">
      <w:lvlJc w:val="left"/>
      <w:lvlText w:val="●"/>
      <w:numFmt w:val="bullet"/>
      <w:start w:val="1"/>
    </w:lvl>
  </w:abstractNum>
  <w:abstractNum w:abstractNumId="63">
    <w:nsid w:val="50801EE1"/>
    <w:multiLevelType w:val="hybridMultilevel"/>
    <w:lvl w:ilvl="0">
      <w:lvlJc w:val="left"/>
      <w:lvlText w:val="(%1)"/>
      <w:numFmt w:val="decimal"/>
      <w:start w:val="1"/>
    </w:lvl>
  </w:abstractNum>
  <w:abstractNum w:abstractNumId="64">
    <w:nsid w:val="488AC1A"/>
    <w:multiLevelType w:val="hybridMultilevel"/>
    <w:lvl w:ilvl="0">
      <w:lvlJc w:val="left"/>
      <w:lvlText w:val="●"/>
      <w:numFmt w:val="bullet"/>
      <w:start w:val="1"/>
    </w:lvl>
  </w:abstractNum>
  <w:abstractNum w:abstractNumId="65">
    <w:nsid w:val="5FB8011C"/>
    <w:multiLevelType w:val="hybridMultilevel"/>
    <w:lvl w:ilvl="0">
      <w:lvlJc w:val="left"/>
      <w:lvlText w:val="●"/>
      <w:numFmt w:val="bullet"/>
      <w:start w:val="1"/>
    </w:lvl>
  </w:abstractNum>
  <w:abstractNum w:abstractNumId="66">
    <w:nsid w:val="6AA78F7F"/>
    <w:multiLevelType w:val="hybridMultilevel"/>
    <w:lvl w:ilvl="0">
      <w:lvlJc w:val="left"/>
      <w:lvlText w:val="●"/>
      <w:numFmt w:val="bullet"/>
      <w:start w:val="1"/>
    </w:lvl>
  </w:abstractNum>
  <w:abstractNum w:abstractNumId="67">
    <w:nsid w:val="7672BD23"/>
    <w:multiLevelType w:val="hybridMultilevel"/>
    <w:lvl w:ilvl="0">
      <w:lvlJc w:val="left"/>
      <w:lvlText w:val="●"/>
      <w:numFmt w:val="bullet"/>
      <w:start w:val="1"/>
    </w:lvl>
  </w:abstractNum>
  <w:abstractNum w:abstractNumId="68">
    <w:nsid w:val="6FC75AF8"/>
    <w:multiLevelType w:val="hybridMultilevel"/>
    <w:lvl w:ilvl="0">
      <w:lvlJc w:val="left"/>
      <w:lvlText w:val="(%1)"/>
      <w:numFmt w:val="decimal"/>
      <w:start w:val="6"/>
    </w:lvl>
  </w:abstractNum>
  <w:abstractNum w:abstractNumId="69">
    <w:nsid w:val="6A5F7029"/>
    <w:multiLevelType w:val="hybridMultilevel"/>
    <w:lvl w:ilvl="0">
      <w:lvlJc w:val="left"/>
      <w:lvlText w:val="●"/>
      <w:numFmt w:val="bullet"/>
      <w:start w:val="1"/>
    </w:lvl>
  </w:abstractNum>
  <w:abstractNum w:abstractNumId="70">
    <w:nsid w:val="7D5E18F8"/>
    <w:multiLevelType w:val="hybridMultilevel"/>
    <w:lvl w:ilvl="0">
      <w:lvlJc w:val="left"/>
      <w:lvlText w:val="(%1)"/>
      <w:numFmt w:val="decimal"/>
      <w:start w:val="1"/>
    </w:lvl>
  </w:abstractNum>
  <w:abstractNum w:abstractNumId="71">
    <w:nsid w:val="5F3534A4"/>
    <w:multiLevelType w:val="hybridMultilevel"/>
    <w:lvl w:ilvl="0">
      <w:lvlJc w:val="left"/>
      <w:lvlText w:val="(%1)"/>
      <w:numFmt w:val="decimal"/>
      <w:start w:val="1"/>
    </w:lvl>
  </w:abstractNum>
  <w:abstractNum w:abstractNumId="72">
    <w:nsid w:val="73A1821B"/>
    <w:multiLevelType w:val="hybridMultilevel"/>
    <w:lvl w:ilvl="0">
      <w:lvlJc w:val="left"/>
      <w:lvlText w:val="(%1)"/>
      <w:numFmt w:val="decimal"/>
      <w:start w:val="1"/>
    </w:lvl>
  </w:abstractNum>
  <w:abstractNum w:abstractNumId="73">
    <w:nsid w:val="7DE67713"/>
    <w:multiLevelType w:val="hybridMultilevel"/>
    <w:lvl w:ilvl="0">
      <w:lvlJc w:val="left"/>
      <w:lvlText w:val="(%1)"/>
      <w:numFmt w:val="lowerRoman"/>
      <w:start w:val="2"/>
    </w:lvl>
  </w:abstractNum>
  <w:abstractNum w:abstractNumId="74">
    <w:nsid w:val="555C55B5"/>
    <w:multiLevelType w:val="hybridMultilevel"/>
    <w:lvl w:ilvl="0">
      <w:lvlJc w:val="left"/>
      <w:lvlText w:val="●"/>
      <w:numFmt w:val="bullet"/>
      <w:start w:val="1"/>
    </w:lvl>
  </w:abstractNum>
  <w:abstractNum w:abstractNumId="75">
    <w:nsid w:val="3FA62ACA"/>
    <w:multiLevelType w:val="hybridMultilevel"/>
    <w:lvl w:ilvl="0">
      <w:lvlJc w:val="left"/>
      <w:lvlText w:val="(%1)"/>
      <w:numFmt w:val="decimal"/>
      <w:start w:val="1"/>
    </w:lvl>
    <w:lvl w:ilvl="1">
      <w:lvlJc w:val="left"/>
      <w:lvlText w:val="(%2)"/>
      <w:numFmt w:val="lowerLetter"/>
      <w:start w:val="35"/>
    </w:lvl>
  </w:abstractNum>
  <w:abstractNum w:abstractNumId="76">
    <w:nsid w:val="14FCE74E"/>
    <w:multiLevelType w:val="hybridMultilevel"/>
    <w:lvl w:ilvl="0">
      <w:lvlJc w:val="left"/>
      <w:lvlText w:val="%1"/>
      <w:numFmt w:val="decimal"/>
      <w:start w:val="1"/>
    </w:lvl>
    <w:lvl w:ilvl="1">
      <w:lvlJc w:val="left"/>
      <w:lvlText w:val="(%2)"/>
      <w:numFmt w:val="lowerLetter"/>
      <w:start w:val="3"/>
    </w:lvl>
  </w:abstractNum>
  <w:abstractNum w:abstractNumId="77">
    <w:nsid w:val="6A3DD3E8"/>
    <w:multiLevelType w:val="hybridMultilevel"/>
    <w:lvl w:ilvl="0">
      <w:lvlJc w:val="left"/>
      <w:lvlText w:val="(%1)"/>
      <w:numFmt w:val="decimal"/>
      <w:start w:val="4"/>
    </w:lvl>
  </w:abstractNum>
  <w:abstractNum w:abstractNumId="78">
    <w:nsid w:val="71C91298"/>
    <w:multiLevelType w:val="hybridMultilevel"/>
    <w:lvl w:ilvl="0">
      <w:lvlJc w:val="left"/>
      <w:lvlText w:val="(%1)"/>
      <w:numFmt w:val="decimal"/>
      <w:start w:val="7"/>
    </w:lvl>
  </w:abstractNum>
  <w:abstractNum w:abstractNumId="79">
    <w:nsid w:val="9DAF632"/>
    <w:multiLevelType w:val="hybridMultilevel"/>
    <w:lvl w:ilvl="0">
      <w:lvlJc w:val="left"/>
      <w:lvlText w:val="●"/>
      <w:numFmt w:val="bullet"/>
      <w:start w:val="1"/>
    </w:lvl>
  </w:abstractNum>
  <w:abstractNum w:abstractNumId="80">
    <w:nsid w:val="53299938"/>
    <w:multiLevelType w:val="hybridMultilevel"/>
    <w:lvl w:ilvl="0">
      <w:lvlJc w:val="left"/>
      <w:lvlText w:val="(%1)"/>
      <w:numFmt w:val="lowerRoman"/>
      <w:start w:val="2"/>
    </w:lvl>
  </w:abstractNum>
  <w:abstractNum w:abstractNumId="81">
    <w:nsid w:val="1FBFE8E0"/>
    <w:multiLevelType w:val="hybridMultilevel"/>
    <w:lvl w:ilvl="0">
      <w:lvlJc w:val="left"/>
      <w:lvlText w:val="●"/>
      <w:numFmt w:val="bullet"/>
      <w:start w:val="1"/>
    </w:lvl>
  </w:abstractNum>
  <w:abstractNum w:abstractNumId="82">
    <w:nsid w:val="5092CA79"/>
    <w:multiLevelType w:val="hybridMultilevel"/>
    <w:lvl w:ilvl="0">
      <w:lvlJc w:val="left"/>
      <w:lvlText w:val="(%1)"/>
      <w:numFmt w:val="decimal"/>
      <w:start w:val="1"/>
    </w:lvl>
  </w:abstractNum>
  <w:abstractNum w:abstractNumId="83">
    <w:nsid w:val="1D545C4D"/>
    <w:multiLevelType w:val="hybridMultilevel"/>
    <w:lvl w:ilvl="0">
      <w:lvlJc w:val="left"/>
      <w:lvlText w:val="(%1)"/>
      <w:numFmt w:val="lowerLetter"/>
      <w:start w:val="1"/>
    </w:lvl>
    <w:lvl w:ilvl="1">
      <w:lvlJc w:val="left"/>
      <w:lvlText w:val="%2."/>
      <w:numFmt w:val="decimal"/>
      <w:start w:val="1"/>
    </w:lvl>
  </w:abstractNum>
  <w:abstractNum w:abstractNumId="84">
    <w:nsid w:val="59ADEA3D"/>
    <w:multiLevelType w:val="hybridMultilevel"/>
    <w:lvl w:ilvl="0">
      <w:lvlJc w:val="left"/>
      <w:lvlText w:val="*"/>
      <w:numFmt w:val="bullet"/>
      <w:start w:val="1"/>
    </w:lvl>
  </w:abstractNum>
  <w:abstractNum w:abstractNumId="85">
    <w:nsid w:val="288F1A34"/>
    <w:multiLevelType w:val="hybridMultilevel"/>
    <w:lvl w:ilvl="0">
      <w:lvlJc w:val="left"/>
      <w:lvlText w:val="#"/>
      <w:numFmt w:val="bullet"/>
      <w:start w:val="1"/>
    </w:lvl>
  </w:abstractNum>
  <w:abstractNum w:abstractNumId="86">
    <w:nsid w:val="2A155DBC"/>
    <w:multiLevelType w:val="hybridMultilevel"/>
    <w:lvl w:ilvl="0">
      <w:lvlJc w:val="left"/>
      <w:lvlText w:val="●"/>
      <w:numFmt w:val="bullet"/>
      <w:start w:val="1"/>
    </w:lvl>
  </w:abstractNum>
  <w:abstractNum w:abstractNumId="87">
    <w:nsid w:val="1D9F6E5F"/>
    <w:multiLevelType w:val="hybridMultilevel"/>
    <w:lvl w:ilvl="0">
      <w:lvlJc w:val="left"/>
      <w:lvlText w:val="%1."/>
      <w:numFmt w:val="decimal"/>
      <w:start w:val="1"/>
    </w:lvl>
    <w:lvl w:ilvl="1">
      <w:lvlJc w:val="left"/>
      <w:lvlText w:val="(%2)"/>
      <w:numFmt w:val="lowerLetter"/>
      <w:start w:val="1"/>
    </w:lvl>
  </w:abstractNum>
  <w:abstractNum w:abstractNumId="88">
    <w:nsid w:val="97E1B4E"/>
    <w:multiLevelType w:val="hybridMultilevel"/>
    <w:lvl w:ilvl="0">
      <w:lvlJc w:val="left"/>
      <w:lvlText w:val="(%1)"/>
      <w:numFmt w:val="lowerLetter"/>
      <w:start w:val="2"/>
    </w:lvl>
  </w:abstractNum>
  <w:abstractNum w:abstractNumId="89">
    <w:nsid w:val="51088277"/>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90">
    <w:nsid w:val="1CA0C5FA"/>
    <w:multiLevelType w:val="hybridMultilevel"/>
    <w:lvl w:ilvl="0">
      <w:lvlJc w:val="left"/>
      <w:lvlText w:val="(%1)"/>
      <w:numFmt w:val="decimal"/>
      <w:start w:val="4"/>
    </w:lvl>
    <w:lvl w:ilvl="1">
      <w:lvlJc w:val="left"/>
      <w:lvlText w:val="%2."/>
      <w:numFmt w:val="decimal"/>
      <w:start w:val="5"/>
    </w:lvl>
    <w:lvl w:ilvl="2">
      <w:lvlJc w:val="left"/>
      <w:lvlText w:val="(%3)"/>
      <w:numFmt w:val="lowerLetter"/>
      <w:start w:val="2"/>
    </w:lvl>
    <w:lvl w:ilvl="3">
      <w:lvlJc w:val="left"/>
      <w:lvlText w:val="(%4)"/>
      <w:numFmt w:val="lowerRoman"/>
      <w:start w:val="1"/>
    </w:lvl>
  </w:abstractNum>
  <w:abstractNum w:abstractNumId="91">
    <w:nsid w:val="53584BC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2">
    <w:nsid w:val="415E286C"/>
    <w:multiLevelType w:val="hybridMultilevel"/>
    <w:lvl w:ilvl="0">
      <w:lvlJc w:val="left"/>
      <w:lvlText w:val="%1"/>
      <w:numFmt w:val="decimal"/>
      <w:start w:val="1"/>
    </w:lvl>
    <w:lvl w:ilvl="1">
      <w:lvlJc w:val="left"/>
      <w:lvlText w:val="(%2)"/>
      <w:numFmt w:val="lowerLetter"/>
      <w:start w:val="5"/>
    </w:lvl>
  </w:abstractNum>
  <w:abstractNum w:abstractNumId="93">
    <w:nsid w:val="7C58FD05"/>
    <w:multiLevelType w:val="hybridMultilevel"/>
    <w:lvl w:ilvl="0">
      <w:lvlJc w:val="left"/>
      <w:lvlText w:val="%1."/>
      <w:numFmt w:val="decimal"/>
      <w:start w:val="7"/>
    </w:lvl>
    <w:lvl w:ilvl="1">
      <w:lvlJc w:val="left"/>
      <w:lvlText w:val="%2"/>
      <w:numFmt w:val="lowerLetter"/>
      <w:start w:val="1"/>
    </w:lvl>
  </w:abstractNum>
  <w:abstractNum w:abstractNumId="94">
    <w:nsid w:val="23D86AAC"/>
    <w:multiLevelType w:val="hybridMultilevel"/>
    <w:lvl w:ilvl="0">
      <w:lvlJc w:val="left"/>
      <w:lvlText w:val="%1."/>
      <w:numFmt w:val="decimal"/>
      <w:start w:val="9"/>
    </w:lvl>
  </w:abstractNum>
  <w:abstractNum w:abstractNumId="95">
    <w:nsid w:val="45E6D486"/>
    <w:multiLevelType w:val="hybridMultilevel"/>
    <w:lvl w:ilvl="0">
      <w:lvlJc w:val="left"/>
      <w:lvlText w:val="%1."/>
      <w:numFmt w:val="decimal"/>
      <w:start w:val="17"/>
    </w:lvl>
  </w:abstractNum>
  <w:abstractNum w:abstractNumId="96">
    <w:nsid w:val="5C10FE21"/>
    <w:multiLevelType w:val="hybridMultilevel"/>
    <w:lvl w:ilvl="0">
      <w:lvlJc w:val="left"/>
      <w:lvlText w:val="%1."/>
      <w:numFmt w:val="decimal"/>
      <w:start w:val="1"/>
    </w:lvl>
  </w:abstractNum>
  <w:abstractNum w:abstractNumId="97">
    <w:nsid w:val="E7FFA2B"/>
    <w:multiLevelType w:val="hybridMultilevel"/>
    <w:lvl w:ilvl="0">
      <w:lvlJc w:val="left"/>
      <w:lvlText w:val="%1."/>
      <w:numFmt w:val="decimal"/>
      <w:start w:val="2"/>
    </w:lvl>
  </w:abstractNum>
  <w:abstractNum w:abstractNumId="98">
    <w:nsid w:val="3C5991AA"/>
    <w:multiLevelType w:val="hybridMultilevel"/>
    <w:lvl w:ilvl="0">
      <w:lvlJc w:val="left"/>
      <w:lvlText w:val="%1."/>
      <w:numFmt w:val="decimal"/>
      <w:start w:val="3"/>
    </w:lvl>
  </w:abstractNum>
  <w:abstractNum w:abstractNumId="99">
    <w:nsid w:val="4BD8591A"/>
    <w:multiLevelType w:val="hybridMultilevel"/>
    <w:lvl w:ilvl="0">
      <w:lvlJc w:val="left"/>
      <w:lvlText w:val="%1."/>
      <w:numFmt w:val="decimal"/>
      <w:start w:val="4"/>
    </w:lvl>
  </w:abstractNum>
  <w:abstractNum w:abstractNumId="100">
    <w:nsid w:val="78DF6A55"/>
    <w:multiLevelType w:val="hybridMultilevel"/>
    <w:lvl w:ilvl="0">
      <w:lvlJc w:val="left"/>
      <w:lvlText w:val="●"/>
      <w:numFmt w:val="bullet"/>
      <w:start w:val="1"/>
    </w:lvl>
  </w:abstractNum>
  <w:abstractNum w:abstractNumId="101">
    <w:nsid w:val="39B7AAA2"/>
    <w:multiLevelType w:val="hybridMultilevel"/>
    <w:lvl w:ilvl="0">
      <w:lvlJc w:val="left"/>
      <w:lvlText w:val="●"/>
      <w:numFmt w:val="bullet"/>
      <w:start w:val="1"/>
    </w:lvl>
  </w:abstractNum>
  <w:abstractNum w:abstractNumId="102">
    <w:nsid w:val="2B0D8DBE"/>
    <w:multiLevelType w:val="hybridMultilevel"/>
    <w:lvl w:ilvl="0">
      <w:lvlJc w:val="left"/>
      <w:lvlText w:val="%1."/>
      <w:numFmt w:val="decimal"/>
      <w:start w:val="5"/>
    </w:lvl>
  </w:abstractNum>
  <w:abstractNum w:abstractNumId="103">
    <w:nsid w:val="6C80EC70"/>
    <w:multiLevelType w:val="hybridMultilevel"/>
    <w:lvl w:ilvl="0">
      <w:lvlJc w:val="left"/>
      <w:lvlText w:val="●"/>
      <w:numFmt w:val="bullet"/>
      <w:start w:val="1"/>
    </w:lvl>
  </w:abstractNum>
  <w:abstractNum w:abstractNumId="104">
    <w:nsid w:val="379E21B5"/>
    <w:multiLevelType w:val="hybridMultilevel"/>
    <w:lvl w:ilvl="0">
      <w:lvlJc w:val="left"/>
      <w:lvlText w:val="%1."/>
      <w:numFmt w:val="decimal"/>
      <w:start w:val="6"/>
    </w:lvl>
  </w:abstractNum>
  <w:abstractNum w:abstractNumId="105">
    <w:nsid w:val="69E373"/>
    <w:multiLevelType w:val="hybridMultilevel"/>
    <w:lvl w:ilvl="0">
      <w:lvlJc w:val="left"/>
      <w:lvlText w:val="%1."/>
      <w:numFmt w:val="decimal"/>
      <w:start w:val="7"/>
    </w:lvl>
  </w:abstractNum>
  <w:abstractNum w:abstractNumId="106">
    <w:nsid w:val="2C27173B"/>
    <w:multiLevelType w:val="hybridMultilevel"/>
    <w:lvl w:ilvl="0">
      <w:lvlJc w:val="left"/>
      <w:lvlText w:val="●"/>
      <w:numFmt w:val="bullet"/>
      <w:start w:val="1"/>
    </w:lvl>
  </w:abstractNum>
  <w:abstractNum w:abstractNumId="107">
    <w:nsid w:val="4C9B0904"/>
    <w:multiLevelType w:val="hybridMultilevel"/>
    <w:lvl w:ilvl="0">
      <w:lvlJc w:val="left"/>
      <w:lvlText w:val="●"/>
      <w:numFmt w:val="bullet"/>
      <w:start w:val="1"/>
    </w:lvl>
  </w:abstractNum>
  <w:abstractNum w:abstractNumId="108">
    <w:nsid w:val="6AA7B75C"/>
    <w:multiLevelType w:val="hybridMultilevel"/>
    <w:lvl w:ilvl="0">
      <w:lvlJc w:val="left"/>
      <w:lvlText w:val="%1."/>
      <w:numFmt w:val="decimal"/>
      <w:start w:val="8"/>
    </w:lvl>
  </w:abstractNum>
  <w:abstractNum w:abstractNumId="109">
    <w:nsid w:val="1DF029D3"/>
    <w:multiLevelType w:val="hybridMultilevel"/>
    <w:lvl w:ilvl="0">
      <w:lvlJc w:val="left"/>
      <w:lvlText w:val="%1."/>
      <w:numFmt w:val="decimal"/>
      <w:start w:val="9"/>
    </w:lvl>
  </w:abstractNum>
  <w:abstractNum w:abstractNumId="110">
    <w:nsid w:val="5675FF36"/>
    <w:multiLevelType w:val="hybridMultilevel"/>
    <w:lvl w:ilvl="0">
      <w:lvlJc w:val="left"/>
      <w:lvlText w:val="●"/>
      <w:numFmt w:val="bullet"/>
      <w:start w:val="1"/>
    </w:lvl>
  </w:abstractNum>
  <w:abstractNum w:abstractNumId="111">
    <w:nsid w:val="3DD15094"/>
    <w:multiLevelType w:val="hybridMultilevel"/>
    <w:lvl w:ilvl="0">
      <w:lvlJc w:val="left"/>
      <w:lvlText w:val="●"/>
      <w:numFmt w:val="bullet"/>
      <w:start w:val="1"/>
    </w:lvl>
  </w:abstractNum>
  <w:abstractNum w:abstractNumId="112">
    <w:nsid w:val="3DB012B3"/>
    <w:multiLevelType w:val="hybridMultilevel"/>
    <w:lvl w:ilvl="0">
      <w:lvlJc w:val="left"/>
      <w:lvlText w:val="%1."/>
      <w:numFmt w:val="decimal"/>
      <w:start w:val="10"/>
    </w:lvl>
  </w:abstractNum>
  <w:abstractNum w:abstractNumId="113">
    <w:nsid w:val="2708C9AF"/>
    <w:multiLevelType w:val="hybridMultilevel"/>
    <w:lvl w:ilvl="0">
      <w:lvlJc w:val="left"/>
      <w:lvlText w:val="%1."/>
      <w:numFmt w:val="decimal"/>
      <w:start w:val="11"/>
    </w:lvl>
  </w:abstractNum>
  <w:abstractNum w:abstractNumId="114">
    <w:nsid w:val="5B25ACE2"/>
    <w:multiLevelType w:val="hybridMultilevel"/>
    <w:lvl w:ilvl="0">
      <w:lvlJc w:val="left"/>
      <w:lvlText w:val="%1."/>
      <w:numFmt w:val="decimal"/>
      <w:start w:val="12"/>
    </w:lvl>
  </w:abstractNum>
  <w:abstractNum w:abstractNumId="115">
    <w:nsid w:val="175DFCF0"/>
    <w:multiLevelType w:val="hybridMultilevel"/>
    <w:lvl w:ilvl="0">
      <w:lvlJc w:val="left"/>
      <w:lvlText w:val="●"/>
      <w:numFmt w:val="bullet"/>
      <w:start w:val="1"/>
    </w:lvl>
  </w:abstractNum>
  <w:abstractNum w:abstractNumId="116">
    <w:nsid w:val="4F97E3E4"/>
    <w:multiLevelType w:val="hybridMultilevel"/>
    <w:lvl w:ilvl="0">
      <w:lvlJc w:val="left"/>
      <w:lvlText w:val="%1."/>
      <w:numFmt w:val="decimal"/>
      <w:start w:val="13"/>
    </w:lvl>
  </w:abstractNum>
  <w:abstractNum w:abstractNumId="117">
    <w:nsid w:val="53B0A9E"/>
    <w:multiLevelType w:val="hybridMultilevel"/>
    <w:lvl w:ilvl="0">
      <w:lvlJc w:val="left"/>
      <w:lvlText w:val="%1."/>
      <w:numFmt w:val="decimal"/>
      <w:start w:val="14"/>
    </w:lvl>
  </w:abstractNum>
  <w:abstractNum w:abstractNumId="118">
    <w:nsid w:val="34FD6B4F"/>
    <w:multiLevelType w:val="hybridMultilevel"/>
    <w:lvl w:ilvl="0">
      <w:lvlJc w:val="left"/>
      <w:lvlText w:val="%1."/>
      <w:numFmt w:val="decimal"/>
      <w:start w:val="15"/>
    </w:lvl>
  </w:abstractNum>
  <w:abstractNum w:abstractNumId="119">
    <w:nsid w:val="5915FF32"/>
    <w:multiLevelType w:val="hybridMultilevel"/>
    <w:lvl w:ilvl="0">
      <w:lvlJc w:val="left"/>
      <w:lvlText w:val="%1."/>
      <w:numFmt w:val="decimal"/>
      <w:start w:val="16"/>
    </w:lvl>
  </w:abstractNum>
  <w:abstractNum w:abstractNumId="120">
    <w:nsid w:val="56438D15"/>
    <w:multiLevelType w:val="hybridMultilevel"/>
    <w:lvl w:ilvl="0">
      <w:lvlJc w:val="left"/>
      <w:lvlText w:val="●"/>
      <w:numFmt w:val="bullet"/>
      <w:start w:val="1"/>
    </w:lvl>
  </w:abstractNum>
  <w:abstractNum w:abstractNumId="121">
    <w:nsid w:val="519E3149"/>
    <w:multiLevelType w:val="hybridMultilevel"/>
    <w:lvl w:ilvl="0">
      <w:lvlJc w:val="left"/>
      <w:lvlText w:val="%1."/>
      <w:numFmt w:val="decimal"/>
      <w:start w:val="1"/>
    </w:lvl>
  </w:abstractNum>
  <w:abstractNum w:abstractNumId="122">
    <w:nsid w:val="2C6E4AFD"/>
    <w:multiLevelType w:val="hybridMultilevel"/>
    <w:lvl w:ilvl="0">
      <w:lvlJc w:val="left"/>
      <w:lvlText w:val="%1)"/>
      <w:numFmt w:val="lowerLetter"/>
      <w:start w:val="1"/>
    </w:lvl>
  </w:abstractNum>
  <w:abstractNum w:abstractNumId="123">
    <w:nsid w:val="17A1B582"/>
    <w:multiLevelType w:val="hybridMultilevel"/>
    <w:lvl w:ilvl="0">
      <w:lvlJc w:val="left"/>
      <w:lvlText w:val="%1"/>
      <w:numFmt w:val="decimal"/>
      <w:start w:val="1"/>
    </w:lvl>
    <w:lvl w:ilvl="1">
      <w:lvlJc w:val="left"/>
      <w:lvlText w:val="%2)"/>
      <w:numFmt w:val="lowerLetter"/>
      <w:start w:val="3"/>
    </w:lvl>
  </w:abstractNum>
  <w:abstractNum w:abstractNumId="124">
    <w:nsid w:val="4DF72E4E"/>
    <w:multiLevelType w:val="hybridMultilevel"/>
    <w:lvl w:ilvl="0">
      <w:lvlJc w:val="left"/>
      <w:lvlText w:val="%1."/>
      <w:numFmt w:val="decimal"/>
      <w:start w:val="5"/>
    </w:lvl>
    <w:lvl w:ilvl="1">
      <w:lvlJc w:val="left"/>
      <w:lvlText w:val="%2)"/>
      <w:numFmt w:val="lowerLetter"/>
      <w:start w:val="1"/>
    </w:lvl>
  </w:abstractNum>
  <w:abstractNum w:abstractNumId="125">
    <w:nsid w:val="5046B5A9"/>
    <w:multiLevelType w:val="hybridMultilevel"/>
    <w:lvl w:ilvl="0">
      <w:lvlJc w:val="left"/>
      <w:lvlText w:val="%1."/>
      <w:numFmt w:val="decimal"/>
      <w:start w:val="1"/>
    </w:lvl>
    <w:lvl w:ilvl="1">
      <w:lvlJc w:val="left"/>
      <w:lvlText w:val="%2)"/>
      <w:numFmt w:val="lowerLetter"/>
      <w:start w:val="1"/>
    </w:lvl>
  </w:abstractNum>
  <w:abstractNum w:abstractNumId="126">
    <w:nsid w:val="5D888A08"/>
    <w:multiLevelType w:val="hybridMultilevel"/>
    <w:lvl w:ilvl="0">
      <w:lvlJc w:val="left"/>
      <w:lvlText w:val="%1"/>
      <w:numFmt w:val="decimal"/>
      <w:start w:val="1"/>
    </w:lvl>
    <w:lvl w:ilvl="1">
      <w:lvlJc w:val="left"/>
      <w:lvlText w:val="%2)"/>
      <w:numFmt w:val="lowerLetter"/>
      <w:start w:val="3"/>
    </w:lvl>
  </w:abstractNum>
  <w:abstractNum w:abstractNumId="127">
    <w:nsid w:val="2A082C70"/>
    <w:multiLevelType w:val="hybridMultilevel"/>
    <w:lvl w:ilvl="0">
      <w:lvlJc w:val="left"/>
      <w:lvlText w:val="%1."/>
      <w:numFmt w:val="decimal"/>
      <w:start w:val="5"/>
    </w:lvl>
    <w:lvl w:ilvl="1">
      <w:lvlJc w:val="left"/>
      <w:lvlText w:val="%2)"/>
      <w:numFmt w:val="lowerLetter"/>
      <w:start w:val="1"/>
    </w:lvl>
  </w:abstractNum>
  <w:abstractNum w:abstractNumId="128">
    <w:nsid w:val="5EC6AFD4"/>
    <w:multiLevelType w:val="hybridMultilevel"/>
    <w:lvl w:ilvl="0">
      <w:lvlJc w:val="left"/>
      <w:lvlText w:val="%1."/>
      <w:numFmt w:val="decimal"/>
      <w:start w:val="1"/>
    </w:lvl>
  </w:abstractNum>
  <w:abstractNum w:abstractNumId="129">
    <w:nsid w:val="19E21B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281" Type="http://schemas.openxmlformats.org/officeDocument/2006/relationships/image" Target="media/image182.png"/><Relationship Id="rId282" Type="http://schemas.openxmlformats.org/officeDocument/2006/relationships/image" Target="media/image183.png"/><Relationship Id="rId283" Type="http://schemas.openxmlformats.org/officeDocument/2006/relationships/image" Target="media/image184.png"/><Relationship Id="rId284" Type="http://schemas.openxmlformats.org/officeDocument/2006/relationships/image" Target="media/image185.png"/><Relationship Id="rId285" Type="http://schemas.openxmlformats.org/officeDocument/2006/relationships/image" Target="media/image186.png"/><Relationship Id="rId286" Type="http://schemas.openxmlformats.org/officeDocument/2006/relationships/image" Target="media/image187.png"/><Relationship Id="rId287" Type="http://schemas.openxmlformats.org/officeDocument/2006/relationships/image" Target="media/image188.png"/><Relationship Id="rId288" Type="http://schemas.openxmlformats.org/officeDocument/2006/relationships/image" Target="media/image189.png"/><Relationship Id="rId289" Type="http://schemas.openxmlformats.org/officeDocument/2006/relationships/image" Target="media/image190.png"/><Relationship Id="rId290" Type="http://schemas.openxmlformats.org/officeDocument/2006/relationships/image" Target="media/image191.png"/><Relationship Id="rId291" Type="http://schemas.openxmlformats.org/officeDocument/2006/relationships/image" Target="media/image192.png"/><Relationship Id="rId292" Type="http://schemas.openxmlformats.org/officeDocument/2006/relationships/image" Target="media/image193.png"/><Relationship Id="rId293" Type="http://schemas.openxmlformats.org/officeDocument/2006/relationships/image" Target="media/image194.png"/><Relationship Id="rId294" Type="http://schemas.openxmlformats.org/officeDocument/2006/relationships/image" Target="media/image195.png"/><Relationship Id="rId295" Type="http://schemas.openxmlformats.org/officeDocument/2006/relationships/image" Target="media/image196.png"/><Relationship Id="rId296" Type="http://schemas.openxmlformats.org/officeDocument/2006/relationships/image" Target="media/image197.png"/><Relationship Id="rId297" Type="http://schemas.openxmlformats.org/officeDocument/2006/relationships/image" Target="media/image198.png"/><Relationship Id="rId298" Type="http://schemas.openxmlformats.org/officeDocument/2006/relationships/image" Target="media/image199.png"/><Relationship Id="rId299" Type="http://schemas.openxmlformats.org/officeDocument/2006/relationships/image" Target="media/image200.png"/><Relationship Id="rId300" Type="http://schemas.openxmlformats.org/officeDocument/2006/relationships/image" Target="media/image201.png"/><Relationship Id="rId301" Type="http://schemas.openxmlformats.org/officeDocument/2006/relationships/image" Target="media/image202.png"/><Relationship Id="rId302" Type="http://schemas.openxmlformats.org/officeDocument/2006/relationships/image" Target="media/image203.png"/><Relationship Id="rId303" Type="http://schemas.openxmlformats.org/officeDocument/2006/relationships/image" Target="media/image204.png"/><Relationship Id="rId304" Type="http://schemas.openxmlformats.org/officeDocument/2006/relationships/image" Target="media/image205.png"/><Relationship Id="rId305" Type="http://schemas.openxmlformats.org/officeDocument/2006/relationships/image" Target="media/image206.png"/><Relationship Id="rId306" Type="http://schemas.openxmlformats.org/officeDocument/2006/relationships/image" Target="media/image207.png"/><Relationship Id="rId307" Type="http://schemas.openxmlformats.org/officeDocument/2006/relationships/image" Target="media/image208.png"/><Relationship Id="rId308" Type="http://schemas.openxmlformats.org/officeDocument/2006/relationships/image" Target="media/image209.png"/><Relationship Id="rId309" Type="http://schemas.openxmlformats.org/officeDocument/2006/relationships/image" Target="media/image210.png"/><Relationship Id="rId189" Type="http://schemas.openxmlformats.org/officeDocument/2006/relationships/hyperlink" Target="http://www.sec.gov/Archives/edgar/data/1838987/000121390024110645/ea022515001ex1-2_complete.htm" TargetMode="External"/><Relationship Id="rId190" Type="http://schemas.openxmlformats.org/officeDocument/2006/relationships/hyperlink" Target="http://www.sec.gov/Archives/edgar/data/1838987/000119312523155921/d425844ds4a.htm#anxacov" TargetMode="External"/><Relationship Id="rId191" Type="http://schemas.openxmlformats.org/officeDocument/2006/relationships/hyperlink" Target="http://www.sec.gov/Archives/edgar/data/1838987/000119312523030704/d425844dex24.htm" TargetMode="External"/><Relationship Id="rId192" Type="http://schemas.openxmlformats.org/officeDocument/2006/relationships/hyperlink" Target="http://www.sec.gov/Archives/edgar/data/1838987/000119312523239699/d558159dex21.htm" TargetMode="External"/><Relationship Id="rId193" Type="http://schemas.openxmlformats.org/officeDocument/2006/relationships/hyperlink" Target="http://www.sec.gov/Archives/edgar/data/1838987/000119312523191334/d862117dex31.htm" TargetMode="External"/><Relationship Id="rId194" Type="http://schemas.openxmlformats.org/officeDocument/2006/relationships/hyperlink" Target="http://www.sec.gov/Archives/edgar/data/1838987/000121390025101247/ea026184401ex3-1_sunpower.htm" TargetMode="External"/><Relationship Id="rId195" Type="http://schemas.openxmlformats.org/officeDocument/2006/relationships/hyperlink" Target="http://www.sec.gov/Archives/edgar/data/1838987/000121390025101247/ea026184401ex3-2_sunpower.htm" TargetMode="External"/><Relationship Id="rId196" Type="http://schemas.openxmlformats.org/officeDocument/2006/relationships/hyperlink" Target="http://www.sec.gov/Archives/edgar/data/1838987/000119312523255093/d569645dex41.htm" TargetMode="External"/><Relationship Id="rId197" Type="http://schemas.openxmlformats.org/officeDocument/2006/relationships/hyperlink" Target="http://www.sec.gov/Archives/edgar/data/1838987/000119312523255093/d569645dex42.htm" TargetMode="External"/><Relationship Id="rId198" Type="http://schemas.openxmlformats.org/officeDocument/2006/relationships/hyperlink" Target="http://www.sec.gov/Archives/edgar/data/1838987/000119312523192359/d530739dex41.htm" TargetMode="External"/><Relationship Id="rId199" Type="http://schemas.openxmlformats.org/officeDocument/2006/relationships/hyperlink" Target="http://www.sec.gov/Archives/edgar/data/1838987/000095010321003441/dp147251_ex0401.htm" TargetMode="External"/><Relationship Id="rId200" Type="http://schemas.openxmlformats.org/officeDocument/2006/relationships/hyperlink" Target="https://www.sec.gov/Archives/edgar/data/1838987/000121390024082266/ea021574201ex4-1_complete.htm" TargetMode="External"/><Relationship Id="rId201" Type="http://schemas.openxmlformats.org/officeDocument/2006/relationships/hyperlink" Target="http://www.sec.gov/Archives/edgar/data/1838987/000121390024014892/ea193922ex10-1_complete.htm" TargetMode="External"/><Relationship Id="rId202" Type="http://schemas.openxmlformats.org/officeDocument/2006/relationships/hyperlink" Target="https://www.sec.gov/Archives/edgar/data/1838987/000121390024082266/ea021574201ex4-2_complete.htm" TargetMode="External"/><Relationship Id="rId203" Type="http://schemas.openxmlformats.org/officeDocument/2006/relationships/hyperlink" Target="http://www.sec.gov/Archives/edgar/data/1838987/000121390024059870/ea020910501ex10-2_complete.htm" TargetMode="External"/><Relationship Id="rId204" Type="http://schemas.openxmlformats.org/officeDocument/2006/relationships/hyperlink" Target="http://www.sec.gov/Archives/edgar/data/1838987/000121390025089842/ea025817301ex10-2_complete.htm" TargetMode="External"/><Relationship Id="rId205" Type="http://schemas.openxmlformats.org/officeDocument/2006/relationships/hyperlink" Target="https://www.sec.gov/Archives/edgar/data/1838987/000121390024110645/ea022515001ex4-13_complete.htm" TargetMode="External"/><Relationship Id="rId206" Type="http://schemas.openxmlformats.org/officeDocument/2006/relationships/hyperlink" Target="http://www.sec.gov/Archives/edgar/data/1838987/000121390025064680/ea024916501ex4-1_complete.htm" TargetMode="External"/><Relationship Id="rId207" Type="http://schemas.openxmlformats.org/officeDocument/2006/relationships/hyperlink" Target="http://www.sec.gov/Archives/edgar/data/1838987/000121390024082266/ea021574201ex4-2_complete.htm" TargetMode="External"/><Relationship Id="rId208" Type="http://schemas.openxmlformats.org/officeDocument/2006/relationships/hyperlink" Target="http://www.sec.gov/Archives/edgar/data/1838987/000121390025114179/ea026696401ex4-1_sunpower.htm" TargetMode="External"/><Relationship Id="rId209" Type="http://schemas.openxmlformats.org/officeDocument/2006/relationships/hyperlink" Target="http://www.sec.gov/Archives/edgar/data/1838987/000121390026009812/ea027447901ex4-1_sunpower.htm" TargetMode="External"/><Relationship Id="rId210" Type="http://schemas.openxmlformats.org/officeDocument/2006/relationships/hyperlink" Target="http://www.sec.gov/Archives/edgar/data/1838987/000121390026009812/ea027447901ex10-2_sunpower.htm" TargetMode="External"/><Relationship Id="rId211" Type="http://schemas.openxmlformats.org/officeDocument/2006/relationships/hyperlink" Target="http://www.sec.gov/Archives/edgar/data/1838987/000121390026026160/ea028090601ex10-2.htm" TargetMode="External"/><Relationship Id="rId212" Type="http://schemas.openxmlformats.org/officeDocument/2006/relationships/hyperlink" Target="http://www.sec.gov/Archives/edgar/data/1838987/000121390025037748/ea023783401ex4-8_complete.htm" TargetMode="External"/><Relationship Id="rId213" Type="http://schemas.openxmlformats.org/officeDocument/2006/relationships/hyperlink" Target="http://www.sec.gov/Archives/edgar/data/1838987/000119312523192359/d530739dex1023.htm" TargetMode="External"/><Relationship Id="rId214" Type="http://schemas.openxmlformats.org/officeDocument/2006/relationships/hyperlink" Target="http://www.sec.gov/Archives/edgar/data/1838987/000119312523192359/d530739dex1024.htm" TargetMode="External"/><Relationship Id="rId215" Type="http://schemas.openxmlformats.org/officeDocument/2006/relationships/hyperlink" Target="http://www.sec.gov/Archives/edgar/data/1838987/000119312523192359/d530739dex1025.htm" TargetMode="External"/><Relationship Id="rId216" Type="http://schemas.openxmlformats.org/officeDocument/2006/relationships/hyperlink" Target="http://www.sec.gov/Archives/edgar/data/1838987/000119312523192359/d530739dex1026.htm" TargetMode="External"/><Relationship Id="rId217" Type="http://schemas.openxmlformats.org/officeDocument/2006/relationships/hyperlink" Target="http://www.sec.gov/Archives/edgar/data/1838987/000119312523192359/d530739dex1027.htm" TargetMode="External"/><Relationship Id="rId218" Type="http://schemas.openxmlformats.org/officeDocument/2006/relationships/hyperlink" Target="http://www.sec.gov/Archives/edgar/data/1838987/000119312523192359/d530739dex1028.htm" TargetMode="External"/><Relationship Id="rId219" Type="http://schemas.openxmlformats.org/officeDocument/2006/relationships/hyperlink" Target="http://www.sec.gov/Archives/edgar/data/1838987/000119312523192359/d530739dex1029.htm" TargetMode="External"/><Relationship Id="rId220" Type="http://schemas.openxmlformats.org/officeDocument/2006/relationships/hyperlink" Target="http://www.sec.gov/Archives/edgar/data/1838987/000119312523192359/d530739dex1030.htm" TargetMode="External"/><Relationship Id="rId221" Type="http://schemas.openxmlformats.org/officeDocument/2006/relationships/hyperlink" Target="http://www.sec.gov/Archives/edgar/data/1838987/000119312523192359/d530739dex1031.htm" TargetMode="External"/><Relationship Id="rId222" Type="http://schemas.openxmlformats.org/officeDocument/2006/relationships/hyperlink" Target="http://www.sec.gov/Archives/edgar/data/1838987/000119312523192359/d530739dex1032.htm" TargetMode="External"/><Relationship Id="rId223" Type="http://schemas.openxmlformats.org/officeDocument/2006/relationships/hyperlink" Target="http://www.sec.gov/Archives/edgar/data/1838987/000119312523186922/d530874dex101.htm" TargetMode="External"/><Relationship Id="rId224" Type="http://schemas.openxmlformats.org/officeDocument/2006/relationships/hyperlink" Target="http://www.sec.gov/Archives/edgar/data/1838987/000119312523185048/d532459dex101.htm" TargetMode="External"/><Relationship Id="rId225" Type="http://schemas.openxmlformats.org/officeDocument/2006/relationships/hyperlink" Target="http://www.sec.gov/Archives/edgar/data/1838987/000119312523184254/d531627dex101.htm" TargetMode="External"/><Relationship Id="rId226" Type="http://schemas.openxmlformats.org/officeDocument/2006/relationships/hyperlink" Target="http://www.sec.gov/Archives/edgar/data/1838987/000119312523192359/d530739dex105.htm" TargetMode="External"/><Relationship Id="rId227" Type="http://schemas.openxmlformats.org/officeDocument/2006/relationships/hyperlink" Target="http://www.sec.gov/Archives/edgar/data/1838987/000119312523192359/d530739dex106.htm" TargetMode="External"/><Relationship Id="rId228" Type="http://schemas.openxmlformats.org/officeDocument/2006/relationships/hyperlink" Target="http://www.sec.gov/Archives/edgar/data/1838987/000119312523192359/d530739dex107.htm" TargetMode="External"/><Relationship Id="rId229" Type="http://schemas.openxmlformats.org/officeDocument/2006/relationships/hyperlink" Target="http://www.sec.gov/Archives/edgar/data/1838987/000119312523141069/d425844dex1022.htm" TargetMode="External"/><Relationship Id="rId230" Type="http://schemas.openxmlformats.org/officeDocument/2006/relationships/hyperlink" Target="https://www.sec.gov/Archives/edgar/data/1838987/000121390024059870/ea020910501ex10-1_complete.htm" TargetMode="External"/><Relationship Id="rId231" Type="http://schemas.openxmlformats.org/officeDocument/2006/relationships/hyperlink" Target="https://www.sec.gov/Archives/edgar/data/1838987/000121390024059870/ea020910501ex10-2_complete.htm" TargetMode="External"/><Relationship Id="rId232" Type="http://schemas.openxmlformats.org/officeDocument/2006/relationships/hyperlink" Target="https://www.sec.gov/Archives/edgar/data/1838987/000121390024059870/ea020910501ex10-3_complete.htm" TargetMode="External"/><Relationship Id="rId233" Type="http://schemas.openxmlformats.org/officeDocument/2006/relationships/hyperlink" Target="https://www.sec.gov/Archives/edgar/data/1838987/000121390024082266/ea021574201ex10-1_complete.htm" TargetMode="External"/><Relationship Id="rId234" Type="http://schemas.openxmlformats.org/officeDocument/2006/relationships/hyperlink" Target="https://www.sec.gov/Archives/edgar/data/1838987/000121390024063629/ea020991301ex10-1_complete.htm" TargetMode="External"/><Relationship Id="rId235" Type="http://schemas.openxmlformats.org/officeDocument/2006/relationships/hyperlink" Target="https://www.sec.gov/Archives/edgar/data/1838987/000121390024062183/ea020939801ex10-1_complete.htm" TargetMode="External"/><Relationship Id="rId236" Type="http://schemas.openxmlformats.org/officeDocument/2006/relationships/hyperlink" Target="https://www.sec.gov/Archives/edgar/data/1838987/000101376224001581/ea021010801ex10-1_complete.htm" TargetMode="External"/><Relationship Id="rId237" Type="http://schemas.openxmlformats.org/officeDocument/2006/relationships/hyperlink" Target="https://www.sec.gov/Archives/edgar/data/1838987/000121390024070909/ea021183501ex10-1_complete.htm" TargetMode="External"/><Relationship Id="rId238" Type="http://schemas.openxmlformats.org/officeDocument/2006/relationships/hyperlink" Target="http://www.sec.gov/Archives/edgar/data/1838987/000121390026003483/ea027251301ex10-1_sunpower.htm" TargetMode="External"/><Relationship Id="rId239" Type="http://schemas.openxmlformats.org/officeDocument/2006/relationships/hyperlink" Target="https://www.sec.gov/Archives/edgar/data/1838987/000121390024062183/ea020939801ex10-2_complete.htm" TargetMode="External"/><Relationship Id="rId240" Type="http://schemas.openxmlformats.org/officeDocument/2006/relationships/hyperlink" Target="https://www.sec.gov/Archives/edgar/data/1838987/000121390024063080/ea020954501ex10-47_comp.htm" TargetMode="External"/><Relationship Id="rId241" Type="http://schemas.openxmlformats.org/officeDocument/2006/relationships/hyperlink" Target="https://www.sec.gov/Archives/edgar/data/1838987/000121390024065369/ea0210606ex10-1_complete.htm" TargetMode="External"/><Relationship Id="rId242" Type="http://schemas.openxmlformats.org/officeDocument/2006/relationships/hyperlink" Target="https://www.sec.gov/Archives/edgar/data/1838987/000121390024088191/ea021775901ex10-1_complete.htm" TargetMode="External"/><Relationship Id="rId243" Type="http://schemas.openxmlformats.org/officeDocument/2006/relationships/hyperlink" Target="https://www.sec.gov/Archives/edgar/data/1838987/000121390024084077/ea021637401ex10-1_complete.htm" TargetMode="External"/><Relationship Id="rId244" Type="http://schemas.openxmlformats.org/officeDocument/2006/relationships/hyperlink" Target="https://www.sec.gov/Archives/edgar/data/1838987/000121390024034907/ea020435701ex10-1_complete.htm" TargetMode="External"/><Relationship Id="rId245" Type="http://schemas.openxmlformats.org/officeDocument/2006/relationships/hyperlink" Target="http://www.sec.gov/Archives/edgar/data/1838987/000121390024042914/ea020601801ex10-1_complete.htm" TargetMode="External"/><Relationship Id="rId246" Type="http://schemas.openxmlformats.org/officeDocument/2006/relationships/hyperlink" Target="http://www.sec.gov/Archives/edgar/data/1838987/000121390024042914/ea020601801ex10-2_complete.htm" TargetMode="External"/><Relationship Id="rId247" Type="http://schemas.openxmlformats.org/officeDocument/2006/relationships/hyperlink" Target="http://www.sec.gov/Archives/edgar/data/1838987/000121390024044730/ea020599101ex10-1_complete.htm" TargetMode="External"/><Relationship Id="rId248" Type="http://schemas.openxmlformats.org/officeDocument/2006/relationships/hyperlink" Target="http://www.sec.gov/Archives/edgar/data/1838987/000121390024068973/ea021055601ex10-7_complete.htm" TargetMode="External"/><Relationship Id="rId249" Type="http://schemas.openxmlformats.org/officeDocument/2006/relationships/hyperlink" Target="http://www.sec.gov/Archives/edgar/data/1838987/000121390024054298/ea020820901ex10-1_complete.htm" TargetMode="External"/><Relationship Id="rId250" Type="http://schemas.openxmlformats.org/officeDocument/2006/relationships/hyperlink" Target="http://www.sec.gov/Archives/edgar/data/1838987/000121390024054756/ea020827201ex10-1_complete.htm" TargetMode="External"/><Relationship Id="rId251" Type="http://schemas.openxmlformats.org/officeDocument/2006/relationships/hyperlink" Target="http://www.sec.gov/Archives/edgar/data/1838987/000121390024055210/ea020839101ex10-1_complete.htm" TargetMode="External"/><Relationship Id="rId252" Type="http://schemas.openxmlformats.org/officeDocument/2006/relationships/hyperlink" Target="http://www.sec.gov/Archives/edgar/data/1838987/000121390024055210/ea020839101ex10-2_complete.htm" TargetMode="External"/><Relationship Id="rId253" Type="http://schemas.openxmlformats.org/officeDocument/2006/relationships/hyperlink" Target="http://www.sec.gov/Archives/edgar/data/1838987/000119312523192359/d530739dex108.htm" TargetMode="External"/><Relationship Id="rId254" Type="http://schemas.openxmlformats.org/officeDocument/2006/relationships/hyperlink" Target="http://www.sec.gov/Archives/edgar/data/1838987/000119312523192359/d530739dex109.htm" TargetMode="External"/><Relationship Id="rId255" Type="http://schemas.openxmlformats.org/officeDocument/2006/relationships/hyperlink" Target="http://www.sec.gov/Archives/edgar/data/1838987/000119312523192359/d530739dex1010.htm" TargetMode="External"/><Relationship Id="rId256" Type="http://schemas.openxmlformats.org/officeDocument/2006/relationships/hyperlink" Target="http://www.sec.gov/Archives/edgar/data/1838987/000119312523192359/d530739dex1011.htm" TargetMode="External"/><Relationship Id="rId257" Type="http://schemas.openxmlformats.org/officeDocument/2006/relationships/hyperlink" Target="http://www.sec.gov/Archives/edgar/data/1838987/000119312523192359/d530739dex1012.htm" TargetMode="External"/><Relationship Id="rId258" Type="http://schemas.openxmlformats.org/officeDocument/2006/relationships/hyperlink" Target="http://www.sec.gov/Archives/edgar/data/1838987/000119312523192359/d530739dex1013.htm" TargetMode="External"/><Relationship Id="rId259" Type="http://schemas.openxmlformats.org/officeDocument/2006/relationships/hyperlink" Target="http://www.sec.gov/Archives/edgar/data/1838987/000119312523192359/d530739dex1014.htm" TargetMode="External"/><Relationship Id="rId260" Type="http://schemas.openxmlformats.org/officeDocument/2006/relationships/hyperlink" Target="http://www.sec.gov/Archives/edgar/data/1838987/000119312523192359/d530739dex1015.htm" TargetMode="External"/><Relationship Id="rId261" Type="http://schemas.openxmlformats.org/officeDocument/2006/relationships/hyperlink" Target="http://www.sec.gov/Archives/edgar/data/1838987/000119312523192359/d530739dex1016.htm" TargetMode="External"/><Relationship Id="rId262" Type="http://schemas.openxmlformats.org/officeDocument/2006/relationships/hyperlink" Target="http://www.sec.gov/Archives/edgar/data/1838987/000121390024063080/ea020954501ex10-41_comp.htm" TargetMode="External"/><Relationship Id="rId263" Type="http://schemas.openxmlformats.org/officeDocument/2006/relationships/hyperlink" Target="https://www.sec.gov/Archives/edgar/data/1838987/000121390024059547/ea020897701ex10-1_complete.htm" TargetMode="External"/><Relationship Id="rId264" Type="http://schemas.openxmlformats.org/officeDocument/2006/relationships/hyperlink" Target="http://www.sec.gov/Archives/edgar/data/1838987/000121390025066104/ea024964401ex10-1_comple.htm" TargetMode="External"/><Relationship Id="rId265" Type="http://schemas.openxmlformats.org/officeDocument/2006/relationships/hyperlink" Target="http://www.sec.gov/Archives/edgar/data/1838987/000121390025066104/ea024964401ex10-2_comple.htm" TargetMode="External"/><Relationship Id="rId266" Type="http://schemas.openxmlformats.org/officeDocument/2006/relationships/hyperlink" Target="http://www.sec.gov/Archives/edgar/data/1838987/000121390025071336/ea025156001ex10-1_complete.htm" TargetMode="External"/><Relationship Id="rId267" Type="http://schemas.openxmlformats.org/officeDocument/2006/relationships/hyperlink" Target="http://www.sec.gov/Archives/edgar/data/1838987/000121390025089842/ea025817301ex10-1_complete.htm" TargetMode="External"/><Relationship Id="rId268" Type="http://schemas.openxmlformats.org/officeDocument/2006/relationships/hyperlink" Target="http://www.sec.gov/Archives/edgar/data/1838987/000121390025113856/ea026676801ex10-1_sunpower.htm" TargetMode="External"/><Relationship Id="rId269" Type="http://schemas.openxmlformats.org/officeDocument/2006/relationships/hyperlink" Target="http://www.sec.gov/Archives/edgar/data/1838987/000121390026009812/ea027447901ex10-1_sunpower.htm" TargetMode="External"/><Relationship Id="rId270" Type="http://schemas.openxmlformats.org/officeDocument/2006/relationships/hyperlink" Target="http://www.sec.gov/Archives/edgar/data/1838987/000121390026009812/ea027447901ex10-3_sunpower.htm" TargetMode="External"/><Relationship Id="rId271" Type="http://schemas.openxmlformats.org/officeDocument/2006/relationships/hyperlink" Target="https://www.sec.gov/Archives/edgar/data/1838987/000121390026010846/ea027497601ex10-1_sunpower.htm" TargetMode="External"/><Relationship Id="rId272" Type="http://schemas.openxmlformats.org/officeDocument/2006/relationships/hyperlink" Target="http://www.sec.gov/Archives/edgar/data/1838987/000121390026026160/ea028090601ex10-1.htm" TargetMode="External"/><Relationship Id="rId273" Type="http://schemas.openxmlformats.org/officeDocument/2006/relationships/hyperlink" Target="http://www.sec.gov/Archives/edgar/data/1838987/000121390026026160/ea028090601ex10-3.htm" TargetMode="External"/><Relationship Id="rId274" Type="http://schemas.openxmlformats.org/officeDocument/2006/relationships/hyperlink" Target="http://www.sec.gov/Archives/edgar/data/1838987/000121390026026160/ea028090601ex10-4.htm" TargetMode="External"/><Relationship Id="rId275" Type="http://schemas.openxmlformats.org/officeDocument/2006/relationships/hyperlink" Target="http://www.sec.gov/Archives/edgar/data/1838987/000121390026012763/ea027575801ex10-1_sunpower.htm" TargetMode="External"/><Relationship Id="rId276" Type="http://schemas.openxmlformats.org/officeDocument/2006/relationships/hyperlink" Target="https://www.sec.gov/Archives/edgar/data/1838987/000121390024064146/ea021041601ex16-1_complete.htm" TargetMode="External"/><Relationship Id="rId277" Type="http://schemas.openxmlformats.org/officeDocument/2006/relationships/hyperlink" Target="https://www.sec.gov/Archives/edgar/data/1838987/000119312523192359/d530739dex161.htm" TargetMode="External"/><Relationship Id="rId278" Type="http://schemas.openxmlformats.org/officeDocument/2006/relationships/hyperlink" Target="http://www.sec.gov/Archives/edgar/data/1838987/000121390025037748/ea023783401ex19-1_complete.htm" TargetMode="External"/><Relationship Id="rId279" Type="http://schemas.openxmlformats.org/officeDocument/2006/relationships/hyperlink" Target="https://www.sec.gov/Archives/edgar/data/1838987/000119312523206474/d508460dex211.htm" TargetMode="External"/><Relationship Id="rId280" Type="http://schemas.openxmlformats.org/officeDocument/2006/relationships/hyperlink" Target="http://www.sec.gov/Archives/edgar/data/1838987/000121390025037748/ea023783401ex97-1_comple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2026-04-14T16:28:51Z</dcterms:created>
  <dcterms:modified xsi:type="dcterms:W3CDTF">2026-04-14T16:28:51Z</dcterms:modified>
</cp:coreProperties>
</file>