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1403 N. Research Way, Orem, UT</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84097</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299-4943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SPWRW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29, 2026 and June 30, 2026, SunPower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separately- and privately- negotiated agreements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certain holders of its 12.0% Convertible Senior Notes due 2029 (the “</w:t>
      </w:r>
      <w:r>
        <w:rPr>
          <w:rFonts w:ascii="Times New Roman" w:cs="Times New Roman" w:eastAsia="Times New Roman" w:hAnsi="Times New Roman"/>
          <w:sz w:val="18"/>
          <w:szCs w:val="18"/>
          <w:b w:val="1"/>
          <w:bCs w:val="1"/>
          <w:i w:val="1"/>
          <w:iCs w:val="1"/>
          <w:color w:val="auto"/>
        </w:rPr>
        <w:t>12.0% Notes</w:t>
      </w:r>
      <w:r>
        <w:rPr>
          <w:rFonts w:ascii="Times New Roman" w:cs="Times New Roman" w:eastAsia="Times New Roman" w:hAnsi="Times New Roman"/>
          <w:sz w:val="18"/>
          <w:szCs w:val="18"/>
          <w:color w:val="auto"/>
        </w:rPr>
        <w:t>”), 10.0% Convertible Senior Secured Notes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2029 (the “</w:t>
      </w:r>
      <w:r>
        <w:rPr>
          <w:rFonts w:ascii="Times New Roman" w:cs="Times New Roman" w:eastAsia="Times New Roman" w:hAnsi="Times New Roman"/>
          <w:sz w:val="18"/>
          <w:szCs w:val="18"/>
          <w:b w:val="1"/>
          <w:bCs w:val="1"/>
          <w:i w:val="1"/>
          <w:iCs w:val="1"/>
          <w:color w:val="auto"/>
        </w:rPr>
        <w:t>10.0% Notes</w:t>
      </w:r>
      <w:r>
        <w:rPr>
          <w:rFonts w:ascii="Times New Roman" w:cs="Times New Roman" w:eastAsia="Times New Roman" w:hAnsi="Times New Roman"/>
          <w:sz w:val="18"/>
          <w:szCs w:val="18"/>
          <w:color w:val="auto"/>
        </w:rPr>
        <w:t>”) and 7.0% Convertible Senior Notes due 2029 (the “</w:t>
      </w:r>
      <w:r>
        <w:rPr>
          <w:rFonts w:ascii="Times New Roman" w:cs="Times New Roman" w:eastAsia="Times New Roman" w:hAnsi="Times New Roman"/>
          <w:sz w:val="18"/>
          <w:szCs w:val="18"/>
          <w:b w:val="1"/>
          <w:bCs w:val="1"/>
          <w:i w:val="1"/>
          <w:iCs w:val="1"/>
          <w:color w:val="auto"/>
        </w:rPr>
        <w:t>7.0% Notes</w:t>
      </w:r>
      <w:r>
        <w:rPr>
          <w:rFonts w:ascii="Times New Roman" w:cs="Times New Roman" w:eastAsia="Times New Roman" w:hAnsi="Times New Roman"/>
          <w:sz w:val="18"/>
          <w:szCs w:val="18"/>
          <w:color w:val="auto"/>
        </w:rPr>
        <w:t>” and together with the 12.0% Notes and the 10.0% Notes, collectively,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Exchange Agreements, the applicable holders of Notes agreed to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approximately $10.7 million of cash interest otherwise payable on July 1, 2026, October 1, 2026 and January 1, 2027 (the “</w:t>
      </w:r>
      <w:r>
        <w:rPr>
          <w:rFonts w:ascii="Times New Roman" w:cs="Times New Roman" w:eastAsia="Times New Roman" w:hAnsi="Times New Roman"/>
          <w:sz w:val="18"/>
          <w:szCs w:val="18"/>
          <w:b w:val="1"/>
          <w:bCs w:val="1"/>
          <w:i w:val="1"/>
          <w:iCs w:val="1"/>
          <w:color w:val="auto"/>
        </w:rPr>
        <w:t>Exchanged Interest Amounts</w:t>
      </w:r>
      <w:r>
        <w:rPr>
          <w:rFonts w:ascii="Times New Roman" w:cs="Times New Roman" w:eastAsia="Times New Roman" w:hAnsi="Times New Roman"/>
          <w:sz w:val="18"/>
          <w:szCs w:val="18"/>
          <w:color w:val="auto"/>
        </w:rPr>
        <w:t>”) for 19,300,991 shares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transactions under the Exchange Agreements 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and the Exchange Shares were issued on, July 1, 2026. As a result of the Exchange, the Exchanged Interest Amounts will not be payable in cash by the Company on the applicable payment dates under the Notes. The Exchange Agreements include registration rights, representations and warranties and other covenants that are customary for such exchange transactions.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Exchange Agreements is qualified in its entirety by reference to the copy of the form of Exchange Agreement attached as Exhibit 10.1 to this Current Report on Form 8-K, and such Exhibit 10.1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Exchange Shares in reliance upon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Exchange Shares have not been registered under the Securities Act and may not be offered or sold in the United States absent registration or an applicable exemption from registration requirements. This Current Report on Form 8-K shall not constitute an offer to sell or the solicitation of an offer to buy, nor shall such securities be offered or sold in the United States absent registration or an applicable exemption from the registration requirements and certificates evidencing such shares contain a legend stating the same.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2026, the Company issued a press release announcing the Exchange.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1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4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74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Equity for Interest Exchange Agreement+*</w:t>
            </w:r>
          </w:p>
        </w:tc>
        <w:tc>
          <w:tcPr>
            <w:tcW w:w="63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1,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9" w:lineRule="exact"/>
        <w:rPr>
          <w:sz w:val="20"/>
          <w:szCs w:val="20"/>
          <w:color w:val="auto"/>
        </w:rPr>
      </w:pPr>
    </w:p>
    <w:p>
      <w:pPr>
        <w:ind w:left="1160" w:hanging="1139"/>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ind w:left="5580" w:right="4080" w:hanging="5572"/>
        <w:spacing w:after="0" w:line="783"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un</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FOR INTEREST EXCHANGE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Equity for Interest Exchange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SunPower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holder(s) party hereto (collectively,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Holder is the beneficial and record owner of the aggregate principal amount of (a) 12.0% Convertible Senior Notes due 2029 of the Company (the “</w:t>
      </w:r>
      <w:r>
        <w:rPr>
          <w:rFonts w:ascii="Times New Roman" w:cs="Times New Roman" w:eastAsia="Times New Roman" w:hAnsi="Times New Roman"/>
          <w:sz w:val="18"/>
          <w:szCs w:val="18"/>
          <w:b w:val="1"/>
          <w:bCs w:val="1"/>
          <w:color w:val="auto"/>
        </w:rPr>
        <w:t>12.0% Notes</w:t>
      </w:r>
      <w:r>
        <w:rPr>
          <w:rFonts w:ascii="Times New Roman" w:cs="Times New Roman" w:eastAsia="Times New Roman" w:hAnsi="Times New Roman"/>
          <w:sz w:val="18"/>
          <w:szCs w:val="18"/>
          <w:color w:val="auto"/>
        </w:rPr>
        <w:t>”) and/or (b) 7.0% Convertible Senior Notes due 2029 of the Company (the “</w:t>
      </w:r>
      <w:r>
        <w:rPr>
          <w:rFonts w:ascii="Times New Roman" w:cs="Times New Roman" w:eastAsia="Times New Roman" w:hAnsi="Times New Roman"/>
          <w:sz w:val="18"/>
          <w:szCs w:val="18"/>
          <w:b w:val="1"/>
          <w:bCs w:val="1"/>
          <w:color w:val="auto"/>
        </w:rPr>
        <w:t>7.0% Notes</w:t>
      </w:r>
      <w:r>
        <w:rPr>
          <w:rFonts w:ascii="Times New Roman" w:cs="Times New Roman" w:eastAsia="Times New Roman" w:hAnsi="Times New Roman"/>
          <w:sz w:val="18"/>
          <w:szCs w:val="18"/>
          <w:color w:val="auto"/>
        </w:rPr>
        <w:t>”), as applicable, as set forth on</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Applicable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Subject to the terms and conditions of this Agreement, the Holder and the Company wish to exchange the cash interest amounts otherwise payable on July 1, 2026 and January 1, 2027 pursuant to the Applicable Notes and the Indenture dated as of September 16, 2024 between the Company and U.S. Bank Trust Company, National Association, as trustee (the “</w:t>
      </w:r>
      <w:r>
        <w:rPr>
          <w:rFonts w:ascii="Times New Roman" w:cs="Times New Roman" w:eastAsia="Times New Roman" w:hAnsi="Times New Roman"/>
          <w:sz w:val="18"/>
          <w:szCs w:val="18"/>
          <w:b w:val="1"/>
          <w:bCs w:val="1"/>
          <w:color w:val="auto"/>
        </w:rPr>
        <w:t>7.0% Notes Indenture</w:t>
      </w:r>
      <w:r>
        <w:rPr>
          <w:rFonts w:ascii="Times New Roman" w:cs="Times New Roman" w:eastAsia="Times New Roman" w:hAnsi="Times New Roman"/>
          <w:sz w:val="18"/>
          <w:szCs w:val="18"/>
          <w:color w:val="auto"/>
        </w:rPr>
        <w:t xml:space="preserve">”), such cash interest amounts as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Interest Amounts</w:t>
      </w:r>
      <w:r>
        <w:rPr>
          <w:rFonts w:ascii="Times New Roman" w:cs="Times New Roman" w:eastAsia="Times New Roman" w:hAnsi="Times New Roman"/>
          <w:sz w:val="18"/>
          <w:szCs w:val="18"/>
          <w:color w:val="auto"/>
        </w:rPr>
        <w:t>”) for a number of shares of the common stock of the Company,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specific in this Agreement. The exchange of the Interest Amounts for the Exchange Shares (as defined below) pursuant to this Agreement is referred to as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transactions under this Agreement have been privately and separately negotiated and agreed to between the Holder and the Company, and the agreements set forth herein are not contingent or conditioned upon any other transactions and are subject only to the satisfaction of the express conditions set forth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Exchange is being made in reliance upon the exemptions from registration provided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mutual covenants hereinafter contained, the parties hereto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56"/>
        <w:spacing w:after="0" w:line="259" w:lineRule="auto"/>
        <w:tabs>
          <w:tab w:leader="none" w:pos="8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w:t>
      </w:r>
      <w:r>
        <w:rPr>
          <w:rFonts w:ascii="Times New Roman" w:cs="Times New Roman" w:eastAsia="Times New Roman" w:hAnsi="Times New Roman"/>
          <w:sz w:val="18"/>
          <w:szCs w:val="18"/>
          <w:color w:val="auto"/>
        </w:rPr>
        <w:t>Subject to the terms and conditions set forth in this Agreement, at the Closing (as defined below) the Holder hereby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the Interest Amounts otherwise payable pursuant to the Applicable Notes and the 7.0% Notes Indenture for the issuance, delivery and payment to such Holder, which shall be in full satisfaction of all obligations of the Company under the Applicable Notes and the 7.0% Notes Indenture with respect to the payment of the Interest Amounts, of a number of shares of Common Stock equal to [●] (such number of shares, the “</w:t>
      </w:r>
      <w:r>
        <w:rPr>
          <w:rFonts w:ascii="Times New Roman" w:cs="Times New Roman" w:eastAsia="Times New Roman" w:hAnsi="Times New Roman"/>
          <w:sz w:val="18"/>
          <w:szCs w:val="18"/>
          <w:b w:val="1"/>
          <w:bCs w:val="1"/>
          <w:color w:val="auto"/>
        </w:rPr>
        <w:t>Exchange Shares</w:t>
      </w:r>
      <w:r>
        <w:rPr>
          <w:rFonts w:ascii="Times New Roman" w:cs="Times New Roman" w:eastAsia="Times New Roman" w:hAnsi="Times New Roman"/>
          <w:sz w:val="18"/>
          <w:szCs w:val="18"/>
          <w:color w:val="auto"/>
        </w:rPr>
        <w:t>”). On [●], the Company will notify the Holder by e-mail of the total Exchange Shares to be delivered in exchange for the Interest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 for 10.0%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and Closing Deliveries; Extinguishment of Obligations; Release.</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 and Closing Deliverables</w:t>
      </w:r>
      <w:r>
        <w:rPr>
          <w:rFonts w:ascii="Times New Roman" w:cs="Times New Roman" w:eastAsia="Times New Roman" w:hAnsi="Times New Roman"/>
          <w:sz w:val="18"/>
          <w:szCs w:val="18"/>
          <w:color w:val="auto"/>
        </w:rPr>
        <w:t>. The closing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at the offices of Arnold &amp; Porter Kaye Scholer LLP, New York, New York, at [●] , subject to the satisfaction or waiver of the conditions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such other date and/or location as the Holder and the Company may mutually agree. At the Closing, the Company shall deliver to the Holder written evidence of the issuance by the Company of the number of Exchange Shares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to the Company’s transfer agent via book-entry delivery in accordance with the instructions received from the Holder, without deduction or withholding of any amounts therefrom on account of taxes or otherwise.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Extinguishment of All Obligations for Interest Amounts</w:t>
      </w:r>
      <w:r>
        <w:rPr>
          <w:rFonts w:ascii="Times New Roman" w:cs="Times New Roman" w:eastAsia="Times New Roman" w:hAnsi="Times New Roman"/>
          <w:sz w:val="18"/>
          <w:szCs w:val="18"/>
          <w:color w:val="auto"/>
        </w:rPr>
        <w:t>. Upon the consummation of the Exchange, the Company’s obligations with respect to the Interest Amounts under the Applicable Notes and the 7.0% Notes Indenture shall be satisfied in full (as if such Interest Amounts had been paid in cash pursuant to the terms of the Applicable Notes and the 7.0% Notes Indenture), and the Company shall have no liability or obligation with respect to the payment in cash of the Interest Amounts that otherwise would have been payable on July 1, 2026 and January 1, 2027 pursuant to the terms of the Applicable Notes and the 7.0% Notes Indenture.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Effective upon issuance of the Exchange Shares at the Closing, and in consideration of the issuance of the Exchange Shares and the other agreements under this Agreement, the Holder and each of its successors, assigns, affiliates and persons acting by, through or under any of them (collectively, the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hereby waive and release and forever discharge, to the fullest extent permitted under applicable law, the Company and its affiliates, and their respective agents, attorneys, representatives, stockholders, directors, officers, managers, employees, predecessors, successors and assigns (collectively, the “</w:t>
      </w:r>
      <w:r>
        <w:rPr>
          <w:rFonts w:ascii="Times New Roman" w:cs="Times New Roman" w:eastAsia="Times New Roman" w:hAnsi="Times New Roman"/>
          <w:sz w:val="18"/>
          <w:szCs w:val="18"/>
          <w:b w:val="1"/>
          <w:bCs w:val="1"/>
          <w:color w:val="auto"/>
        </w:rPr>
        <w:t>Company Parties</w:t>
      </w:r>
      <w:r>
        <w:rPr>
          <w:rFonts w:ascii="Times New Roman" w:cs="Times New Roman" w:eastAsia="Times New Roman" w:hAnsi="Times New Roman"/>
          <w:sz w:val="18"/>
          <w:szCs w:val="18"/>
          <w:color w:val="auto"/>
        </w:rPr>
        <w:t>”), of and from any and all liabilities and obligations with respect to the payment Interest Amounts in accordance with the Applicable Notes and the 7.0% Notes Indenture. The Releasors irrevocably covenant to refrain from asserting any claims or demands, or commencing, instituting or causing to be commenced, any proceeding of any kind against the Company Parties based upon any claim or matter purported to be released by the foregoing.</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 to Applicable Notes</w:t>
      </w:r>
      <w:r>
        <w:rPr>
          <w:rFonts w:ascii="Times New Roman" w:cs="Times New Roman" w:eastAsia="Times New Roman" w:hAnsi="Times New Roman"/>
          <w:sz w:val="18"/>
          <w:szCs w:val="18"/>
          <w:color w:val="auto"/>
        </w:rPr>
        <w:t>. The Company and the Holder hereby agree that the Applicable Notes hereby are and will be deemed for all purposes to have been amended and modified by virtue of this Agreement to the full extent necessary to permit and facilitate the Exchange as provided in this Agreement and the satisfaction of the payment of the Interest Amounts by the issuance of the Exchange Shares at Closing. All other interest amounts due under the Applicable Notes shall remain in full force and effect.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 xml:space="preserve">. The obligations of the Holder and the Company under this Agreement are subject to the satisfaction at or prior to the Closing of the following conditions precedent: (a) the representations and warranties of the Company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the Holder) and of the Holder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Company) shall be true and correct as of the Closing in all respects with the same effect as though such representations and warranties had been made as of the Closing, (b) no provision of any applicable law or any judgment, ruling, order, writ, injunction, award or decree of any governmental authority shall be in effect prohibiting or making illegal the consummation of the transactions contemplated by this Agreement, (c) the Company shall have instructed its transfer agent to issue the Exchange Shares, and (d) the Holder shall have delivered the suppression letter in the form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56"/>
        <w:spacing w:after="0" w:line="268"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Covenants, Representations and Warranties. </w:t>
      </w:r>
      <w:r>
        <w:rPr>
          <w:rFonts w:ascii="Times New Roman" w:cs="Times New Roman" w:eastAsia="Times New Roman" w:hAnsi="Times New Roman"/>
          <w:sz w:val="18"/>
          <w:szCs w:val="18"/>
          <w:color w:val="auto"/>
        </w:rPr>
        <w:t>The Company hereby covenants as follows and makes the following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warranties, each of which is and shall be true and correct on the date hereof and at the Closing, to the Holder, and all such covenants, representations and warranties shall survive the Closing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The Company has the requisite corporate power to own and operate its properties and assets and to carry on its business as now conducted and as proposed to be conducted. The Company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reasonably be expected to have a material adverse effect on the Company or the business of the Company and its subsidiaries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 Binding Obligations</w:t>
      </w:r>
      <w:r>
        <w:rPr>
          <w:rFonts w:ascii="Times New Roman" w:cs="Times New Roman" w:eastAsia="Times New Roman" w:hAnsi="Times New Roman"/>
          <w:sz w:val="18"/>
          <w:szCs w:val="18"/>
          <w:color w:val="auto"/>
        </w:rPr>
        <w:t>. The Company has all requisite corporate power to execute and deliver this Agreement and to perform its obligations hereunder, including the consummation of the Exchange in accordance with the terms of this Agreement. The execution, delivery and performance of this Agreement by the Company have been duly authorized by all necessary corporate action by the Company and its Board of Directors, and no further filing, consent or authorization is required by the Company, the Company’s Board of Directors or its stockholders. This Agreement has been (or upon delivery will have been) duly executed and delivered by the Company, and constitutes the legal, valid and binding obligation of the Company, enforceable against the Company in accordance with its terms, except as such enforceability may be limited by general principles of equity or applicable bankruptcy, insolvency, reorganization, moratorium, liquidation or similar laws relating to, or affecting creditors’ rights and remedies generally.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Company is not in, and the execution, delivery and performance of this Agreement by the Company will not result in, any violation of, conflict with or constitute, with or without the passage of time or giving of notice, a default under any term of</w:t>
      </w:r>
    </w:p>
    <w:p>
      <w:pPr>
        <w:jc w:val="both"/>
        <w:ind w:firstLine="8"/>
        <w:spacing w:after="0" w:line="251" w:lineRule="auto"/>
        <w:tabs>
          <w:tab w:leader="none" w:pos="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certificate of incorporation or bylaws, all as amended and as currently in effect, (b) any provision of any mortgage, indenture or contract to which it is a party and by which it, any of its subsidiaries or any of their respective assets is bound or (c) any statute, rule, regulation, judgment, decree, order or writ, other than, in the case of clauses (b) and (c), such violations, conflicts or defaults as would not reasonably be expected to have a Material Adverse Effect. The execution, delivery and performance of this Agreement by the Company will not result in the creation of any lien upon any assets of the Company or its subsidiaries, or the suspension, revocation, impairment, forfeiture, or nonrenewal of any material permit, license, authorization or approval applicable to the Company, or the business, operations, assets or properties of the Company or its subsidiaries. Without limiting the foregoing, the Company has obtained all waivers reasonably necessary with respect to any preemptive rights, rights of first refusal or similar rights, including any notice or offering periods provided for as part of any such rights, in order for the Company to consummate the transactions contemplated under this Agreement without any third party obtaining any rights to cause the Company to offer or issue any securities of the Company as a result of the consummation of the transactions contemplated hereunder.</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Securities Law Exemption</w:t>
      </w:r>
      <w:r>
        <w:rPr>
          <w:rFonts w:ascii="Times New Roman" w:cs="Times New Roman" w:eastAsia="Times New Roman" w:hAnsi="Times New Roman"/>
          <w:sz w:val="18"/>
          <w:szCs w:val="18"/>
          <w:color w:val="auto"/>
        </w:rPr>
        <w:t>. Assuming the accuracy of the representations and warranties of the Holder contained in this Agreement, the offer and issuance by the Company of the Exchange Shares pursuant to this Agreement are exempt from registration under Section 4(a)(2) of the Securities Act and are exempt from registration and qualification under the registration, permit, or qualification requirements of all applicable state securities laws.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All consents, approvals, orders, or authorizations of, or registrations, qualifications, designations, declarations, or filings with, any governmental authority or self-regulatory organization required on the part of the Company in connection with the execution, delivery and performance of this Agreement and the issuance of the Exchange Shares have been obtained or made. No shareholder approval is required pursuant to the rules of the Nasdaq Stock Market in connection with the execution, delivery or performance of this Agreement, the issuance of the Exchange Shares or the completion of the Exchange.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Issuance of Exchange Shares</w:t>
      </w:r>
      <w:r>
        <w:rPr>
          <w:rFonts w:ascii="Times New Roman" w:cs="Times New Roman" w:eastAsia="Times New Roman" w:hAnsi="Times New Roman"/>
          <w:sz w:val="18"/>
          <w:szCs w:val="18"/>
          <w:color w:val="auto"/>
        </w:rPr>
        <w:t xml:space="preserve">. The Exchange Shares have been duly authorized by the Company and upon the issuance of the Exchange Shares in accordance with the terms of this Agreement, the Exchange Shares will be validly issued, fully paid and non-assessable and free from all liens with respect to the issuance thereof and shall not be subject to any preemptive, participation, rights of first refusal and similar rights. At the Closing, the Exchange Shares shall be delivered in book-entry form by the Company’s transfer agent with the restrictive legend in the form attached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None of the Company, any of its affiliates (as defined in Rule 501(b) under the Securities Act), or any person acting on behalf of the Company or such affiliate will sell, offer for sale, or solicit offers to buy or otherwise negotiate in respect of any security (as defined in the Securities Act) which will be integrated with the sale of the Exchange Shares in a manner which would require the registration of the offer and sale of the Exchange Shares in the Exchange under the Securities Act or require shareholder approval under the rules and regulations of the Nasdaq Stock Market, and the Company will take all action that is appropriate or necessary to assure that its offerings of other securities will not be integrated for purposes of the Securities Act or the rules and regulations of the Nasdaq Stock Market with the Exchange.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Public Filings</w:t>
      </w:r>
      <w:r>
        <w:rPr>
          <w:rFonts w:ascii="Times New Roman" w:cs="Times New Roman" w:eastAsia="Times New Roman" w:hAnsi="Times New Roman"/>
          <w:sz w:val="18"/>
          <w:szCs w:val="18"/>
          <w:color w:val="auto"/>
        </w:rPr>
        <w:t>. From January 1, 2025 to the date of this Agreement, the Company has filed all reports, schedules, forms, proxy statements, statements and other documents required to be filed by it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reporting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of Regulations S-X and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Securities Law Disclosure; Publicity</w:t>
      </w:r>
      <w:r>
        <w:rPr>
          <w:rFonts w:ascii="Times New Roman" w:cs="Times New Roman" w:eastAsia="Times New Roman" w:hAnsi="Times New Roman"/>
          <w:sz w:val="18"/>
          <w:szCs w:val="18"/>
          <w:color w:val="auto"/>
        </w:rPr>
        <w:t>. No later than 9:00 a.m. (New York City time) on the second Business Day (as defined in the 7.0% Notes Indenture) immediately following the date of this Agreement (such date and time, the “</w:t>
      </w:r>
      <w:r>
        <w:rPr>
          <w:rFonts w:ascii="Times New Roman" w:cs="Times New Roman" w:eastAsia="Times New Roman" w:hAnsi="Times New Roman"/>
          <w:sz w:val="18"/>
          <w:szCs w:val="18"/>
          <w:b w:val="1"/>
          <w:bCs w:val="1"/>
          <w:color w:val="auto"/>
        </w:rPr>
        <w:t>Release Time</w:t>
      </w:r>
      <w:r>
        <w:rPr>
          <w:rFonts w:ascii="Times New Roman" w:cs="Times New Roman" w:eastAsia="Times New Roman" w:hAnsi="Times New Roman"/>
          <w:sz w:val="18"/>
          <w:szCs w:val="18"/>
          <w:color w:val="auto"/>
        </w:rPr>
        <w:t xml:space="preserve">”), the Company shall publicly disclose, via press release or Current Report on Form 8-K filed with the SEC, all material non-public information that was delivered to the Holder by the Company, its advisors or any person acting on behalf of the Company in connection with the transactions contemplated by this Agreement. After the Release Time, the Holder will not be under any contractual obligation to the Company to refrain from (a) disclosing the fact or the terms of the transactions contemplated by this Agreement or any other material non-public information required to be disclosed pursuant to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or (b) using or trading on such information. The Company understands and acknowledges that the Holder and persons acting on its behalf will rely on the representations, warranties and covenants in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in effecting transactions in the securities of the Company and of other persons. Without the prior written consent of the Holder (unless such disclosure is required by applicable law, rule, regulation or legal process based on advice of counsel), the Company shall not disclose (i) the name of the Holder in any filing or announcement or (ii) any information regarding the Holder’s holdings of securities of the Company or transactions in any securities of the Company at one of its prime brokers to any of the Holder’s other prime brokers or to any other person (other than the Company’s counsel, agents or representatives).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Legend Removal</w:t>
      </w:r>
      <w:r>
        <w:rPr>
          <w:rFonts w:ascii="Times New Roman" w:cs="Times New Roman" w:eastAsia="Times New Roman" w:hAnsi="Times New Roman"/>
          <w:sz w:val="18"/>
          <w:szCs w:val="18"/>
          <w:color w:val="auto"/>
        </w:rPr>
        <w:t>. If the Holder transfers any Exchange Shares pursuant to an effective registration statement or in compliance with Rule 144 promulgated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and delivers to the Company a written request, which request, in the case of a transfer pursuant to Rule 144, certifies that the Holder is not, and has not been at any time during the preceding three months, an affiliate (as defined in Rule 144 under the Securities Act) of the Company, the Company shall (a) cause all restrictive legends associated with such Exchange Shares to be removed, and use its commercially reasonable efforts to cause such removal within two Business Days of such request, and (b) use its commercially reasonable efforts to cause the transfer agent for the Exchange Shares to transfer such Exchange Shares to the Holder’s prime brokerage account without the requirement that the Holder deliver any ink-original or medallion stamped transfer or other forms.</w:t>
      </w:r>
    </w:p>
    <w:p>
      <w:pPr>
        <w:spacing w:after="0" w:line="185" w:lineRule="exact"/>
        <w:rPr>
          <w:sz w:val="20"/>
          <w:szCs w:val="20"/>
          <w:color w:val="auto"/>
        </w:rPr>
      </w:pPr>
    </w:p>
    <w:p>
      <w:pPr>
        <w:jc w:val="both"/>
        <w:ind w:firstLine="656"/>
        <w:spacing w:after="0" w:line="268"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Holder’s Representations and Warranties. </w:t>
      </w:r>
      <w:r>
        <w:rPr>
          <w:rFonts w:ascii="Times New Roman" w:cs="Times New Roman" w:eastAsia="Times New Roman" w:hAnsi="Times New Roman"/>
          <w:sz w:val="18"/>
          <w:szCs w:val="18"/>
          <w:color w:val="auto"/>
        </w:rPr>
        <w:t>The Holder hereby makes the following representations and warranties, each of which is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true and correct on the date hereof and at the Closing, to the Company, and all such representations and warranties shall survive the Closing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Holder is duly organized, validly existing and (where applicable) in good standing under the laws of the jurisdiction of its organization and has all requisite power and authority to carry on its business as now conducted in all material respects and to own its material properties.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 Binding Obligations</w:t>
      </w:r>
      <w:r>
        <w:rPr>
          <w:rFonts w:ascii="Times New Roman" w:cs="Times New Roman" w:eastAsia="Times New Roman" w:hAnsi="Times New Roman"/>
          <w:sz w:val="18"/>
          <w:szCs w:val="18"/>
          <w:color w:val="auto"/>
        </w:rPr>
        <w:t>. The Holder has the requisite right, power and authority to enter into this Agreement and to consummate the transactions in accordance with the terms of this Agreement. The execution and delivery of this Agreement by the Holder and the consummation by the Holder of the Exchange have been duly authorized by all necessary action by the Holder, and no further filing, consent or authorization is required by the Holder, its board of directors, board of managers (or similar governing board) or its equity holders. This Agreement has been (or upon delivery will have been) duly executed and delivered by the Holder, and it constitutes the legal, valid and binding obligation of the Holder, enforceable against the Holder in accordance with its terms, except as such enforceability may be limited by general principles of equity or applicable bankruptcy, insolvency, reorganization, moratorium, liquidation or similar laws relating to, or affecting creditors’ rights and remedies generally.</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by the Holder and the consummation by the Holder of the Exchange will not conflict with or result in a breach or violation of any of the terms and provisions of, or constitute a default under (a) the Holder’s Certificate of Incorporation or the Holder’s Bylaws (or other governing documents), all as amended and in effect on the date hereof, (b) any statute, rule, regulation or order of any governmental agency or body or any court, domestic or foreign, having jurisdiction over the Holder or any of its respective assets or properties, or (c) any agreement or instrument to which the Holder is a party or by which the Holder is bound or to which any of their respective assets or properties is subject, except, in the case of clause (b) or (c) above, for any such conflict, breach, violation or default that would not reasonably be expected to have a material adverse effect on the authority or the ability of the Holder to perform its obligations under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Holder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Holder of this Agreement, other than filings that have been made, or will be made, or consents that have been obtained, or will be obtained by the Holder, on or prior to the Closing and filings and consents the absence of which would not reasonably be expected to have a material adverse effect on the authority or the ability of the Holder to perform its obligations under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Beneficial Owner and Title</w:t>
      </w:r>
      <w:r>
        <w:rPr>
          <w:rFonts w:ascii="Times New Roman" w:cs="Times New Roman" w:eastAsia="Times New Roman" w:hAnsi="Times New Roman"/>
          <w:sz w:val="18"/>
          <w:szCs w:val="18"/>
          <w:color w:val="auto"/>
        </w:rPr>
        <w:t>. The Holder is the legal and beneficial owner of the Applicable Notes; and the Holder has good and marketable title to the Applicable Notes, free and clear of any liens (other than liens in connection with prime brokerage relationships, which will be released at or before the Closing).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Securities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968"/>
        <w:spacing w:after="0" w:line="266" w:lineRule="auto"/>
        <w:tabs>
          <w:tab w:leader="none" w:pos="18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to the Company in writing, the Holder is not, and has not been for a preceding three months, an affiliate (as defined in Rule 144 under the Securities Act) of the Company. To its knowledge, the Holder did not acquire any of the Applicable Notes, directly or indirectly, from an affiliate of the Company.</w:t>
      </w:r>
    </w:p>
    <w:p>
      <w:pPr>
        <w:spacing w:after="0" w:line="175"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18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an “accredited investor” as defined Regulation D under the Securities Act with such knowledge and experience in financial and business matters as are necessary in order to evaluate the merits and risks of the Exchange. The Holder is able to bear the economic risk of an investment in the Exchange Shares and, at the present time, is able to afford a complete loss of its investment.</w:t>
      </w:r>
    </w:p>
    <w:p>
      <w:pPr>
        <w:spacing w:after="0" w:line="175" w:lineRule="exact"/>
        <w:rPr>
          <w:rFonts w:ascii="Times New Roman" w:cs="Times New Roman" w:eastAsia="Times New Roman" w:hAnsi="Times New Roman"/>
          <w:sz w:val="18"/>
          <w:szCs w:val="18"/>
          <w:color w:val="auto"/>
        </w:rPr>
      </w:pPr>
    </w:p>
    <w:p>
      <w:pPr>
        <w:jc w:val="both"/>
        <w:ind w:left="660" w:firstLine="968"/>
        <w:spacing w:after="0" w:line="261" w:lineRule="auto"/>
        <w:tabs>
          <w:tab w:leader="none" w:pos="18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acquiring the Exchange Shares for its own account for investment without a view towards distribution thereof. The Holder has not engaged in any illegal actions in connection with the Exchange, including any violation of applicable securities laws governing confidential information. The Holder agrees not to reoffer or resell the Exchange Shares except pursuant to an exemption from registration under the Act or pursuant to an effective registration statement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Holder understands that the Exchange Shares are being offered in the Exchange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in order to determine the availability of such exemptions and the eligibility of the Holder to acquire the Exchange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Disclosure of Information; Consultation with Counsel and Advisors</w:t>
      </w:r>
      <w:r>
        <w:rPr>
          <w:rFonts w:ascii="Times New Roman" w:cs="Times New Roman" w:eastAsia="Times New Roman" w:hAnsi="Times New Roman"/>
          <w:sz w:val="18"/>
          <w:szCs w:val="18"/>
          <w:color w:val="auto"/>
        </w:rPr>
        <w:t>. The Holder has access to (including through the EDGAR system) and has had an opportunity to review the Annual Reports, Quarterly Reports, Current Reports, Proxy Statements and other filings and submissions made by the Company with the SEC, including the “Risk Factors” contained therein. The Holder acknowledges, confirms and agrees that: (a) the Holder is a sophisticated institutional investor that is willing and able to conduct, and has conducted, a thorough investigation of the Exchange Shares, the Company and the business and financial position of the Company and its Subsidiaries (the “</w:t>
      </w:r>
      <w:r>
        <w:rPr>
          <w:rFonts w:ascii="Times New Roman" w:cs="Times New Roman" w:eastAsia="Times New Roman" w:hAnsi="Times New Roman"/>
          <w:sz w:val="18"/>
          <w:szCs w:val="18"/>
          <w:b w:val="1"/>
          <w:bCs w:val="1"/>
          <w:color w:val="auto"/>
        </w:rPr>
        <w:t>Company Business</w:t>
      </w:r>
      <w:r>
        <w:rPr>
          <w:rFonts w:ascii="Times New Roman" w:cs="Times New Roman" w:eastAsia="Times New Roman" w:hAnsi="Times New Roman"/>
          <w:sz w:val="18"/>
          <w:szCs w:val="18"/>
          <w:color w:val="auto"/>
        </w:rPr>
        <w:t xml:space="preserve">”), (b) no prospectus, offering document or other disclosure document has been or will be prepared in connection with the Exchange and the transactions under this Agreement, (c) the Holder has or has requested access to (including through the EDGAR system), and has had sufficient opportunity to evaluate, all information and documentation that it believes is necessary or appropriate in connection with its decision to enter into this Agreement and to participate in the Exchange, including such information with respect to the Company and the Company Business, (d) neither the Company nor its representatives or advisors are responsible for any due diligence investigation on the Holder’s behalf, the advisability of the Exchange or any information or document delivered in connection with this Agreement (including, without limitation, with respect to the Company Business) other than the SEC Documents, (e) the Holder is not relying upon any representations, expressed or implied, with respect to the transactions contemplated by this Agreement, including the Exchange, except those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(f) the Holder has consulted its own independent advisors with regard to, without limitation, the legal, regulatory, tax, business, investment, financial, accounting, currency and other economic considerations related to the Exchange and the risks associated with an investment in the Exchange Shares (including, without limitation, with respect to the Company Business), (g) the Holder has made its own investment, hedging and trading decisions based upon its own judgment and upon advice from its own independent advisors and not upon any view expressed by the other person, and (h) the Holder is acquiring the Exchange Shares with a full understanding of the terms, conditions and risks thereof including, but not limited to, counterparty risk, country risk, price risk and liquidity risk, and the Holder is capable of and willing to assume those risks. The Holder further represents that it is acting as principal in the Exchange of the Applicable Notes. The Holder has been represented by such legal and tax counsel and other counsel and advisors selected by the Holder as the Holder has found necessary to consult concerning this transaction, to review and evaluate the tax, economic and other ramifications of the Exchange, including, without limitation, whether the Exchange will result in any adverse tax consequences to the Holder.</w:t>
      </w:r>
    </w:p>
    <w:p>
      <w:pPr>
        <w:spacing w:after="0" w:line="20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The Holder knows of no proceedings relating to the Applicable Notes that are pending or threatened before any court, arbitrator or administrative or governmental body that would adversely affect the completion of the Exchange.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The Holder acknowledges that the Exchange may involve tax consequences to the Holder, and that the contents of this Agreement do not constitute tax advice. The Holder acknowledges that it has not relied on and will not rely upon the Company with respect to any tax consequences related to the Exchange. The Holder assumes full responsibility for all such consequences and for the preparation and filing of any tax returns and elections which may or must be filed in connection with its beneficial ownership of the Applicable Notes or the Exchange.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Full Satisfaction of Obligations</w:t>
      </w:r>
      <w:r>
        <w:rPr>
          <w:rFonts w:ascii="Times New Roman" w:cs="Times New Roman" w:eastAsia="Times New Roman" w:hAnsi="Times New Roman"/>
          <w:sz w:val="18"/>
          <w:szCs w:val="18"/>
          <w:color w:val="auto"/>
        </w:rPr>
        <w:t>. The Holder acknowledges that upon the full issuance of the Exchange Shares and payment of the Interest Amounts, the obligations of the Company to the Holder under the Applicable Notes with respect to such Interest Amounts shall have been satisfied in full.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b w:val="1"/>
          <w:bCs w:val="1"/>
          <w:color w:val="auto"/>
        </w:rPr>
        <w:t>5. Registration Rights.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5.1 The Company agrees that, on or before July 15, 2026 (the “</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the Company will file with the SEC, at the Company’s sole cost and expense, a registration statement for a shelf registration on Form S-1 (or Form S-3, if the Company is eligible to use Form S-3) (in either case,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registering the resale of the Exchange Shares held by the Holder as of two Business Days prior to such filing (the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and the Company shall use its commercially reasonable efforts to have the Registration Statement declared effective as soon as practicable after the filing thereof, but no later than the 10th Business Day after the date the Company is notified (orally or in writing, whichever is earlier) by the SEC that the Registration Statement will not be “reviewed” or will not be subject to further review (the “</w:t>
      </w:r>
      <w:r>
        <w:rPr>
          <w:rFonts w:ascii="Times New Roman" w:cs="Times New Roman" w:eastAsia="Times New Roman" w:hAnsi="Times New Roman"/>
          <w:sz w:val="18"/>
          <w:szCs w:val="18"/>
          <w:b w:val="1"/>
          <w:bCs w:val="1"/>
          <w:color w:val="auto"/>
        </w:rPr>
        <w:t>Effectiveness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Company’s obligations to include the Registrable Securities in the Registration Statement are contingent upon the Holder furnishing a completed and executed selling securityholder questionnaire in customary form to the Company that contains the information required by SEC rules for a Registration Statement regarding the Holder, the securities of the Company held by the Holder and the intended method of disposition of the Registrable Securities (which shall be limited to non-underwritten public offerings) to effect the registration of the Registrable Securities, and the Holder shall execute such documents in connection with such registration as the Company may reasonably request that are customary of a selling securityholder in similar situations. For purposes of clarification, any failure by the Company to file the Registration Statement by the Filing Date or to effect such Registration Statement by the Effectiveness Date shall not otherwise relieve the Company of its obligations to file or effect the Registration Statement as set forth above in this section. Notwithstanding the foregoing, if the SEC prevents the Company from including any or all of the shares of Common Stock proposed to be registered under the Registration Statement due to limitations on the use of Rule 415 of the Securities Act for the resale of the Common Stock by the applicable securityholder or otherwise, such Registration Statement shall register for resale such number of shares of Common Stock which is equal to the maximum number of shares of Common Stock as is permitted by the SEC. In such event, the number of shares of Common Stock to be registered for each selling securityholder named in the Registration Statement shall be reduced pro rata among all such selling securityholders. Unless required under applicable laws and SEC rules, in no event shall the Holder be identified as a statutory underwriter in the Registration Statement; provided, that if the Holder is required to be so identified as a statutory underwriter in the Registration Statement, the Holder will have an opportunity to withdraw its Registrable Securities from the Registration Statement.</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5.2 The Company shall use its commercially reasonable efforts to keep such registration, and any qualification, exemption or compliance under state securities laws which the Company determines to obtain, continuously effective with respect to the Holder, and to keep the applicable Registration Statement or any subsequent shelf registration statement free of any material misstatements or omissions, until the earlier of the following: (i) the Holder ceases to hold any Registrable Securities and (ii) the date all Registrable Securities held by the Holder may be sold without restriction under Rule 144, including without limitation, any volume and manner of sale restrictions which may be applicable to affiliates under Rule 144 and without the requirement for the Company to be in compliance with the current public information required under Rule 144(c)(1) (or Rule 144(i)(2), if applicable).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5.3 Notwithstanding anything herein to the contrary, the Company may suspend the use of any prospectus (a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included in any Registration Statement contemplated by this Section in the event that the Company’s Board of Directors determines in good faith that such suspension is necessary to (A) delay the disclosure of material non-public information concerning the Company, the disclosure of which at the time is not, in the good faith opinion of the Company’s Board of Directors,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Registration Delay</w:t>
      </w:r>
      <w:r>
        <w:rPr>
          <w:rFonts w:ascii="Times New Roman" w:cs="Times New Roman" w:eastAsia="Times New Roman" w:hAnsi="Times New Roman"/>
          <w:sz w:val="18"/>
          <w:szCs w:val="18"/>
          <w:color w:val="auto"/>
        </w:rPr>
        <w:t>”); provided, that the Company shall promptly (a) notify the Holder in writing of the commencement of and the reasons for an Allowed Registration Delay, but shall not (without the prior written consent of the Holder) disclose to the Holder any material non-public information giving rise to an Allowed Registration Delay, (b) advise the Holder in writing to cease all sales under the Registration Statement until the end of the Allowed Registration Delay and (c) use commercially reasonable efforts to terminate an Allowed Registration Delay as promptly as practicable.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480" w:hanging="176"/>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hereto shall pay its own costs and expenses in connection with this Agreement and the Exchange, including all fees and expenses of legal counsel, accountants, financial advisors, agents and representatives.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Entire Agreemen</w:t>
      </w:r>
      <w:r>
        <w:rPr>
          <w:rFonts w:ascii="Times New Roman" w:cs="Times New Roman" w:eastAsia="Times New Roman" w:hAnsi="Times New Roman"/>
          <w:sz w:val="18"/>
          <w:szCs w:val="18"/>
          <w:color w:val="auto"/>
        </w:rPr>
        <w:t>t. This Agreement, together with its exhibits and schedules, contains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(provided that in either case, except for written requests delivered pursuant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it is followed promptly by a confirming copy of the notice given via another authorized means for that recipient); (c) five (5) days after having been sent to a U.S. address by registered or certified mail, return receipt requested, postage prepaid; (d) one (1) Business Day after the Business Day of deposit with a nationally recognized overnight courier, freight prepaid, specifying next-day delivery to a U.S. address, with written verification of receipt; or (e) three (3) Business Days after deposit with an internationally recognized expedited delivery services company, freight prepaid for delivery to a non-U.S. address, specifying next available Business Day delivery, with written verification of receipt. All communications shall be sent to the respective parties at their address as set forth on the signature page or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as the case may be,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If notice is given to the Company, a copy (which shall not constitute notice) shall also be sent to Arnold &amp; Porter Kaye Scholer LLP, 250 West 55th Street, New York, NY 10019, Attention: [***].</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Holder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Unless the context of this Agreement clearly requires otherwise, (a) references to the plural include the singular, the singular the plural, the part the whole, (b) references to any gender include all genders, (c) “including” has the inclusive meaning frequently identified with the phrase “but not limited to” and (d) references to “hereunder” or “herein” relate to this Agreement. The headings herein are for convenience only, do not constitute a part of this Agreement and shall not be deemed to limit or affect any of the provisions hereof.</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Holder and the Company and their respective successors, permitted assigns and legal representations, and nothing expressed or mentioned in this Agreement is intended or shall be construed to give any other person any legal or equitable right, remedy or claim under or in respect of this Agreement, or any provision contained in this Agreement, this Agreement and all conditions and provisions hereof being intended to be and being the sole and exclusive benefit of such persons and for the benefit of no other person. No purchaser of the Applicable Notes from the Holder shall be deemed a successor because of such purchase. No party to this Agreement may assign this Agreement or its rights or obligations hereunder without the prior written consent of the other party hereto.</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warranties and covenants of the Company and the Holder contained herein and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Closing.</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choice of law principles thereof. Each of the parties hereto irrevocably submits to the exclusive jurisdiction of the state and federal courts located in the City and County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do and perform, or cause to be done and performed, all such further acts and things, and shall execute and deliver all such other agreements, certificates, instruments and documents, as any other party hereto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hereto to express their mutual intent, and no rules of strict construction will be applied against any party 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the page is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Holder and the Company have executed this Exchange Agreement as of the date set forth on the first page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Agreement.</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Thurman J. Rodgers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1403 N. Research 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Orem, UT 84097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for Interest Exchange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Holder and the Company have executed this Exchange Agreement as of the date set forth on the first page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Agreement.</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Equity for Interest Exchange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Name of Beneficial Owner(s)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Id</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and Notice Details</w:t>
      </w:r>
      <w:r>
        <w:rPr>
          <w:rFonts w:ascii="Times New Roman" w:cs="Times New Roman" w:eastAsia="Times New Roman" w:hAnsi="Times New Roman"/>
          <w:sz w:val="18"/>
          <w:szCs w:val="18"/>
          <w:color w:val="auto"/>
        </w:rPr>
        <w:t>: [***]</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060" w:type="dxa"/>
            <w:vAlign w:val="bottom"/>
            <w:tcBorders>
              <w:top w:val="single" w:sz="8" w:color="auto"/>
              <w:left w:val="single" w:sz="8" w:color="auto"/>
              <w:right w:val="single" w:sz="8" w:color="D9D9D9"/>
            </w:tcBorders>
            <w:shd w:val="clear" w:color="auto" w:fill="D9D9D9"/>
          </w:tcPr>
          <w:p>
            <w:pPr>
              <w:spacing w:after="0"/>
              <w:rPr>
                <w:sz w:val="21"/>
                <w:szCs w:val="21"/>
                <w:color w:val="auto"/>
              </w:rPr>
            </w:pPr>
          </w:p>
        </w:tc>
        <w:tc>
          <w:tcPr>
            <w:tcW w:w="1680" w:type="dxa"/>
            <w:vAlign w:val="bottom"/>
            <w:tcBorders>
              <w:top w:val="single" w:sz="8" w:color="auto"/>
              <w:right w:val="single" w:sz="8" w:color="D9D9D9"/>
            </w:tcBorders>
            <w:vMerge w:val="restart"/>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Applicable Notes</w:t>
            </w:r>
          </w:p>
        </w:tc>
        <w:tc>
          <w:tcPr>
            <w:tcW w:w="2140" w:type="dxa"/>
            <w:vAlign w:val="bottom"/>
            <w:tcBorders>
              <w:top w:val="single" w:sz="8" w:color="auto"/>
              <w:right w:val="single" w:sz="8" w:color="auto"/>
            </w:tcBorders>
            <w:shd w:val="clear" w:color="auto" w:fill="D9D9D9"/>
          </w:tcPr>
          <w:p>
            <w:pPr>
              <w:spacing w:after="0"/>
              <w:rPr>
                <w:sz w:val="21"/>
                <w:szCs w:val="21"/>
                <w:color w:val="auto"/>
              </w:rPr>
            </w:pPr>
          </w:p>
        </w:tc>
        <w:tc>
          <w:tcPr>
            <w:tcW w:w="5360" w:type="dxa"/>
            <w:vAlign w:val="bottom"/>
            <w:tcBorders>
              <w:top w:val="single" w:sz="8" w:color="auto"/>
              <w:right w:val="single" w:sz="8" w:color="auto"/>
            </w:tcBorders>
            <w:gridSpan w:val="2"/>
            <w:shd w:val="clear" w:color="auto" w:fill="D9D9D9"/>
          </w:tcPr>
          <w:p>
            <w:pPr>
              <w:ind w:left="2000"/>
              <w:spacing w:after="0"/>
              <w:rPr>
                <w:sz w:val="20"/>
                <w:szCs w:val="20"/>
                <w:color w:val="auto"/>
              </w:rPr>
            </w:pPr>
            <w:r>
              <w:rPr>
                <w:rFonts w:ascii="Times New Roman" w:cs="Times New Roman" w:eastAsia="Times New Roman" w:hAnsi="Times New Roman"/>
                <w:sz w:val="18"/>
                <w:szCs w:val="18"/>
                <w:b w:val="1"/>
                <w:bCs w:val="1"/>
                <w:color w:val="auto"/>
              </w:rPr>
              <w:t>Interest Amounts</w:t>
            </w:r>
          </w:p>
        </w:tc>
        <w:tc>
          <w:tcPr>
            <w:tcW w:w="0" w:type="dxa"/>
            <w:vAlign w:val="bottom"/>
          </w:tcPr>
          <w:p>
            <w:pPr>
              <w:spacing w:after="0"/>
              <w:rPr>
                <w:sz w:val="1"/>
                <w:szCs w:val="1"/>
                <w:color w:val="auto"/>
              </w:rPr>
            </w:pPr>
          </w:p>
        </w:tc>
      </w:tr>
      <w:tr>
        <w:trPr>
          <w:trHeight w:val="194"/>
        </w:trPr>
        <w:tc>
          <w:tcPr>
            <w:tcW w:w="2060" w:type="dxa"/>
            <w:vAlign w:val="bottom"/>
            <w:tcBorders>
              <w:left w:val="single" w:sz="8" w:color="auto"/>
              <w:bottom w:val="single" w:sz="8" w:color="auto"/>
              <w:right w:val="single" w:sz="8" w:color="D9D9D9"/>
            </w:tcBorders>
            <w:shd w:val="clear" w:color="auto" w:fill="D9D9D9"/>
          </w:tcPr>
          <w:p>
            <w:pPr>
              <w:spacing w:after="0"/>
              <w:rPr>
                <w:sz w:val="16"/>
                <w:szCs w:val="16"/>
                <w:color w:val="auto"/>
              </w:rPr>
            </w:pPr>
          </w:p>
        </w:tc>
        <w:tc>
          <w:tcPr>
            <w:tcW w:w="1680" w:type="dxa"/>
            <w:vAlign w:val="bottom"/>
            <w:tcBorders>
              <w:bottom w:val="single" w:sz="8" w:color="auto"/>
              <w:right w:val="single" w:sz="8" w:color="D9D9D9"/>
            </w:tcBorders>
            <w:vMerge w:val="continue"/>
            <w:shd w:val="clear" w:color="auto" w:fill="D9D9D9"/>
          </w:tcPr>
          <w:p>
            <w:pPr>
              <w:spacing w:after="0"/>
              <w:rPr>
                <w:sz w:val="16"/>
                <w:szCs w:val="16"/>
                <w:color w:val="auto"/>
              </w:rPr>
            </w:pPr>
          </w:p>
        </w:tc>
        <w:tc>
          <w:tcPr>
            <w:tcW w:w="2140" w:type="dxa"/>
            <w:vAlign w:val="bottom"/>
            <w:tcBorders>
              <w:bottom w:val="single" w:sz="8" w:color="auto"/>
              <w:right w:val="single" w:sz="8" w:color="auto"/>
            </w:tcBorders>
            <w:shd w:val="clear" w:color="auto" w:fill="D9D9D9"/>
          </w:tcPr>
          <w:p>
            <w:pPr>
              <w:spacing w:after="0"/>
              <w:rPr>
                <w:sz w:val="16"/>
                <w:szCs w:val="16"/>
                <w:color w:val="auto"/>
              </w:rPr>
            </w:pPr>
          </w:p>
        </w:tc>
        <w:tc>
          <w:tcPr>
            <w:tcW w:w="3020" w:type="dxa"/>
            <w:vAlign w:val="bottom"/>
            <w:tcBorders>
              <w:bottom w:val="single" w:sz="8" w:color="auto"/>
              <w:right w:val="single" w:sz="8" w:color="D9D9D9"/>
            </w:tcBorders>
            <w:shd w:val="clear" w:color="auto" w:fill="D9D9D9"/>
          </w:tcPr>
          <w:p>
            <w:pPr>
              <w:spacing w:after="0"/>
              <w:rPr>
                <w:sz w:val="16"/>
                <w:szCs w:val="16"/>
                <w:color w:val="auto"/>
              </w:rPr>
            </w:pPr>
          </w:p>
        </w:tc>
        <w:tc>
          <w:tcPr>
            <w:tcW w:w="234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60" w:type="dxa"/>
            <w:vAlign w:val="bottom"/>
            <w:tcBorders>
              <w:left w:val="single" w:sz="8" w:color="auto"/>
              <w:right w:val="single" w:sz="8" w:color="auto"/>
            </w:tcBorders>
            <w:shd w:val="clear" w:color="auto" w:fill="D9D9D9"/>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Class of Notes</w:t>
            </w:r>
          </w:p>
        </w:tc>
        <w:tc>
          <w:tcPr>
            <w:tcW w:w="168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Certificate No(s).</w:t>
            </w:r>
          </w:p>
        </w:tc>
        <w:tc>
          <w:tcPr>
            <w:tcW w:w="214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Aggregate Outstanding</w:t>
            </w:r>
          </w:p>
        </w:tc>
        <w:tc>
          <w:tcPr>
            <w:tcW w:w="302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1, 2026 Interest Amounts</w:t>
            </w:r>
          </w:p>
        </w:tc>
        <w:tc>
          <w:tcPr>
            <w:tcW w:w="234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January 1, 2027 Interest</w:t>
            </w:r>
          </w:p>
        </w:tc>
        <w:tc>
          <w:tcPr>
            <w:tcW w:w="0" w:type="dxa"/>
            <w:vAlign w:val="bottom"/>
          </w:tcPr>
          <w:p>
            <w:pPr>
              <w:spacing w:after="0"/>
              <w:rPr>
                <w:sz w:val="1"/>
                <w:szCs w:val="1"/>
                <w:color w:val="auto"/>
              </w:rPr>
            </w:pPr>
          </w:p>
        </w:tc>
      </w:tr>
      <w:tr>
        <w:trPr>
          <w:trHeight w:val="238"/>
        </w:trPr>
        <w:tc>
          <w:tcPr>
            <w:tcW w:w="206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680" w:type="dxa"/>
            <w:vAlign w:val="bottom"/>
            <w:tcBorders>
              <w:bottom w:val="single" w:sz="8" w:color="auto"/>
              <w:right w:val="single" w:sz="8" w:color="auto"/>
            </w:tcBorders>
            <w:shd w:val="clear" w:color="auto" w:fill="D9D9D9"/>
          </w:tcPr>
          <w:p>
            <w:pPr>
              <w:spacing w:after="0"/>
              <w:rPr>
                <w:sz w:val="20"/>
                <w:szCs w:val="20"/>
                <w:color w:val="auto"/>
              </w:rPr>
            </w:pP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3020" w:type="dxa"/>
            <w:vAlign w:val="bottom"/>
            <w:tcBorders>
              <w:bottom w:val="single" w:sz="8" w:color="auto"/>
              <w:right w:val="single" w:sz="8" w:color="auto"/>
            </w:tcBorders>
            <w:shd w:val="clear" w:color="auto" w:fill="D9D9D9"/>
          </w:tcPr>
          <w:p>
            <w:pPr>
              <w:spacing w:after="0"/>
              <w:rPr>
                <w:sz w:val="20"/>
                <w:szCs w:val="20"/>
                <w:color w:val="auto"/>
              </w:rPr>
            </w:pPr>
          </w:p>
        </w:tc>
        <w:tc>
          <w:tcPr>
            <w:tcW w:w="2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02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2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SUPRESSION LETTER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RESTRICTIVE LEGEND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Closes $10 Million Share Exchange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OREM, Utah (July 1, 2026) </w:t>
      </w:r>
      <w:r>
        <w:rPr>
          <w:rFonts w:ascii="Times New Roman" w:cs="Times New Roman" w:eastAsia="Times New Roman" w:hAnsi="Times New Roman"/>
          <w:sz w:val="18"/>
          <w:szCs w:val="18"/>
          <w:color w:val="auto"/>
        </w:rPr>
        <w:t>– SunPower Inc. (“SunPower,” the “Company,” or Nasdaq: “SPWR”), a solar technology, services, and installation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it successfully closed on its offer for stock in exchange for $10 million cash due to certain holders for interest on July 1, 2026 and January 1, 2027 for its Convertible Notes.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SunPower CEO, T.J. Rodgers said, “I want to thank our investors once again for their continued support of SunPower, as the equity exchange was accepted by all but one investor, who is currently out of the country. With our stock price being notably lower than its historical average, our current investors understand that they have accumulated shares at a very attractive price and therefore gained ownership in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Rodgers added, “As previously discussed, the Q2’26 quarter appears to have been not only our bottom quarter, but also that of the whole U.S. residential solar industry. The company has taken multiple steps to reduce costs and increase financial flexibility, and we enter the third quarter with record backlog and expectations of strong growth. I look forward to speaking with investors soon to provide a detailed update on our progress.”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SunPower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SunPower Inc. (Nasdaq: SPWR) is a leading residential solar services provider in North America. The Company’s digital platform and installation services support energy needs for customers wishing to make the transition to a more energy-efficient lifestyle. For more information visit www.sunpower.com.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concerning the equity for interest exchange and related impacts of the transactions. The words “believe,” “may,” “will,” “estimate,” “continue,” “anticipate,” “intend,” “expect,” “seek,” “plan,” “project,” “target,” “looking ahead,” “look to,” “move into,” and similar expressions are intended to identify forward-looking statements. Forward-looking statements represent SunPower’s current beliefs, estimates and assumptions only as of the date of this press release and information contained in this press release should not be relied upon as representing SunPower’s estimates as of any subsequent date. These forward-looking statements are subject to risks, uncertainties, and assumptions. If the risks materialize or assumptions prove incorrect, actual results could differ materially from the results implied by these forward-looking statements. Risks include, but are not limited to market risks, trends and conditions. These risks are not exhaustive. For additional information on these risks and uncertainties and other potential factors that could cause actual results to differ from the results predicted, readers should carefully consider the foregoing factors and the other risks and uncertainties described in the “Risk Factors” section of our annual report on Form 10-K filed with the Securities and Exchange Commission (“SEC”) on April 14, 2026, our quarterly reports on Form 10-Q filed with the SEC, and other documents that we have filed with, or will file with, the SEC. Such filings identify and address other important risks and uncertainties that could cause actual events and results to differ materially from those contained in the forward-looking statements. Forward-looking statements in this press release speak only as of the date they are made. Readers are cautioned not to put undue reliance on forward-looking statements, and SunPower assumes no obligation and does not intend to update or revise these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IR@sunpower.com</w:t>
      </w:r>
    </w:p>
    <w:p>
      <w:pPr>
        <w:spacing w:after="0" w:line="9" w:lineRule="exact"/>
        <w:rPr>
          <w:sz w:val="20"/>
          <w:szCs w:val="20"/>
          <w:color w:val="auto"/>
        </w:rPr>
      </w:pPr>
    </w:p>
    <w:p>
      <w:pPr>
        <w:ind w:right="9580" w:firstLine="8"/>
        <w:spacing w:after="0" w:line="511" w:lineRule="auto"/>
        <w:tabs>
          <w:tab w:leader="none" w:pos="4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515-8727 Source: SunPower Inc.</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2"/>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8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2026-07-01T07:02:50Z</dcterms:created>
  <dcterms:modified xsi:type="dcterms:W3CDTF">2026-07-01T07:02:50Z</dcterms:modified>
</cp:coreProperties>
</file>