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294433-s1_sunpower.htm"/>
      <w:bookmarkStart w:id="1" w:name="ksea0294433s1_sunpower"/>
      <w:bookmarkEnd w:id="0"/>
      <w:bookmarkEnd w:id="1"/>
      <w:r>
        <w:rPr>
          <w:rFonts w:ascii="Times New Roman;Times;Serif" w:hAnsi="Times New Roman;Times;Serif"/>
          <w:b/>
          <w:i w:val="false"/>
          <w:caps w:val="false"/>
          <w:smallCaps w:val="false"/>
          <w:sz w:val="20"/>
        </w:rPr>
        <w:t>As filed with the United States Securities and Exchange Commission on June 29, 2026.</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2690"/>
        <w:gridCol w:w="90"/>
        <w:gridCol w:w="2330"/>
        <w:gridCol w:w="90"/>
        <w:gridCol w:w="2030"/>
      </w:tblGrid>
      <w:tr>
        <w:trPr/>
        <w:tc>
          <w:tcPr>
            <w:tcW w:w="26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001-40117</w:t>
            </w:r>
          </w:p>
        </w:tc>
        <w:tc>
          <w:tcPr>
            <w:tcW w:w="90" w:type="dxa"/>
            <w:tcBorders/>
            <w:tcMar>
              <w:bottom w:w="0" w:type="dxa"/>
            </w:tcMar>
            <w:vAlign w:val="center"/>
          </w:tcPr>
          <w:p>
            <w:pPr>
              <w:pStyle w:val="TableContents"/>
              <w:bidi w:val="0"/>
              <w:spacing w:before="0" w:after="283"/>
              <w:jc w:val="center"/>
              <w:rPr/>
            </w:pPr>
            <w:r>
              <w:rPr/>
              <w:t> </w:t>
            </w:r>
          </w:p>
        </w:tc>
        <w:tc>
          <w:tcPr>
            <w:tcW w:w="20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93-2279786</w:t>
            </w:r>
          </w:p>
        </w:tc>
      </w:tr>
      <w:tr>
        <w:trPr/>
        <w:tc>
          <w:tcPr>
            <w:tcW w:w="269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233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90" w:type="dxa"/>
            <w:tcBorders/>
            <w:tcMar>
              <w:bottom w:w="0" w:type="dxa"/>
            </w:tcMar>
            <w:vAlign w:val="center"/>
          </w:tcPr>
          <w:p>
            <w:pPr>
              <w:pStyle w:val="TableContents"/>
              <w:bidi w:val="0"/>
              <w:spacing w:before="0" w:after="283"/>
              <w:jc w:val="center"/>
              <w:rPr/>
            </w:pPr>
            <w:r>
              <w:rPr/>
              <w:t> </w:t>
            </w:r>
          </w:p>
        </w:tc>
        <w:tc>
          <w:tcPr>
            <w:tcW w:w="203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1403 N. Research Way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Orem, UT 84097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 299-4943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Thurman J. Rodgers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1403 N. Research Way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Orem, UT 84097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(877) 299-4943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Penney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Arnold &amp; Porter Kaye Scholer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 W. 55th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(212) 836-8000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on or after this registration statement is declared effective.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securities described herein may not be sold until the registration statement filed with the U.S. Securities and Exchange Commission is declared effective. This preliminary prospectus is not an offer to sell these securities and it is not soliciting an offer to buy these securities in any jurisdiction where the offer or sale is not permitted.</w:t>
      </w:r>
    </w:p>
    <w:p>
      <w:pPr>
        <w:pStyle w:val="TextBody"/>
        <w:bidi w:val="0"/>
        <w:spacing w:before="0" w:after="0"/>
        <w:jc w:val="both"/>
        <w:rPr>
          <w:caps w:val="false"/>
          <w:smallCaps w:val="false"/>
          <w:color w:val="FF0000"/>
        </w:rPr>
      </w:pPr>
      <w:r>
        <w:rPr>
          <w:caps w:val="false"/>
          <w:smallCaps w:val="false"/>
          <w:color w:val="FF0000"/>
        </w:rPr>
        <w:t> </w:t>
      </w:r>
    </w:p>
    <w:p>
      <w:pPr>
        <w:pStyle w:val="TextBody"/>
        <w:bidi w:val="0"/>
        <w:spacing w:before="0" w:after="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JUNE 29,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8,472,371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380,000 Shares of Common Stock Issuable Upon Exercise of a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4,424,779 Shares of Common Stock Issuable Upon Conversion of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13,227,150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6,666,666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previously issued by us pursuant to the Amendment and Agreement, dated as of March 5, 2026 (the “</w:t>
      </w:r>
      <w:r>
        <w:rPr>
          <w:rFonts w:ascii="Times New Roman;Times;Serif" w:hAnsi="Times New Roman;Times;Serif"/>
          <w:b/>
          <w:i w:val="false"/>
          <w:caps w:val="false"/>
          <w:smallCaps w:val="false"/>
          <w:sz w:val="20"/>
        </w:rPr>
        <w:t>Sunder Amendment</w:t>
      </w:r>
      <w:r>
        <w:rPr>
          <w:rFonts w:ascii="Times New Roman;Times;Serif" w:hAnsi="Times New Roman;Times;Serif"/>
          <w:b w:val="false"/>
          <w:i w:val="false"/>
          <w:caps w:val="false"/>
          <w:smallCaps w:val="false"/>
          <w:sz w:val="20"/>
        </w:rPr>
        <w:t>”), relating to the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w:t>
      </w:r>
      <w:r>
        <w:rPr>
          <w:rFonts w:ascii="Times New Roman;Times;Serif" w:hAnsi="Times New Roman;Times;Serif"/>
          <w:b/>
          <w:i w:val="false"/>
          <w:caps w:val="false"/>
          <w:smallCaps w:val="false"/>
          <w:sz w:val="20"/>
        </w:rPr>
        <w:t>CPP</w:t>
      </w:r>
      <w:r>
        <w:rPr>
          <w:rFonts w:ascii="Times New Roman;Times;Serif" w:hAnsi="Times New Roman;Times;Serif"/>
          <w:b w:val="false"/>
          <w:i w:val="false"/>
          <w:caps w:val="false"/>
          <w:smallCaps w:val="false"/>
          <w:sz w:val="20"/>
        </w:rPr>
        <w:t>”), in connection with our acquisition of Sunder; (ii) up to 1,805,705 shares of common stock (the “</w:t>
      </w:r>
      <w:r>
        <w:rPr>
          <w:rFonts w:ascii="Times New Roman;Times;Serif" w:hAnsi="Times New Roman;Times;Serif"/>
          <w:b/>
          <w:i w:val="false"/>
          <w:caps w:val="false"/>
          <w:smallCaps w:val="false"/>
          <w:sz w:val="20"/>
        </w:rPr>
        <w:t>Cobalt Shares</w:t>
      </w:r>
      <w:r>
        <w:rPr>
          <w:rFonts w:ascii="Times New Roman;Times;Serif" w:hAnsi="Times New Roman;Times;Serif"/>
          <w:b w:val="false"/>
          <w:i w:val="false"/>
          <w:caps w:val="false"/>
          <w:smallCaps w:val="false"/>
          <w:sz w:val="20"/>
        </w:rPr>
        <w:t>”) previously issued pursuant to the Share Purchase Agreement, dated January 30, 2026, by and among the Company, Cobalt Power Systems, Inc. (“</w:t>
      </w:r>
      <w:r>
        <w:rPr>
          <w:rFonts w:ascii="Times New Roman;Times;Serif" w:hAnsi="Times New Roman;Times;Serif"/>
          <w:b/>
          <w:i w:val="false"/>
          <w:caps w:val="false"/>
          <w:smallCaps w:val="false"/>
          <w:sz w:val="20"/>
        </w:rPr>
        <w:t>Cobalt</w:t>
      </w:r>
      <w:r>
        <w:rPr>
          <w:rFonts w:ascii="Times New Roman;Times;Serif" w:hAnsi="Times New Roman;Times;Serif"/>
          <w:b w:val="false"/>
          <w:i w:val="false"/>
          <w:caps w:val="false"/>
          <w:smallCaps w:val="false"/>
          <w:sz w:val="20"/>
        </w:rPr>
        <w:t>”) and the selling shareholders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party thereto (the “</w:t>
      </w:r>
      <w:r>
        <w:rPr>
          <w:rFonts w:ascii="Times New Roman;Times;Serif" w:hAnsi="Times New Roman;Times;Serif"/>
          <w:b/>
          <w:i w:val="false"/>
          <w:caps w:val="false"/>
          <w:smallCaps w:val="false"/>
          <w:sz w:val="20"/>
        </w:rPr>
        <w:t>Cobalt Purchase Agreement</w:t>
      </w:r>
      <w:r>
        <w:rPr>
          <w:rFonts w:ascii="Times New Roman;Times;Serif" w:hAnsi="Times New Roman;Times;Serif"/>
          <w:b w:val="false"/>
          <w:i w:val="false"/>
          <w:caps w:val="false"/>
          <w:smallCaps w:val="false"/>
          <w:sz w:val="20"/>
        </w:rPr>
        <w:t>” and, together with the Sunder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in connection with our acquisition of Cobalt; (iii) up to 380,000 shares of common stock (the “</w:t>
      </w:r>
      <w:r>
        <w:rPr>
          <w:rFonts w:ascii="Times New Roman;Times;Serif" w:hAnsi="Times New Roman;Times;Serif"/>
          <w:b/>
          <w:i w:val="false"/>
          <w:caps w:val="false"/>
          <w:smallCaps w:val="false"/>
          <w:sz w:val="20"/>
        </w:rPr>
        <w:t>Ayna Shares</w:t>
      </w:r>
      <w:r>
        <w:rPr>
          <w:rFonts w:ascii="Times New Roman;Times;Serif" w:hAnsi="Times New Roman;Times;Serif"/>
          <w:b w:val="false"/>
          <w:i w:val="false"/>
          <w:caps w:val="false"/>
          <w:smallCaps w:val="false"/>
          <w:sz w:val="20"/>
        </w:rPr>
        <w:t>”) that are issuable upon the exercise of the warrant to purchase common stock (the “</w:t>
      </w:r>
      <w:r>
        <w:rPr>
          <w:rFonts w:ascii="Times New Roman;Times;Serif" w:hAnsi="Times New Roman;Times;Serif"/>
          <w:b/>
          <w:i w:val="false"/>
          <w:caps w:val="false"/>
          <w:smallCaps w:val="false"/>
          <w:sz w:val="20"/>
        </w:rPr>
        <w:t>Ayna 2026 Warrant</w:t>
      </w:r>
      <w:r>
        <w:rPr>
          <w:rFonts w:ascii="Times New Roman;Times;Serif" w:hAnsi="Times New Roman;Times;Serif"/>
          <w:b w:val="false"/>
          <w:i w:val="false"/>
          <w:caps w:val="false"/>
          <w:smallCaps w:val="false"/>
          <w:sz w:val="20"/>
        </w:rPr>
        <w:t>”) originally issued in a private placement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and (iv) up to 4,424,779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collectively with the Sunder Shares, the Cobalt Shares and the Ayna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issuable upon conversion of a 10% convertible senior secured note due 2029 in the original principal amount of $5.0 million (the “</w:t>
      </w:r>
      <w:r>
        <w:rPr>
          <w:rFonts w:ascii="Times New Roman;Times;Serif" w:hAnsi="Times New Roman;Times;Serif"/>
          <w:b/>
          <w:i w:val="false"/>
          <w:caps w:val="false"/>
          <w:smallCaps w:val="false"/>
          <w:sz w:val="20"/>
        </w:rPr>
        <w:t>Secured Note</w:t>
      </w:r>
      <w:r>
        <w:rPr>
          <w:rFonts w:ascii="Times New Roman;Times;Serif" w:hAnsi="Times New Roman;Times;Serif"/>
          <w:b w:val="false"/>
          <w:i w:val="false"/>
          <w:caps w:val="false"/>
          <w:smallCaps w:val="false"/>
          <w:sz w:val="20"/>
        </w:rPr>
        <w:t>”). The Sunder Shares were issued by us to CPP pursuant to the Sunder Amendment on April 8, 2026. The Cobalt Shares were issued by us to the Selling Shareholders pursuant to the Cobalt Purchase Agreement on February 2, 2026. The Ayna 2026 Warrant was issued by us effective January 1, 2026. The 10% Note was issued by us on May 20, 2026 pursuant to the Note Purchase Agreement, dated May 19, 2026, between the Company and the Selling Securityholder party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below for a description of the Acquisition Agreements, the Ambia Acquisition and the Sunder Acquisition and the 7% Notes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of common stock by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this prospectus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this prospectus. None of the Selling Securityholders are an “underwriter” with respect to the securities registered hereunder within the meaning of Section 2(a)(11) of the Securities Act of 1933,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June 26, 2026, the closing price of our common stock was $0.63.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this prospectus, and under similar headings in any amendments or supplements 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Complete Solaria, Inc. (f/k/a Complete Solar Holding Corporation), a Delaware corporation (“</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FACT, Jupiter Merger Sub I Corp., a Delaware corporation and wholly-owned subsidiary of FACT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Jupiter Merger Sub II LLC, a Delaware limited liability company and a wholly-owned subsidiary of FACT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The Solaria Corporation, a Delaware corporation and a wholly-owned indirect subsidiary of Legacy Complete Solaria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entered into that certain Amended and Restated Business Combination Agreement, dated as of May 26, 2023 (as may be further amended, supplemented or otherwise modified from time to time,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Legacy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(together with the First Merger and the Second Merger, 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including in connection with the integration of our acquisitions, and our ability to raise capital and refinance our existing debt;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 and indirect exposure to companies in the solar and renewable energy industries that are facing financial difficulties and potential bankruptcies;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 following the closing of business combinations including, without limitation, our recent acquisitions of the SunPower Businesses, Sunder Energy LLC (“Sunder”), Ambia Energy LLC (“Ambia”) and Cobalt Power Systems, Inc. (“Cobalt”);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of changes to and developments relating to the regulations and policies applicable to our business, customers and the industry;</w:t>
            </w:r>
          </w:p>
        </w:tc>
      </w:tr>
    </w:tbl>
    <w:p>
      <w:pPr>
        <w:pStyle w:val="TextBody"/>
        <w:bidi w:val="0"/>
        <w:spacing w:before="0" w:after="0"/>
        <w:ind w:left="720" w:right="0" w:hanging="36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105"/>
        <w:gridCol w:w="200"/>
        <w:gridCol w:w="57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availability of rebates, tax credits and other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720" w:right="0" w:hanging="36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the volatility of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following our recent acquisitions, including financial projections and business metrics, and our ability to manage our costs;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05"/>
        <w:gridCol w:w="200"/>
        <w:gridCol w:w="70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forecasts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products and services to meet customers’ compliance and regulatory needs;</w:t>
            </w:r>
          </w:p>
        </w:tc>
      </w:tr>
    </w:tbl>
    <w:p>
      <w:pPr>
        <w:pStyle w:val="TextBody"/>
        <w:bidi w:val="0"/>
        <w:spacing w:before="0" w:after="0"/>
        <w:ind w:left="720" w:right="0" w:hanging="36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maintain our brand and reputation, and our ability to maintain our relationships with key suppliers, installers and build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and financial conditions, inflationary pressures and the resulting impact on demand, and our ability to plan for and respond to the impact of those changes;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 and</w:t>
            </w:r>
          </w:p>
        </w:tc>
      </w:tr>
    </w:tbl>
    <w:p>
      <w:pPr>
        <w:pStyle w:val="TextBody"/>
        <w:bidi w:val="0"/>
        <w:spacing w:before="0" w:after="0"/>
        <w:ind w:left="720" w:right="0" w:hanging="36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05"/>
        <w:gridCol w:w="200"/>
        <w:gridCol w:w="40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325"/>
        <w:gridCol w:w="515"/>
      </w:tblGrid>
      <w:tr>
        <w:trPr/>
        <w:tc>
          <w:tcPr>
            <w:tcW w:w="732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32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32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Risk Factors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73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Market and Industry Data</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732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732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Determination of Offering Price</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732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Market Information for Securities and Dividend Policy</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732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32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Business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732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732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Executive Compensation</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732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732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Stockholders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732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32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Capital Stock</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732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Material U.S. Federal Income Tax Consequences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w:t>
            </w:r>
          </w:p>
        </w:tc>
      </w:tr>
      <w:tr>
        <w:trPr/>
        <w:tc>
          <w:tcPr>
            <w:tcW w:w="732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Plan of Distribution</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732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Legal Matters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32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Experts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32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Where You Can Find More Information</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32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Index to Consolidated Financial Statements</w:t>
              </w:r>
            </w:hyperlink>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9"/>
        </w:rPr>
      </w:pPr>
      <w:r>
        <w:rPr>
          <w:rFonts w:ascii="Times New Roman;Times;Serif" w:hAnsi="Times New Roman;Times;Serif"/>
          <w:b/>
          <w:i w:val="false"/>
          <w:caps w:val="false"/>
          <w:smallCaps w:val="false"/>
          <w:sz w:val="19"/>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amended and restated business combination agreement, dated as of May 26, 2023, by and among FACT, First Merger Sub, Second Merger Sub, Legacy Complete Solaria and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Complete Solar</w:t>
      </w:r>
      <w:r>
        <w:rPr>
          <w:rFonts w:ascii="Times New Roman;Times;Serif" w:hAnsi="Times New Roman;Times;Serif"/>
          <w:b w:val="false"/>
          <w:i w:val="false"/>
          <w:caps w:val="false"/>
          <w:smallCaps w:val="false"/>
          <w:sz w:val="20"/>
        </w:rPr>
        <w:t>” means Complete Solar Holding Corporation, a Delaware corporation, prior to the consummation of the Required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SunPower</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SunPower Inc. (f/k/a Complete Solaria, Inc. and, previously, Freedom Acquisition I Corp.), a Delaware corporation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Domestication</w:t>
      </w:r>
      <w:r>
        <w:rPr>
          <w:rFonts w:ascii="Times New Roman;Times;Serif" w:hAnsi="Times New Roman;Times;Serif"/>
          <w:b w:val="false"/>
          <w:i w:val="false"/>
          <w:caps w:val="false"/>
          <w:smallCaps w:val="false"/>
          <w:sz w:val="20"/>
        </w:rPr>
        <w:t>” means the domestication of FACT as a corporation incorporated in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means the 2023 Employee Stock Purchase Plan of SunPower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w:t>
      </w:r>
      <w:r>
        <w:rPr>
          <w:rFonts w:ascii="Times New Roman;Times;Serif" w:hAnsi="Times New Roman;Times;Serif"/>
          <w:b w:val="false"/>
          <w:i w:val="false"/>
          <w:caps w:val="false"/>
          <w:smallCaps w:val="false"/>
          <w:sz w:val="20"/>
        </w:rPr>
        <w:t>” means Freedom Acquisition I Corp., a Cayman Islands exempted company,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Class A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34,500,000 Class A ordinary shares, par value $0.0001 per share, of FACT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the 6,266,667 warrants held by the Sponsor that were issued in a private placement at the time of FACT’s IPO, each of which is exercisable for one Class A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Public Warrants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the 8,625,000 warrants to acquire FACT Class A Ordinary Shares, issued as part of the public units issued by FACT, at an initial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FACT’s initial public offering of its units, ordinary shares and warrants pursuant to its registration statement on Form S-1 declared effective by the SEC on February 25, 2021 (SEC File No. 333-252940).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Warrants</w:t>
      </w:r>
      <w:r>
        <w:rPr>
          <w:rFonts w:ascii="Times New Roman;Times;Serif" w:hAnsi="Times New Roman;Times;Serif"/>
          <w:b w:val="false"/>
          <w:i w:val="false"/>
          <w:caps w:val="false"/>
          <w:smallCaps w:val="false"/>
          <w:sz w:val="20"/>
        </w:rPr>
        <w:t>” means warrants issued to certain equityholders of Legacy Complete Solaria received as consideration in connection with the exchange of their capital stock held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Transaction</w:t>
      </w:r>
      <w:r>
        <w:rPr>
          <w:rFonts w:ascii="Times New Roman;Times;Serif" w:hAnsi="Times New Roman;Times;Serif"/>
          <w:b w:val="false"/>
          <w:i w:val="false"/>
          <w:caps w:val="false"/>
          <w:smallCaps w:val="false"/>
          <w:sz w:val="20"/>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means The Solaria Corporation, a Delaware corporation and a wholly-owned subsidiary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Freedom Acquisition I LLC, a Cayman Islands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collectively, the Private Warrants, the Public Warrants and the Working Capital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means warrants issued to certain equityholders of Legacy Complete Solaria.</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Prospectus Summary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Mission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acquisitions of Sunder, Ambia, Cobalt and SunPower Businesses are collectively referred to herein as “Acquisitions”.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Revenue Model</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Technology Innovation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Differentiation and Operating Results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10.0% Notes Offering and Related Transactions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23, 2026, we closed our private offering (the “</w:t>
      </w:r>
      <w:r>
        <w:rPr>
          <w:rFonts w:ascii="Times New Roman;Times;Serif" w:hAnsi="Times New Roman;Times;Serif"/>
          <w:b/>
          <w:i w:val="false"/>
          <w:caps w:val="false"/>
          <w:smallCaps w:val="false"/>
          <w:sz w:val="20"/>
          <w:bdr w:val="single" w:sz="12" w:space="1" w:color="000000"/>
        </w:rPr>
        <w:t>Offering</w:t>
      </w:r>
      <w:r>
        <w:rPr>
          <w:rFonts w:ascii="Times New Roman;Times;Serif" w:hAnsi="Times New Roman;Times;Serif"/>
          <w:b w:val="false"/>
          <w:i w:val="false"/>
          <w:caps w:val="false"/>
          <w:smallCaps w:val="false"/>
          <w:sz w:val="20"/>
          <w:bdr w:val="single" w:sz="12" w:space="1" w:color="000000"/>
        </w:rPr>
        <w:t>”) of $41,000,000 aggregate principal amount of our 10.0% Notes (as defined below),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Times;Serif" w:hAnsi="Times New Roman;Times;Serif"/>
          <w:b/>
          <w:i w:val="false"/>
          <w:caps w:val="false"/>
          <w:smallCaps w:val="false"/>
          <w:sz w:val="20"/>
          <w:bdr w:val="single" w:sz="12" w:space="1" w:color="000000"/>
        </w:rPr>
        <w:t>CPP</w:t>
      </w:r>
      <w:r>
        <w:rPr>
          <w:rFonts w:ascii="Times New Roman;Times;Serif" w:hAnsi="Times New Roman;Times;Serif"/>
          <w:b w:val="false"/>
          <w:i w:val="false"/>
          <w:caps w:val="false"/>
          <w:smallCaps w:val="false"/>
          <w:sz w:val="20"/>
          <w:bdr w:val="single" w:sz="12" w:space="1" w:color="000000"/>
        </w:rPr>
        <w:t>”) on September 24, 2025 in connection with the Company’s acquisition of Sunder Energy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On May 20, 2026, the Company issued and sold a further $5,000,000 aggregate principal amount of 10.0% Notes in a private offering to an additional purchaser, the shares underlying which 10.0% Notes are being registered hereby.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21, 2026, in connection with the Offering, the Company and YA II PN, LTD., a Cayman Islands exempt limited company (“</w:t>
      </w:r>
      <w:r>
        <w:rPr>
          <w:rFonts w:ascii="Times New Roman;Times;Serif" w:hAnsi="Times New Roman;Times;Serif"/>
          <w:b/>
          <w:i w:val="false"/>
          <w:caps w:val="false"/>
          <w:smallCaps w:val="false"/>
          <w:sz w:val="20"/>
          <w:bdr w:val="single" w:sz="12" w:space="1" w:color="000000"/>
        </w:rPr>
        <w:t>Yorkville</w:t>
      </w:r>
      <w:r>
        <w:rPr>
          <w:rFonts w:ascii="Times New Roman;Times;Serif" w:hAnsi="Times New Roman;Times;Serif"/>
          <w:b w:val="false"/>
          <w:i w:val="false"/>
          <w:caps w:val="false"/>
          <w:smallCaps w:val="false"/>
          <w:sz w:val="20"/>
          <w:bdr w:val="single" w:sz="12" w:space="1" w:color="000000"/>
        </w:rPr>
        <w:t>”) entered into a letter agreement (the “</w:t>
      </w:r>
      <w:r>
        <w:rPr>
          <w:rFonts w:ascii="Times New Roman;Times;Serif" w:hAnsi="Times New Roman;Times;Serif"/>
          <w:b/>
          <w:i w:val="false"/>
          <w:caps w:val="false"/>
          <w:smallCaps w:val="false"/>
          <w:sz w:val="20"/>
          <w:bdr w:val="single" w:sz="12" w:space="1" w:color="000000"/>
        </w:rPr>
        <w:t>YA Letter</w:t>
      </w:r>
      <w:r>
        <w:rPr>
          <w:rFonts w:ascii="Times New Roman;Times;Serif" w:hAnsi="Times New Roman;Times;Serif"/>
          <w:b w:val="false"/>
          <w:i w:val="false"/>
          <w:caps w:val="false"/>
          <w:smallCaps w:val="false"/>
          <w:sz w:val="20"/>
          <w:bdr w:val="single" w:sz="12" w:space="1" w:color="000000"/>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closing of the Offering, on April 23, 2026, the Company executed and delivered the Indenture relating to the Notes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bdr w:val="single" w:sz="12" w:space="1" w:color="000000"/>
        </w:rPr>
        <w:t>Trustee</w:t>
      </w:r>
      <w:r>
        <w:rPr>
          <w:rFonts w:ascii="Times New Roman;Times;Serif" w:hAnsi="Times New Roman;Times;Serif"/>
          <w:b w:val="false"/>
          <w:i w:val="false"/>
          <w:caps w:val="false"/>
          <w:smallCaps w:val="false"/>
          <w:sz w:val="20"/>
          <w:bdr w:val="single" w:sz="12" w:space="1" w:color="000000"/>
        </w:rPr>
        <w:t>”) and as collateral agent (in such capacity, the “</w:t>
      </w:r>
      <w:r>
        <w:rPr>
          <w:rFonts w:ascii="Times New Roman;Times;Serif" w:hAnsi="Times New Roman;Times;Serif"/>
          <w:b/>
          <w:i w:val="false"/>
          <w:caps w:val="false"/>
          <w:smallCaps w:val="false"/>
          <w:sz w:val="20"/>
          <w:bdr w:val="single" w:sz="12" w:space="1" w:color="000000"/>
        </w:rPr>
        <w:t>Collateral Agent</w:t>
      </w:r>
      <w:r>
        <w:rPr>
          <w:rFonts w:ascii="Times New Roman;Times;Serif" w:hAnsi="Times New Roman;Times;Serif"/>
          <w:b w:val="false"/>
          <w:i w:val="false"/>
          <w:caps w:val="false"/>
          <w:smallCaps w:val="false"/>
          <w:sz w:val="20"/>
          <w:bdr w:val="single" w:sz="12" w:space="1" w:color="000000"/>
        </w:rPr>
        <w:t>”). Additionally, on April 23, 2026, the Company and the Collateral Agent entered into the Pledge and Security Agreement (the “</w:t>
      </w:r>
      <w:r>
        <w:rPr>
          <w:rFonts w:ascii="Times New Roman;Times;Serif" w:hAnsi="Times New Roman;Times;Serif"/>
          <w:b/>
          <w:i w:val="false"/>
          <w:caps w:val="false"/>
          <w:smallCaps w:val="false"/>
          <w:sz w:val="20"/>
          <w:bdr w:val="single" w:sz="12" w:space="1" w:color="000000"/>
        </w:rPr>
        <w:t>Security Agreement</w:t>
      </w:r>
      <w:r>
        <w:rPr>
          <w:rFonts w:ascii="Times New Roman;Times;Serif" w:hAnsi="Times New Roman;Times;Serif"/>
          <w:b w:val="false"/>
          <w:i w:val="false"/>
          <w:caps w:val="false"/>
          <w:smallCaps w:val="false"/>
          <w:sz w:val="20"/>
          <w:bdr w:val="single" w:sz="12" w:space="1" w:color="000000"/>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Times;Serif" w:hAnsi="Times New Roman;Times;Serif"/>
          <w:b/>
          <w:i w:val="false"/>
          <w:caps w:val="false"/>
          <w:smallCaps w:val="false"/>
          <w:sz w:val="20"/>
          <w:bdr w:val="single" w:sz="12" w:space="1" w:color="000000"/>
        </w:rPr>
        <w:t>Patent Security Agreement</w:t>
      </w:r>
      <w:r>
        <w:rPr>
          <w:rFonts w:ascii="Times New Roman;Times;Serif" w:hAnsi="Times New Roman;Times;Serif"/>
          <w:b w:val="false"/>
          <w:i w:val="false"/>
          <w:caps w:val="false"/>
          <w:smallCaps w:val="false"/>
          <w:sz w:val="20"/>
          <w:bdr w:val="single" w:sz="12" w:space="1" w:color="000000"/>
        </w:rPr>
        <w:t>”) and Trademark Security Agreement (the “</w:t>
      </w:r>
      <w:r>
        <w:rPr>
          <w:rFonts w:ascii="Times New Roman;Times;Serif" w:hAnsi="Times New Roman;Times;Serif"/>
          <w:b/>
          <w:i w:val="false"/>
          <w:caps w:val="false"/>
          <w:smallCaps w:val="false"/>
          <w:sz w:val="20"/>
          <w:bdr w:val="single" w:sz="12" w:space="1" w:color="000000"/>
        </w:rPr>
        <w:t>Trademark Security Agreement</w:t>
      </w:r>
      <w:r>
        <w:rPr>
          <w:rFonts w:ascii="Times New Roman;Times;Serif" w:hAnsi="Times New Roman;Times;Serif"/>
          <w:b w:val="false"/>
          <w:i w:val="false"/>
          <w:caps w:val="false"/>
          <w:smallCaps w:val="false"/>
          <w:sz w:val="20"/>
          <w:bdr w:val="single" w:sz="12" w:space="1" w:color="000000"/>
        </w:rPr>
        <w:t>”) in connection with the grant of the first-priority security interest under the Security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Note Purchase Agreement entered into between the Company and CPP on April 21, 2026 (the “</w:t>
      </w:r>
      <w:r>
        <w:rPr>
          <w:rFonts w:ascii="Times New Roman;Times;Serif" w:hAnsi="Times New Roman;Times;Serif"/>
          <w:b/>
          <w:i w:val="false"/>
          <w:caps w:val="false"/>
          <w:smallCaps w:val="false"/>
          <w:sz w:val="20"/>
          <w:bdr w:val="single" w:sz="12" w:space="1" w:color="000000"/>
        </w:rPr>
        <w:t>CPP Note Purchase Agreement</w:t>
      </w:r>
      <w:r>
        <w:rPr>
          <w:rFonts w:ascii="Times New Roman;Times;Serif" w:hAnsi="Times New Roman;Times;Serif"/>
          <w:b w:val="false"/>
          <w:i w:val="false"/>
          <w:caps w:val="false"/>
          <w:smallCaps w:val="false"/>
          <w:sz w:val="20"/>
          <w:bdr w:val="single" w:sz="12" w:space="1" w:color="000000"/>
        </w:rPr>
        <w:t>”), in connection with the closing of the Offering, on April 23, 2026: (i) the Company paid $4,000,000 in cash to CPP and (ii) entered into an amended and restated Seller Note with CPP (the “</w:t>
      </w:r>
      <w:r>
        <w:rPr>
          <w:rFonts w:ascii="Times New Roman;Times;Serif" w:hAnsi="Times New Roman;Times;Serif"/>
          <w:b/>
          <w:i w:val="false"/>
          <w:caps w:val="false"/>
          <w:smallCaps w:val="false"/>
          <w:sz w:val="20"/>
          <w:bdr w:val="single" w:sz="12" w:space="1" w:color="000000"/>
        </w:rPr>
        <w:t>A&amp;R Seller Note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on April 23, 2026, the Company and certain holders of the Company’s 7.0% Notes (as defined below) closed the transactions under the exchange agreements executed on April 21, 2026 (the “</w:t>
      </w:r>
      <w:r>
        <w:rPr>
          <w:rFonts w:ascii="Times New Roman;Times;Serif" w:hAnsi="Times New Roman;Times;Serif"/>
          <w:b/>
          <w:i w:val="false"/>
          <w:caps w:val="false"/>
          <w:smallCaps w:val="false"/>
          <w:sz w:val="20"/>
          <w:bdr w:val="single" w:sz="12" w:space="1" w:color="000000"/>
        </w:rPr>
        <w:t>Exchange Agreements</w:t>
      </w:r>
      <w:r>
        <w:rPr>
          <w:rFonts w:ascii="Times New Roman;Times;Serif" w:hAnsi="Times New Roman;Times;Serif"/>
          <w:b w:val="false"/>
          <w:i w:val="false"/>
          <w:caps w:val="false"/>
          <w:smallCaps w:val="false"/>
          <w:sz w:val="20"/>
          <w:bdr w:val="single" w:sz="12" w:space="1" w:color="000000"/>
        </w:rPr>
        <w:t>”).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19, 2026, the Company entered into a further note purchase agreement for the issuance of an additional $5.0 million principal amount of 10% Notes.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Ayna 2026 Warrant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issued the Ayna 2026 Warrant pursuant to which Ayna is entitled to purchase 380,000 shares of common stock at an exercise price per share of $0.01, subject to the provisions and upon the terms and conditions set forth in the Ayna 2026 Warrant. The issuance of the Ayna 2026 Warrant was in satisfaction of the compensation owed by us to Ayna under the terms of the Statement of Work, dated effective as of January 1, 2026. The Ayna 2026 Warrant provides Ayna with contractual registration rights with respect to the shares of common stock issuable upon exercise of the Ayna 2026 Warrant.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Cost Control Measures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Wendell Laidley Resignation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7, 2026, Wendell Laidley resigned from his position as Chief Financial Officer of 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Appointment of Bernard Gutmann as Director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8, 2026, the Board of Directors of the Company appointed Bernard Gutmann to serve as a director of the Company and as a member of the Audit Committee.</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 and Emerging Growth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of 2012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Sunder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21, 2025, we entered into an agreement to acquire Sunder Energy, LLC (“</w:t>
      </w:r>
      <w:r>
        <w:rPr>
          <w:rFonts w:ascii="Times New Roman;Times;Serif" w:hAnsi="Times New Roman;Times;Serif"/>
          <w:b/>
          <w:i w:val="false"/>
          <w:caps w:val="false"/>
          <w:smallCaps w:val="false"/>
          <w:sz w:val="20"/>
          <w:bdr w:val="single" w:sz="12" w:space="1" w:color="000000"/>
        </w:rPr>
        <w:t>Sunder</w:t>
      </w:r>
      <w:r>
        <w:rPr>
          <w:rFonts w:ascii="Times New Roman;Times;Serif" w:hAnsi="Times New Roman;Times;Serif"/>
          <w:b w:val="false"/>
          <w:i w:val="false"/>
          <w:caps w:val="false"/>
          <w:smallCaps w:val="false"/>
          <w:sz w:val="20"/>
          <w:bdr w:val="single" w:sz="12" w:space="1" w:color="000000"/>
        </w:rPr>
        <w:t>”) and completed the acquisition effective September 24, 2025 (“</w:t>
      </w:r>
      <w:r>
        <w:rPr>
          <w:rFonts w:ascii="Times New Roman;Times;Serif" w:hAnsi="Times New Roman;Times;Serif"/>
          <w:b/>
          <w:i w:val="false"/>
          <w:caps w:val="false"/>
          <w:smallCaps w:val="false"/>
          <w:sz w:val="20"/>
          <w:bdr w:val="single" w:sz="12" w:space="1" w:color="000000"/>
        </w:rPr>
        <w:t>Sunder Acquisition</w:t>
      </w:r>
      <w:r>
        <w:rPr>
          <w:rFonts w:ascii="Times New Roman;Times;Serif" w:hAnsi="Times New Roman;Times;Serif"/>
          <w:b w:val="false"/>
          <w:i w:val="false"/>
          <w:caps w:val="false"/>
          <w:smallCaps w:val="false"/>
          <w:sz w:val="20"/>
          <w:bdr w:val="single" w:sz="12" w:space="1" w:color="000000"/>
        </w:rPr>
        <w:t>”). At the closing of the Sunder Acquisition, we acquired all of the outstanding membership interests of Sunder from the sole member of Sunder for: (i) $20,000,000 in cash paid at closing, subject to certain working capital and other adjustments; (ii) a promissory note issued at the closing in the principal amount of $20,000,000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(iii) 3,333,334 shares of our common stock issued at closing; and (iv) subject to approval of such issuances by our stockholders following closing in accordance with the rules and regulations of the Nasdaq Stock Market, (x) an additional 3,333,333 shares of common stock to be issued on the 12-month anniversary of the closing, and (y) a further 3,333,333 shares of common stock to be issued on the 18-month anniversary of the closing (such 6,666,666 shares of common stock issuable following closing, the “</w:t>
      </w:r>
      <w:r>
        <w:rPr>
          <w:rFonts w:ascii="Times New Roman;Times;Serif" w:hAnsi="Times New Roman;Times;Serif"/>
          <w:b/>
          <w:i w:val="false"/>
          <w:caps w:val="false"/>
          <w:smallCaps w:val="false"/>
          <w:sz w:val="20"/>
          <w:bdr w:val="single" w:sz="12" w:space="1" w:color="000000"/>
        </w:rPr>
        <w:t>Deferred Consideration Shares</w:t>
      </w:r>
      <w:r>
        <w:rPr>
          <w:rFonts w:ascii="Times New Roman;Times;Serif" w:hAnsi="Times New Roman;Times;Serif"/>
          <w:b w:val="false"/>
          <w:i w:val="false"/>
          <w:caps w:val="false"/>
          <w:smallCaps w:val="false"/>
          <w:sz w:val="20"/>
          <w:bdr w:val="single" w:sz="12" w:space="1" w:color="000000"/>
        </w:rPr>
        <w:t>”). In lieu of issuing the Deferred Consideration Shares, the Company, in its sole discretion, was permitted to elect to pay the Member a cash payment equal to the number of Deferred Consideration Shares otherwise issuable by us multiplied by the volume-weighted average price of our common stock as quoted on Nasdaq for the 30-trading day period ending two business days prior to the date on which the applicable Deferred Consideration Shares were otherwise issuable. Pursuant to an Amendment and Agreement dated as of March 5, 2026 between CPP and the Company, the Company agreed to issue all of the 6,666,666 Deferred Consideration Shares following receipt of approval by the Company’s stockholders, and the Deferred Consideration Shares were issued on April 8, 2026 and are being registered hereby.</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Sunder Acquisition agreement includes customary representations and warranties, covenants, and indemnities, in each case under the circumstances and subject to certain limitations set forth in the agreement. The indemnification obligations under the Sunder Acquisition agreement are subject to customary deductibles and caps. Our primary source of recovery for indemnifiable damages is set off of such damages against the amounts payable by us under the Seller Note and the Deferred Consideration Shares issuable by us following the closing of the Sunder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 The financial results of Sunder have been included in our unaudited condensed consolidated financial statements since the date of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Ambia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21, 2025, we entered into an agreement to acquire Ambia Energy, LLC (“</w:t>
      </w:r>
      <w:r>
        <w:rPr>
          <w:rFonts w:ascii="Times New Roman;Times;Serif" w:hAnsi="Times New Roman;Times;Serif"/>
          <w:b/>
          <w:i w:val="false"/>
          <w:caps w:val="false"/>
          <w:smallCaps w:val="false"/>
          <w:sz w:val="20"/>
          <w:bdr w:val="single" w:sz="12" w:space="1" w:color="000000"/>
        </w:rPr>
        <w:t>Ambia</w:t>
      </w:r>
      <w:r>
        <w:rPr>
          <w:rFonts w:ascii="Times New Roman;Times;Serif" w:hAnsi="Times New Roman;Times;Serif"/>
          <w:b w:val="false"/>
          <w:i w:val="false"/>
          <w:caps w:val="false"/>
          <w:smallCaps w:val="false"/>
          <w:sz w:val="20"/>
          <w:bdr w:val="single" w:sz="12" w:space="1" w:color="000000"/>
        </w:rPr>
        <w:t>”) and completed the acquisition on November 21, 2025 (the “</w:t>
      </w:r>
      <w:r>
        <w:rPr>
          <w:rFonts w:ascii="Times New Roman;Times;Serif" w:hAnsi="Times New Roman;Times;Serif"/>
          <w:b/>
          <w:i w:val="false"/>
          <w:caps w:val="false"/>
          <w:smallCaps w:val="false"/>
          <w:sz w:val="20"/>
          <w:bdr w:val="single" w:sz="12" w:space="1" w:color="000000"/>
        </w:rPr>
        <w:t>Ambia Acquisition</w:t>
      </w:r>
      <w:r>
        <w:rPr>
          <w:rFonts w:ascii="Times New Roman;Times;Serif" w:hAnsi="Times New Roman;Times;Serif"/>
          <w:b w:val="false"/>
          <w:i w:val="false"/>
          <w:caps w:val="false"/>
          <w:smallCaps w:val="false"/>
          <w:sz w:val="20"/>
          <w:bdr w:val="single" w:sz="12" w:space="1" w:color="000000"/>
        </w:rPr>
        <w:t>”). The Ambia Acquisition was completed through the acquisition of all of the membership interests of Ambia for aggregate consideration of 10,243,924 shares of our common stock issued as of the acquisition date plus our agreement to issue an additional $9.375 million of shares of our common stock on the six-month anniversary of the Ambia Acquisition closing and an additional $9.375 million of shares of our common stock on the 12-month anniversary of the Ambia Acquisition closing (such shares, the “</w:t>
      </w:r>
      <w:r>
        <w:rPr>
          <w:rFonts w:ascii="Times New Roman;Times;Serif" w:hAnsi="Times New Roman;Times;Serif"/>
          <w:b/>
          <w:i w:val="false"/>
          <w:caps w:val="false"/>
          <w:smallCaps w:val="false"/>
          <w:sz w:val="20"/>
          <w:bdr w:val="single" w:sz="12" w:space="1" w:color="000000"/>
        </w:rPr>
        <w:t>Ambia Post-Closing Consideration Shares</w:t>
      </w:r>
      <w:r>
        <w:rPr>
          <w:rFonts w:ascii="Times New Roman;Times;Serif" w:hAnsi="Times New Roman;Times;Serif"/>
          <w:b w:val="false"/>
          <w:i w:val="false"/>
          <w:caps w:val="false"/>
          <w:smallCaps w:val="false"/>
          <w:sz w:val="20"/>
          <w:bdr w:val="single" w:sz="12" w:space="1" w:color="000000"/>
        </w:rPr>
        <w:t>”). The issuance of the Ambia Post-Closing Consideration Shares was approved by our stockholders following the Ambia Acquisition closing in accordance with the rules and regulations of the Nasdaq Stock Market (including Nasdaq Listing Rule 5635(a)). The actual number of Ambia Post-Closing Consideration Shares issuable 12-month anniversary of the Ambia Acquisition closing will be determined based on the 20-day trailing volume-weighted average price of our common stock after market close on the business day immediately prior to the issuance date of the applicable shares (the “</w:t>
      </w:r>
      <w:r>
        <w:rPr>
          <w:rFonts w:ascii="Times New Roman;Times;Serif" w:hAnsi="Times New Roman;Times;Serif"/>
          <w:b/>
          <w:i w:val="false"/>
          <w:caps w:val="false"/>
          <w:smallCaps w:val="false"/>
          <w:sz w:val="20"/>
          <w:bdr w:val="single" w:sz="12" w:space="1" w:color="000000"/>
        </w:rPr>
        <w:t>VWAP Value</w:t>
      </w:r>
      <w:r>
        <w:rPr>
          <w:rFonts w:ascii="Times New Roman;Times;Serif" w:hAnsi="Times New Roman;Times;Serif"/>
          <w:b w:val="false"/>
          <w:i w:val="false"/>
          <w:caps w:val="false"/>
          <w:smallCaps w:val="false"/>
          <w:sz w:val="20"/>
          <w:bdr w:val="single" w:sz="12" w:space="1" w:color="000000"/>
        </w:rPr>
        <w:t>”); provided that the VWAP Value for the calculation of the actual number of the Ambia Post-Closing Consideration Shares issuable will not be more than $2.8102 per share or less than $1.4988 per share. Additionally, the number of Ambia Post-Closing Consideration Shares issuable by the Company is subject to adjustment pursuant to customary working capital and balance sheet adjustment terms and subject to offset for certain indemnifiable damages in accordance with the Ambia acquisition agreement.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Ambia Acquisition agreement includes customary representations and warranties, covenants, and indemnities, in each case under the circumstances and subject to certain limitations set forth in the agreement. The indemnification obligations under the Ambia Acquisition agreement are subject to customary baskets and caps. Our primary source of recovery for indemnifiable damages is set off of such damages against the Ambia Post-Closing Consideration Shares issuable by us following closing of the Ambia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Cobalt Power Systems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we entered into an agreement to acquire Cobalt Power Systems, Inc. (“</w:t>
      </w:r>
      <w:r>
        <w:rPr>
          <w:rFonts w:ascii="Times New Roman;Times;Serif" w:hAnsi="Times New Roman;Times;Serif"/>
          <w:b/>
          <w:i w:val="false"/>
          <w:caps w:val="false"/>
          <w:smallCaps w:val="false"/>
          <w:sz w:val="20"/>
          <w:bdr w:val="single" w:sz="12" w:space="1" w:color="000000"/>
        </w:rPr>
        <w:t>Cobalt</w:t>
      </w:r>
      <w:r>
        <w:rPr>
          <w:rFonts w:ascii="Times New Roman;Times;Serif" w:hAnsi="Times New Roman;Times;Serif"/>
          <w:b w:val="false"/>
          <w:i w:val="false"/>
          <w:caps w:val="false"/>
          <w:smallCaps w:val="false"/>
          <w:sz w:val="20"/>
          <w:bdr w:val="single" w:sz="12" w:space="1" w:color="000000"/>
        </w:rPr>
        <w:t>”) and completed the acquisition on February 2, 2026 (the “</w:t>
      </w:r>
      <w:r>
        <w:rPr>
          <w:rFonts w:ascii="Times New Roman;Times;Serif" w:hAnsi="Times New Roman;Times;Serif"/>
          <w:b/>
          <w:i w:val="false"/>
          <w:caps w:val="false"/>
          <w:smallCaps w:val="false"/>
          <w:sz w:val="20"/>
          <w:bdr w:val="single" w:sz="12" w:space="1" w:color="000000"/>
        </w:rPr>
        <w:t>Cobalt Acquisition</w:t>
      </w:r>
      <w:r>
        <w:rPr>
          <w:rFonts w:ascii="Times New Roman;Times;Serif" w:hAnsi="Times New Roman;Times;Serif"/>
          <w:b w:val="false"/>
          <w:i w:val="false"/>
          <w:caps w:val="false"/>
          <w:smallCaps w:val="false"/>
          <w:sz w:val="20"/>
          <w:bdr w:val="single" w:sz="12" w:space="1" w:color="000000"/>
        </w:rPr>
        <w:t>”). The Cobalt Acquisition was completed through the acquisition of all of the outstanding stock of Cobalt for aggregate consideration of 1,805,705 shares of our common stock issued as of the closing (the “</w:t>
      </w:r>
      <w:r>
        <w:rPr>
          <w:rFonts w:ascii="Times New Roman;Times;Serif" w:hAnsi="Times New Roman;Times;Serif"/>
          <w:b/>
          <w:i w:val="false"/>
          <w:caps w:val="false"/>
          <w:smallCaps w:val="false"/>
          <w:sz w:val="20"/>
          <w:bdr w:val="single" w:sz="12" w:space="1" w:color="000000"/>
        </w:rPr>
        <w:t>Cobalt Closing Shares</w:t>
      </w:r>
      <w:r>
        <w:rPr>
          <w:rFonts w:ascii="Times New Roman;Times;Serif" w:hAnsi="Times New Roman;Times;Serif"/>
          <w:b w:val="false"/>
          <w:i w:val="false"/>
          <w:caps w:val="false"/>
          <w:smallCaps w:val="false"/>
          <w:sz w:val="20"/>
          <w:bdr w:val="single" w:sz="12" w:space="1" w:color="000000"/>
        </w:rPr>
        <w:t>”) plus our agreement to issue an additional $3.33 million of shares of our common stock on the 12-month anniversary of the closing and an additional $3.33 million of shares of our common stock on the 18-month anniversary of the closing (such additional shares of common stock, the “</w:t>
      </w:r>
      <w:r>
        <w:rPr>
          <w:rFonts w:ascii="Times New Roman;Times;Serif" w:hAnsi="Times New Roman;Times;Serif"/>
          <w:b/>
          <w:i w:val="false"/>
          <w:caps w:val="false"/>
          <w:smallCaps w:val="false"/>
          <w:sz w:val="20"/>
          <w:bdr w:val="single" w:sz="12" w:space="1" w:color="000000"/>
        </w:rPr>
        <w:t>Cobalt Post-Closing Consideration Shares</w:t>
      </w:r>
      <w:r>
        <w:rPr>
          <w:rFonts w:ascii="Times New Roman;Times;Serif" w:hAnsi="Times New Roman;Times;Serif"/>
          <w:b w:val="false"/>
          <w:i w:val="false"/>
          <w:caps w:val="false"/>
          <w:smallCaps w:val="false"/>
          <w:sz w:val="20"/>
          <w:bdr w:val="single" w:sz="12" w:space="1" w:color="000000"/>
        </w:rPr>
        <w:t>”). The Cobalt Closing Shares were issued on February 2, 2026. The actual number of Cobalt Post-Closing Consideration Shares issuable by us on the 12- and 18-month anniversaries of the closing will be determined based on the five-day trailing volume-weighted average price of our common stock after market close on the business day immediately prior to the issuance date of the applicable shares. Additionally, the number of Cobalt Post-Closing Consideration Shares issuable by us is subject to adjustment pursuant to customary working capital and balance sheet adjustment terms and subject to offset for certain indemnifiable damages in accordance with the share purchase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share purchase agreement for the Cobalt Acquisition includes customary representations and warranties, covenants, and indemnities, in each case under the circumstances and subject to certain limitations set forth in the agreement. The indemnification obligations under the Cobalt Acquisition agreement are subject to customary baskets and caps. Our primary source of recovery for indemnifiable damages is set off of such damages against the Cobalt Post-Closing Consideration Shares issuable by us following closing of the Cobalt Acquisition.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Other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bear all costs, expenses and fees in connection with the registration of Offered Securities. The Selling Securityholders will bear all commissions and discounts, if any, attributable to their sales of Offered Securities. We are registering certain shares of our common stock for sale by the Selling Securityholders pursuant to registration rights granted to the Selling Securityholders. See the section of this prospectus entitled “</w:t>
      </w:r>
      <w:r>
        <w:rPr>
          <w:rFonts w:ascii="Times New Roman;Times;Serif" w:hAnsi="Times New Roman;Times;Serif"/>
          <w:b w:val="false"/>
          <w:i/>
          <w:caps w:val="false"/>
          <w:smallCaps w:val="false"/>
          <w:sz w:val="20"/>
          <w:bdr w:val="single" w:sz="12" w:space="1" w:color="000000"/>
        </w:rPr>
        <w:t>Selling Securityholders</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offering the securities covered by this prospectus, the Selling Securityholders and any broker-dealers who execute sales for the Selling Securityholders may be deemed to be “underwriters” within the meaning of the Securities Act of 1933, as amended (the “</w:t>
      </w:r>
      <w:r>
        <w:rPr>
          <w:rFonts w:ascii="Times New Roman;Times;Serif" w:hAnsi="Times New Roman;Times;Serif"/>
          <w:b/>
          <w:i w:val="false"/>
          <w:caps w:val="false"/>
          <w:smallCaps w:val="false"/>
          <w:sz w:val="20"/>
          <w:bdr w:val="single" w:sz="12" w:space="1" w:color="000000"/>
        </w:rPr>
        <w:t>Securities Act</w:t>
      </w:r>
      <w:r>
        <w:rPr>
          <w:rFonts w:ascii="Times New Roman;Times;Serif" w:hAnsi="Times New Roman;Times;Serif"/>
          <w:b w:val="false"/>
          <w:i w:val="false"/>
          <w:caps w:val="false"/>
          <w:smallCaps w:val="false"/>
          <w:sz w:val="20"/>
          <w:bdr w:val="single" w:sz="12" w:space="1" w:color="000000"/>
        </w:rPr>
        <w:t>”) in connection with such sales. Any profits realized by the Selling Securityholders and the compensation of any broker-dealer may be deemed to be underwriting discounts and commissions.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Selling Securityholders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Times;Serif" w:hAnsi="Times New Roman;Times;Serif"/>
          <w:b w:val="false"/>
          <w:i/>
          <w:caps w:val="false"/>
          <w:smallCaps w:val="false"/>
          <w:sz w:val="20"/>
          <w:bdr w:val="single" w:sz="12" w:space="1" w:color="000000"/>
        </w:rPr>
        <w:t>About this Prospectus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Risk Factors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Below is a summary of material factors that make an investment in our securities speculative or risky. Importantly, this summary does not address all of the risks and uncertainties that we face.</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that may continue in the future; our management has identified conditions that raise substantial doubt about our ability to continue as a going concern; and we may not achieve profitability or generate positive cash flow.</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funds may cause dilution to existing stockholders and/or may restrict our operations or require us to relinquish proprietary rights.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 </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8035" w:type="dxa"/>
        <w:jc w:val="left"/>
        <w:tblInd w:w="0" w:type="dxa"/>
        <w:tblLayout w:type="fixed"/>
        <w:tblCellMar>
          <w:top w:w="0" w:type="dxa"/>
          <w:left w:w="0" w:type="dxa"/>
          <w:bottom w:w="0" w:type="dxa"/>
          <w:right w:w="0" w:type="dxa"/>
        </w:tblCellMar>
      </w:tblPr>
      <w:tblGrid>
        <w:gridCol w:w="105"/>
        <w:gridCol w:w="200"/>
        <w:gridCol w:w="77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the restatement of our previously issued quarterly financial statements.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prepare and timely file our periodic reports with the SEC limits our access to the public markets to raise debt or equity capital.</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in part on the availability of rebates, tax credits and other financial incentives. The OBBBA has materially reduced the availability of these rebates, credits or incentives, which may adversely impact our business.</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 our domestic and international markets, as well as inflation concerns, instability of financial institutions, rising interest rates, and recessionary concerns may adversely affect our industry, business and financial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losses and may be unable to achieve or sustain profitability in the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both traditional energy companies and renewable energy companies.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strategy depends on the widespread adoption of solar power technology.</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the credit risk of customers and our finance partners, and payment delinquencies on accounts receivables.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unauthorized access to or disclosure or theft of personal information we gather, store or use could harm our reputation and subject us to claims or litigation.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the continuing contributions of key personnel, including Thurman J. Rodgers. If we are unable to attract and retain key employees and qualified personnel, our business and prospects could be harmed.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18"/>
        <w:gridCol w:w="9882"/>
      </w:tblGrid>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and ability to grow may fluctuate from quarter to quarter and year to year, which could make future performance difficult to predict and could cause operating results for a particular period to fall below expectations.</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executive officers and principal stockholders will continue to have significant influence over our company, which could limit your ability to influence the outcome of key transactions, including a change of control.</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meet all applicable requirements of Nasdaq and Nasdaq determines to delist our common stock, the delisting could adversely affect the market liquidity of our common stock and the market price of our common stock could decrease.</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10.0% Senior Secured Notes are secured obligations, and there are risks associated with our 10.0% Senior Secured Notes that could adversely affect our business and financial condition.</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882"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xml:space="preserve">● </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features of the Convertible Senior Notes and Yorkville Notes may adversely affect our financial condition and operating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(including potential sales of securities by the Selling Securityholders), or the perception of future sales, by us or our stockholders in the public market could cause the market price for the common stock to decline.</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016"/>
        <w:gridCol w:w="90"/>
        <w:gridCol w:w="238"/>
        <w:gridCol w:w="6861"/>
      </w:tblGrid>
      <w:tr>
        <w:trPr/>
        <w:tc>
          <w:tcPr>
            <w:tcW w:w="301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Securities offered by the Selling Securityholder</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13,277,150 shares of our common stock consisting of:</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861" w:type="dxa"/>
            <w:tcBorders/>
            <w:vAlign w:val="center"/>
          </w:tcPr>
          <w:p>
            <w:pPr>
              <w:pStyle w:val="TableContents"/>
              <w:bidi w:val="0"/>
              <w:spacing w:before="0" w:after="283"/>
              <w:ind w:left="0" w:right="0" w:hanging="180"/>
              <w:jc w:val="both"/>
              <w:rPr/>
            </w:pPr>
            <w:r>
              <w:rPr/>
              <w:t> </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6861" w:type="dxa"/>
            <w:tcBorders/>
            <w:vAlign w:val="center"/>
          </w:tcPr>
          <w:p>
            <w:pPr>
              <w:pStyle w:val="TableContents"/>
              <w:bidi w:val="0"/>
              <w:spacing w:before="0" w:after="283"/>
              <w:ind w:left="0" w:right="0" w:hanging="180"/>
              <w:jc w:val="both"/>
              <w:rPr/>
            </w:pPr>
            <w:r>
              <w:rPr/>
              <w:t>6,666,666 shares of common stock previously issued by us in connection with our acquisition of Sunder;</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861" w:type="dxa"/>
            <w:tcBorders/>
            <w:vAlign w:val="center"/>
          </w:tcPr>
          <w:p>
            <w:pPr>
              <w:pStyle w:val="TableContents"/>
              <w:bidi w:val="0"/>
              <w:spacing w:before="0" w:after="283"/>
              <w:ind w:left="0" w:right="0" w:hanging="180"/>
              <w:jc w:val="both"/>
              <w:rPr/>
            </w:pPr>
            <w:r>
              <w:rPr/>
              <w:t> </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6861" w:type="dxa"/>
            <w:tcBorders/>
            <w:vAlign w:val="center"/>
          </w:tcPr>
          <w:p>
            <w:pPr>
              <w:pStyle w:val="TableContents"/>
              <w:bidi w:val="0"/>
              <w:spacing w:before="0" w:after="283"/>
              <w:ind w:left="0" w:right="0" w:hanging="180"/>
              <w:jc w:val="both"/>
              <w:rPr/>
            </w:pPr>
            <w:r>
              <w:rPr/>
              <w:t>1,805,705 shares of common stock previously issued by us in connection with our acquisition of Cobalt;</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861" w:type="dxa"/>
            <w:tcBorders/>
            <w:vAlign w:val="center"/>
          </w:tcPr>
          <w:p>
            <w:pPr>
              <w:pStyle w:val="TableContents"/>
              <w:bidi w:val="0"/>
              <w:spacing w:before="0" w:after="283"/>
              <w:ind w:left="0" w:right="0" w:hanging="180"/>
              <w:jc w:val="both"/>
              <w:rPr/>
            </w:pPr>
            <w:r>
              <w:rPr/>
              <w:t> </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6861" w:type="dxa"/>
            <w:tcBorders/>
            <w:vAlign w:val="center"/>
          </w:tcPr>
          <w:p>
            <w:pPr>
              <w:pStyle w:val="TableContents"/>
              <w:bidi w:val="0"/>
              <w:spacing w:before="0" w:after="283"/>
              <w:ind w:left="0" w:right="0" w:hanging="180"/>
              <w:jc w:val="both"/>
              <w:rPr/>
            </w:pPr>
            <w:r>
              <w:rPr/>
              <w:t>380,000 shares of common stock issuable upon exercise of the Ayna 2026 Warrant; and</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861" w:type="dxa"/>
            <w:tcBorders/>
            <w:vAlign w:val="center"/>
          </w:tcPr>
          <w:p>
            <w:pPr>
              <w:pStyle w:val="TableContents"/>
              <w:bidi w:val="0"/>
              <w:spacing w:before="0" w:after="283"/>
              <w:ind w:left="0" w:right="0" w:hanging="180"/>
              <w:jc w:val="both"/>
              <w:rPr/>
            </w:pPr>
            <w:r>
              <w:rPr/>
              <w:t> </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6861" w:type="dxa"/>
            <w:tcBorders/>
            <w:vAlign w:val="center"/>
          </w:tcPr>
          <w:p>
            <w:pPr>
              <w:pStyle w:val="TableContents"/>
              <w:bidi w:val="0"/>
              <w:spacing w:before="0" w:after="283"/>
              <w:jc w:val="both"/>
              <w:rPr/>
            </w:pPr>
            <w:r>
              <w:rPr/>
              <w:t>up to 4,424,779 shares of common stock issuable upon conversion of our 10% Notes.</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ind w:left="0" w:right="0" w:hanging="180"/>
              <w:jc w:val="both"/>
              <w:rPr/>
            </w:pPr>
            <w:r>
              <w:rPr/>
              <w:t> </w:t>
            </w:r>
          </w:p>
        </w:tc>
      </w:tr>
      <w:tr>
        <w:trPr/>
        <w:tc>
          <w:tcPr>
            <w:tcW w:w="3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prior to this offering</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150,283,214 (as of June 22, 2026).</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ind w:left="0" w:right="0" w:hanging="180"/>
              <w:jc w:val="both"/>
              <w:rPr/>
            </w:pPr>
            <w:r>
              <w:rPr/>
              <w:t> </w:t>
            </w:r>
          </w:p>
        </w:tc>
      </w:tr>
      <w:tr>
        <w:trPr/>
        <w:tc>
          <w:tcPr>
            <w:tcW w:w="3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after this offering</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163,560,364 (based on the total shares outstanding as of June 22, 2026).</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pPr>
            <w:r>
              <w:rPr/>
              <w:t> </w:t>
            </w:r>
          </w:p>
        </w:tc>
      </w:tr>
      <w:tr>
        <w:trPr/>
        <w:tc>
          <w:tcPr>
            <w:tcW w:w="3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offering</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Securityholders will determine when and how they will dispose of the shares of common stock registered for resale under this prospectus.</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pPr>
            <w:r>
              <w:rPr/>
              <w:t> </w:t>
            </w:r>
          </w:p>
        </w:tc>
      </w:tr>
      <w:tr>
        <w:trPr/>
        <w:tc>
          <w:tcPr>
            <w:tcW w:w="3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common stock included in this prospectus by the Selling Securityholders.</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prospectus and the registration statement of which it is a part.</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pPr>
            <w:r>
              <w:rPr/>
              <w:t> </w:t>
            </w:r>
          </w:p>
        </w:tc>
      </w:tr>
      <w:tr>
        <w:trPr/>
        <w:tc>
          <w:tcPr>
            <w:tcW w:w="3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information set forth in “</w:t>
            </w:r>
            <w:r>
              <w:rPr>
                <w:rFonts w:ascii="Times New Roman;Times;Serif" w:hAnsi="Times New Roman;Times;Serif"/>
                <w:i/>
                <w:sz w:val="20"/>
              </w:rPr>
              <w:t>Risk Factors</w:t>
            </w:r>
            <w:r>
              <w:rPr>
                <w:rFonts w:ascii="Times New Roman;Times;Serif" w:hAnsi="Times New Roman;Times;Serif"/>
                <w:sz w:val="20"/>
              </w:rPr>
              <w:t>” beginning on page 10.</w:t>
            </w:r>
          </w:p>
        </w:tc>
      </w:tr>
      <w:tr>
        <w:trPr/>
        <w:tc>
          <w:tcPr>
            <w:tcW w:w="3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pPr>
            <w:r>
              <w:rPr/>
              <w:t> </w:t>
            </w:r>
          </w:p>
        </w:tc>
      </w:tr>
      <w:tr>
        <w:trPr/>
        <w:tc>
          <w:tcPr>
            <w:tcW w:w="3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ticker symbols</w:t>
            </w:r>
          </w:p>
        </w:tc>
        <w:tc>
          <w:tcPr>
            <w:tcW w:w="90" w:type="dxa"/>
            <w:tcBorders/>
            <w:vAlign w:val="center"/>
          </w:tcPr>
          <w:p>
            <w:pPr>
              <w:pStyle w:val="TableContents"/>
              <w:bidi w:val="0"/>
              <w:spacing w:before="0" w:after="283"/>
              <w:jc w:val="left"/>
              <w:rPr/>
            </w:pPr>
            <w:r>
              <w:rPr/>
              <w:t> </w:t>
            </w:r>
          </w:p>
        </w:tc>
        <w:tc>
          <w:tcPr>
            <w:tcW w:w="7099" w:type="dxa"/>
            <w:gridSpan w:val="2"/>
            <w:tcBorders/>
            <w:vAlign w:val="center"/>
          </w:tcPr>
          <w:p>
            <w:pPr>
              <w:pStyle w:val="TableContents"/>
              <w:bidi w:val="0"/>
              <w:spacing w:before="0" w:after="283"/>
              <w:jc w:val="both"/>
              <w:rPr/>
            </w:pPr>
            <w:r>
              <w:rPr/>
              <w:t>“</w:t>
            </w:r>
            <w:r>
              <w:rPr>
                <w:rFonts w:ascii="Times New Roman;Times;Serif" w:hAnsi="Times New Roman;Times;Serif"/>
                <w:sz w:val="20"/>
              </w:rPr>
              <w:t>SPWR” and “SPWRW”</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additional information concerning the offering, see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beginning on page 117.</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our management has identified conditions that raise substantial doubt about our ability to continue as a going concern; and we may not achieve profitability or generate positive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$44.3 million in the fiscal year ended December 28, 2025 and of $19.2 million in in the thirteen weeks ended March 29, 2026.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funds may cause dilution to existing stockholders and/or may restrict our operations or require us to relinquish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(as defined below),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a material weakness, either individually or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w:t>
      </w:r>
      <w:r>
        <w:rPr>
          <w:rFonts w:ascii="Times New Roman;Times;Serif" w:hAnsi="Times New Roman;Times;Serif"/>
          <w:b w:val="false"/>
          <w:i w:val="false"/>
          <w:caps w:val="false"/>
          <w:smallCaps w:val="false"/>
          <w:sz w:val="20"/>
        </w:rPr>
        <w:t xml:space="preserve"> Our Company did not maintain an effective control environment and identified the following material weakness: our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w:t>
      </w:r>
      <w:r>
        <w:rPr>
          <w:rFonts w:ascii="Times New Roman;Times;Serif" w:hAnsi="Times New Roman;Times;Serif"/>
          <w:b w:val="false"/>
          <w:i w:val="false"/>
          <w:caps w:val="false"/>
          <w:smallCaps w:val="false"/>
          <w:sz w:val="20"/>
        </w:rPr>
        <w:t xml:space="preserve"> Our Company did not design and implement effective control activities and identified the following material weakness: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Ineffective design and operation of certain control activities due to significant personnel changes throughout fiscal 2025. Control deficiencies, which aggregate to a material weakness, occurred within substantially all areas of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and Communication. </w:t>
      </w:r>
      <w:r>
        <w:rPr>
          <w:rFonts w:ascii="Times New Roman;Times;Serif" w:hAnsi="Times New Roman;Times;Serif"/>
          <w:b w:val="false"/>
          <w:i w:val="false"/>
          <w:caps w:val="false"/>
          <w:smallCaps w:val="false"/>
          <w:sz w:val="20"/>
        </w:rPr>
        <w:t>Our Company did not design and implement effective information and communication activities and identified the following material weaknesses</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108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Monitoring Activities. </w:t>
      </w:r>
      <w:r>
        <w:rPr>
          <w:rFonts w:ascii="Times New Roman;Times;Serif" w:hAnsi="Times New Roman;Times;Serif"/>
          <w:b w:val="false"/>
          <w:i w:val="false"/>
          <w:caps w:val="false"/>
          <w:smallCaps w:val="false"/>
          <w:sz w:val="20"/>
        </w:rPr>
        <w:t>Our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our Company’s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risks related to the restatement of our previously issued quarterly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prepare and timely file our periodic reports with the SEC limits our access to the public markets to raise debt or equity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international trade policies, tariffs, or trade disputes could significantly and adversely affect our business, revenues, margins, results of operations, and cash flows.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t>
      </w:r>
      <w:r>
        <w:rPr>
          <w:rFonts w:ascii="Times New Roman;Times;Serif" w:hAnsi="Times New Roman;Times;Serif"/>
          <w:b/>
          <w:i w:val="false"/>
          <w:caps w:val="false"/>
          <w:smallCaps w:val="false"/>
          <w:sz w:val="20"/>
        </w:rPr>
        <w:t>CSPV</w:t>
      </w:r>
      <w:r>
        <w:rPr>
          <w:rFonts w:ascii="Times New Roman;Times;Serif" w:hAnsi="Times New Roman;Times;Serif"/>
          <w:b w:val="false"/>
          <w:i w:val="false"/>
          <w:caps w:val="false"/>
          <w:smallCaps w:val="false"/>
          <w:sz w:val="20"/>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solar cells and modules based on interdigitated back contact technology were excluded from these safeguard tariffs, our solar products based on other technologies continue were subject to the safeguard tariffs until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cells and panels from various countries continue to be subject to U.S. antidumping, and countervailing duty (AD/CVD) actions in the United States. The U.S. Department of Commerce (the “</w:t>
      </w:r>
      <w:r>
        <w:rPr>
          <w:rFonts w:ascii="Times New Roman;Times;Serif" w:hAnsi="Times New Roman;Times;Serif"/>
          <w:b/>
          <w:i w:val="false"/>
          <w:caps w:val="false"/>
          <w:smallCaps w:val="false"/>
          <w:sz w:val="20"/>
        </w:rPr>
        <w:t>Department of Commerce</w:t>
      </w:r>
      <w:r>
        <w:rPr>
          <w:rFonts w:ascii="Times New Roman;Times;Serif" w:hAnsi="Times New Roman;Times;Serif"/>
          <w:b w:val="false"/>
          <w:i w:val="false"/>
          <w:caps w:val="false"/>
          <w:smallCaps w:val="false"/>
          <w:sz w:val="20"/>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OBBBA has materially reduced the availability of these rebates, credits or incentives, which may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of 2022 (“</w:t>
      </w:r>
      <w:r>
        <w:rPr>
          <w:rFonts w:ascii="Times New Roman;Times;Serif" w:hAnsi="Times New Roman;Times;Serif"/>
          <w:b/>
          <w:i w:val="false"/>
          <w:caps w:val="false"/>
          <w:smallCaps w:val="false"/>
          <w:sz w:val="20"/>
        </w:rPr>
        <w:t>IRA</w:t>
      </w:r>
      <w:r>
        <w:rPr>
          <w:rFonts w:ascii="Times New Roman;Times;Serif" w:hAnsi="Times New Roman;Times;Serif"/>
          <w:b w:val="false"/>
          <w:i w:val="false"/>
          <w:caps w:val="false"/>
          <w:smallCaps w:val="false"/>
          <w:sz w:val="20"/>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qualifying property that uses solar energy to generate electricity for residential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w:t>
      </w:r>
      <w:r>
        <w:rPr>
          <w:rFonts w:ascii="Times New Roman;Times;Serif" w:hAnsi="Times New Roman;Times;Serif"/>
          <w:b/>
          <w:i w:val="false"/>
          <w:caps w:val="false"/>
          <w:smallCaps w:val="false"/>
          <w:sz w:val="20"/>
        </w:rPr>
        <w:t>OBBBA</w:t>
      </w:r>
      <w:r>
        <w:rPr>
          <w:rFonts w:ascii="Times New Roman;Times;Serif" w:hAnsi="Times New Roman;Times;Serif"/>
          <w:b w:val="false"/>
          <w:i w:val="false"/>
          <w:caps w:val="false"/>
          <w:smallCaps w:val="false"/>
          <w:sz w:val="20"/>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of 2002, as amended (the “</w:t>
            </w:r>
            <w:r>
              <w:rPr>
                <w:rFonts w:ascii="Times New Roman;Times;Serif" w:hAnsi="Times New Roman;Times;Serif"/>
                <w:b/>
                <w:sz w:val="20"/>
              </w:rPr>
              <w:t>Sarbanes-Oxley Act</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any requirement that may be adopted by the Public Company Accounting Oversight Board (the “</w:t>
            </w:r>
            <w:r>
              <w:rPr>
                <w:rFonts w:ascii="Times New Roman;Times;Serif" w:hAnsi="Times New Roman;Times;Serif"/>
                <w:b/>
                <w:sz w:val="20"/>
              </w:rPr>
              <w:t>PCAOB</w:t>
            </w:r>
            <w:r>
              <w:rPr>
                <w:rFonts w:ascii="Times New Roman;Times;Serif" w:hAnsi="Times New Roman;Times;Serif"/>
                <w:sz w:val="20"/>
              </w:rPr>
              <w:t>”) regarding mandatory audit firm rotation or a supplement to the auditor’s report providing additional information about the audit and the financial statements;</w:t>
            </w:r>
          </w:p>
        </w:tc>
      </w:tr>
    </w:tbl>
    <w:p>
      <w:pPr>
        <w:pStyle w:val="TextBody"/>
        <w:bidi w:val="0"/>
        <w:spacing w:before="0" w:after="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our periodic reports and proxy statements;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conditions in our domestic and international markets, as well as inflation concerns, instability of financial institutions, rising interest rates, and recessionary concerns may adversely affect our industry,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demand for our products as a result of constraints on spending for solar energy systems by our customers and/or a reduction in government subsidies for renewable energy investments;</w:t>
            </w:r>
          </w:p>
        </w:tc>
      </w:tr>
    </w:tbl>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05"/>
        <w:gridCol w:w="200"/>
        <w:gridCol w:w="90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price competition for our products that may adversely affect revenue, gross margin and profitability;</w:t>
            </w:r>
          </w:p>
        </w:tc>
      </w:tr>
    </w:tbl>
    <w:p>
      <w:pPr>
        <w:pStyle w:val="TextBody"/>
        <w:bidi w:val="0"/>
        <w:spacing w:before="0" w:after="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105"/>
        <w:gridCol w:w="200"/>
        <w:gridCol w:w="7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any disadvantageous trade regulations and import duties and tariffs;</w:t>
            </w:r>
          </w:p>
        </w:tc>
      </w:tr>
    </w:tbl>
    <w:p>
      <w:pPr>
        <w:pStyle w:val="TextBody"/>
        <w:bidi w:val="0"/>
        <w:spacing w:before="0" w:after="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ability to forecast operating results and make decisions about budgeting, planning and future investments;</w:t>
            </w:r>
          </w:p>
        </w:tc>
      </w:tr>
    </w:tbl>
    <w:p>
      <w:pPr>
        <w:pStyle w:val="TextBody"/>
        <w:bidi w:val="0"/>
        <w:spacing w:before="0" w:after="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5"/>
        <w:gridCol w:w="200"/>
        <w:gridCol w:w="5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popularity of solar energy as a green energy solution;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tc>
      </w:tr>
    </w:tbl>
    <w:p>
      <w:pPr>
        <w:pStyle w:val="TextBody"/>
        <w:bidi w:val="0"/>
        <w:spacing w:before="0" w:after="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overhead and production costs as a percentage of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05"/>
        <w:gridCol w:w="200"/>
        <w:gridCol w:w="23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the customer base;</w:t>
            </w:r>
          </w:p>
        </w:tc>
      </w:tr>
    </w:tbl>
    <w:p>
      <w:pPr>
        <w:pStyle w:val="TextBody"/>
        <w:bidi w:val="0"/>
        <w:spacing w:before="0" w:after="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05"/>
        <w:gridCol w:w="200"/>
        <w:gridCol w:w="4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further lowering the cost of capital;</w:t>
            </w:r>
          </w:p>
        </w:tc>
      </w:tr>
    </w:tbl>
    <w:p>
      <w:pPr>
        <w:pStyle w:val="TextBody"/>
        <w:bidi w:val="0"/>
        <w:spacing w:before="0" w:after="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cost of components for our solar service offerings;</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05"/>
        <w:gridCol w:w="200"/>
        <w:gridCol w:w="4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and maintaining our sales partner network;</w:t>
            </w:r>
          </w:p>
        </w:tc>
      </w:tr>
    </w:tbl>
    <w:p>
      <w:pPr>
        <w:pStyle w:val="TextBody"/>
        <w:bidi w:val="0"/>
        <w:spacing w:before="0" w:after="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05"/>
        <w:gridCol w:w="200"/>
        <w:gridCol w:w="58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our direct-to-consumer and New Homes business to scale;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 significant number of new power generation plants, including nuclear, coal, natural gas or renewable energy technologies;</w:t>
            </w:r>
          </w:p>
        </w:tc>
      </w:tr>
    </w:tbl>
    <w:p>
      <w:pPr>
        <w:pStyle w:val="TextBody"/>
        <w:bidi w:val="0"/>
        <w:spacing w:before="0" w:after="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5"/>
        <w:gridCol w:w="200"/>
        <w:gridCol w:w="60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additional electric transmission and distribution lines;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105"/>
        <w:gridCol w:w="200"/>
        <w:gridCol w:w="74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energy conservation technologies and public initiatives to reduce electricity consumption;</w:t>
            </w:r>
          </w:p>
        </w:tc>
      </w:tr>
    </w:tbl>
    <w:p>
      <w:pPr>
        <w:pStyle w:val="TextBody"/>
        <w:bidi w:val="0"/>
        <w:spacing w:before="0" w:after="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05"/>
        <w:gridCol w:w="200"/>
        <w:gridCol w:w="91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subsidies impacting electricity prices, including in connection with electricity generation and transmission; and</w:t>
            </w:r>
          </w:p>
        </w:tc>
      </w:tr>
    </w:tbl>
    <w:p>
      <w:pPr>
        <w:pStyle w:val="TextBody"/>
        <w:bidi w:val="0"/>
        <w:spacing w:before="0" w:after="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05"/>
        <w:gridCol w:w="200"/>
        <w:gridCol w:w="63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new energy technologies that provide less expensive energy.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reliability and availability of energy generated by solar energy systems compared to conventional and other non-solar renewable energy sources;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05"/>
        <w:gridCol w:w="200"/>
        <w:gridCol w:w="4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the level of interest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our finance partners, and payment delinquencies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
        <w:gridCol w:w="200"/>
        <w:gridCol w:w="6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assimilating the operations and personnel of the acquired company;</w:t>
            </w:r>
          </w:p>
        </w:tc>
      </w:tr>
    </w:tbl>
    <w:p>
      <w:pPr>
        <w:pStyle w:val="TextBody"/>
        <w:bidi w:val="0"/>
        <w:spacing w:before="0" w:after="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effectively integrating the acquired technologies or products with current products and technologies;</w:t>
            </w:r>
          </w:p>
        </w:tc>
      </w:tr>
    </w:tbl>
    <w:p>
      <w:pPr>
        <w:pStyle w:val="TextBody"/>
        <w:bidi w:val="0"/>
        <w:spacing w:before="0" w:after="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05"/>
        <w:gridCol w:w="200"/>
        <w:gridCol w:w="78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controls, procedures and policies during the transition and integration;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of ongoing business and distraction of management and employees from other opportunities and challenges due to integration issues;</w:t>
            </w:r>
          </w:p>
        </w:tc>
      </w:tr>
    </w:tbl>
    <w:p>
      <w:pPr>
        <w:pStyle w:val="TextBody"/>
        <w:bidi w:val="0"/>
        <w:spacing w:before="0" w:after="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05"/>
        <w:gridCol w:w="200"/>
        <w:gridCol w:w="96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integrating the acquired company’s accounting, management information and other administrative systems;</w:t>
            </w:r>
          </w:p>
        </w:tc>
      </w:tr>
    </w:tbl>
    <w:p>
      <w:pPr>
        <w:pStyle w:val="TextBody"/>
        <w:bidi w:val="0"/>
        <w:spacing w:before="0" w:after="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technical and managerial personnel of the acquired business;</w:t>
            </w:r>
          </w:p>
        </w:tc>
      </w:tr>
    </w:tbl>
    <w:p>
      <w:pPr>
        <w:pStyle w:val="TextBody"/>
        <w:bidi w:val="0"/>
        <w:spacing w:before="0" w:after="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customers, vendors, and other business partners of the acquired business;</w:t>
            </w:r>
          </w:p>
        </w:tc>
      </w:tr>
    </w:tbl>
    <w:p>
      <w:pPr>
        <w:pStyle w:val="TextBody"/>
        <w:bidi w:val="0"/>
        <w:spacing w:before="0" w:after="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achieve the financial and strategic goals for the acquired and combined businesses;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acquisition-related costs or amortization costs for acquired intangible assets that could impact operating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due diligence processes to identify significant issues with product quality, legal and financial liabilities, among other things;</w:t>
            </w:r>
          </w:p>
        </w:tc>
      </w:tr>
    </w:tbl>
    <w:p>
      <w:pPr>
        <w:pStyle w:val="TextBody"/>
        <w:bidi w:val="0"/>
        <w:spacing w:before="0" w:after="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05"/>
        <w:gridCol w:w="200"/>
        <w:gridCol w:w="66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assert that internal controls over financial reporting are effective;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or obtain in a timely manner, approvals from governmental authorities, which could delay or prevent such acquisitions.</w:t>
            </w:r>
          </w:p>
        </w:tc>
      </w:tr>
    </w:tbl>
    <w:p>
      <w:pPr>
        <w:pStyle w:val="TextBody"/>
        <w:bidi w:val="0"/>
        <w:spacing w:before="0" w:after="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
        <w:gridCol w:w="200"/>
        <w:gridCol w:w="7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inability to rebuild trust with home builders due to the bankruptcy of the SunPower Debtors. </w:t>
            </w:r>
          </w:p>
        </w:tc>
      </w:tr>
    </w:tbl>
    <w:p>
      <w:pPr>
        <w:pStyle w:val="TextBody"/>
        <w:bidi w:val="0"/>
        <w:spacing w:before="0" w:after="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05"/>
        <w:gridCol w:w="200"/>
        <w:gridCol w:w="9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advantageous financing arrangements with financiers in order to pass the saving on to customers.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success depends on the continuing contributions of key personnel, including Thurman J. Rodgers. If we are unable to attract and retain key employees and qualified personnel, our business and prospects could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or initiation of any governmental rebates or incentives;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fluctuations in customer demand for our solar energy services, solar energy systems and energy storage systems;</w:t>
            </w:r>
          </w:p>
        </w:tc>
      </w:tr>
    </w:tbl>
    <w:p>
      <w:pPr>
        <w:pStyle w:val="TextBody"/>
        <w:bidi w:val="0"/>
        <w:spacing w:before="0" w:after="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05"/>
        <w:gridCol w:w="200"/>
        <w:gridCol w:w="53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dealers’ ability to complete installations in a timely manner;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dealers’ ability to gain interconnection permission for an installed solar energy system from the relevant utility;</w:t>
            </w:r>
          </w:p>
        </w:tc>
      </w:tr>
    </w:tbl>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05"/>
        <w:gridCol w:w="200"/>
        <w:gridCol w:w="44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terms and costs of suitable financing;</w:t>
            </w:r>
          </w:p>
        </w:tc>
      </w:tr>
    </w:tbl>
    <w:p>
      <w:pPr>
        <w:pStyle w:val="TextBody"/>
        <w:bidi w:val="0"/>
        <w:spacing w:before="0" w:after="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05"/>
        <w:gridCol w:w="200"/>
        <w:gridCol w:w="82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timing of sales and potential decreases in value of Solar Renewable Energy Certificates;</w:t>
            </w:r>
          </w:p>
        </w:tc>
      </w:tr>
    </w:tbl>
    <w:p>
      <w:pPr>
        <w:pStyle w:val="TextBody"/>
        <w:bidi w:val="0"/>
        <w:spacing w:before="0" w:after="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05"/>
        <w:gridCol w:w="200"/>
        <w:gridCol w:w="9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its operations and the amount and timing of expenditures related to this expansion;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capital-raising activities or commitments;</w:t>
            </w:r>
          </w:p>
        </w:tc>
      </w:tr>
    </w:tbl>
    <w:p>
      <w:pPr>
        <w:pStyle w:val="TextBody"/>
        <w:bidi w:val="0"/>
        <w:spacing w:before="0" w:after="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00"/>
        <w:gridCol w:w="840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policies or terms or those of competitors, including centralized electric utilities;</w:t>
            </w:r>
          </w:p>
        </w:tc>
      </w:tr>
    </w:tbl>
    <w:p>
      <w:pPr>
        <w:pStyle w:val="TextBody"/>
        <w:bidi w:val="0"/>
        <w:spacing w:before="0" w:after="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05"/>
        <w:gridCol w:w="200"/>
        <w:gridCol w:w="89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competitors’ businesses, technology or the competitive landscape; and</w:t>
            </w:r>
          </w:p>
        </w:tc>
      </w:tr>
    </w:tbl>
    <w:p>
      <w:pPr>
        <w:pStyle w:val="TextBody"/>
        <w:bidi w:val="0"/>
        <w:spacing w:before="0" w:after="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or other weather or meteorological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firstLine="36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05"/>
        <w:gridCol w:w="200"/>
        <w:gridCol w:w="35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output performance warranties; and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3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maintenance.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Times;Serif" w:hAnsi="Times New Roman;Times;Serif"/>
          <w:b/>
          <w:i w:val="false"/>
          <w:caps w:val="false"/>
          <w:smallCaps w:val="false"/>
          <w:sz w:val="20"/>
        </w:rPr>
        <w:t>OSHA</w:t>
      </w:r>
      <w:r>
        <w:rPr>
          <w:rFonts w:ascii="Times New Roman;Times;Serif" w:hAnsi="Times New Roman;Times;Serif"/>
          <w:b w:val="false"/>
          <w:i w:val="false"/>
          <w:caps w:val="false"/>
          <w:smallCaps w:val="false"/>
          <w:sz w:val="20"/>
        </w:rPr>
        <w:t>”) and the Department of Transportation (“</w:t>
      </w:r>
      <w:r>
        <w:rPr>
          <w:rFonts w:ascii="Times New Roman;Times;Serif" w:hAnsi="Times New Roman;Times;Serif"/>
          <w:b/>
          <w:i w:val="false"/>
          <w:caps w:val="false"/>
          <w:smallCaps w:val="false"/>
          <w:sz w:val="20"/>
        </w:rPr>
        <w:t>DOT</w:t>
      </w:r>
      <w:r>
        <w:rPr>
          <w:rFonts w:ascii="Times New Roman;Times;Serif" w:hAnsi="Times New Roman;Times;Serif"/>
          <w:b w:val="false"/>
          <w:i w:val="false"/>
          <w:caps w:val="false"/>
          <w:smallCaps w:val="false"/>
          <w:sz w:val="20"/>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 Commitments and Contingencies” in the notes to consolidated financial statements included elsewhere in this prospectus for a further discussion of the legal claims summarized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resell all, some or none of such the shares of common stock offered hereunder at any time or from time to time in their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sales made by us to third parties under our existing equity lines of credit at prices lower than the prices such investors paid for their shares in this offering. In addition, if we sell or issue a substantial number of shares to third parties under our existing equity lines of credit or pursuant to conversions of our Convertible Senior Notes, respectively, or if investors expect that we will do so, the actual sales of shares or the mere existence of our arrangements with third parties and the Selling Securityholders may make it more difficult for us to sell equity or equity-related securities in the future at a time and at a price that we might otherwise wish to effect such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resell, under this prospectus, up to 13,277,150 shares of common stock from time to time after the date of this prospectus relating to the Offered Securities. If all 13,277,150 shares offered for resale by the Selling Stockholders under this prospectus were issued and outstanding as of the date hereof (without taking into account the any limitations on exercise in any securities convertible into the Offered Securities), such shares would represent approximately 7.5% of the total number of outstanding shares of common stock and approximately 12.2% of the total number of outstanding shares of common stock held by non-affiliates, in each case as of June 22,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the Selling Securityholders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will continue to have significant influence over our company, which could limit your ability to influence the outcome of key transactions, including a 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Directors, executive officers and each of our 5% stockholders and their affiliates, in the aggregate, beneficially own approximately 48.3% of the outstanding shares of our common stock, based on the number of shares outstanding as of June 22, 2026 (including all convertible securities and securities that such holders have the right to acquire within 60 days following June 22,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us;</w:t>
            </w:r>
          </w:p>
        </w:tc>
      </w:tr>
    </w:tbl>
    <w:p>
      <w:pPr>
        <w:pStyle w:val="TextBody"/>
        <w:bidi w:val="0"/>
        <w:spacing w:before="0" w:after="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05"/>
        <w:gridCol w:w="200"/>
        <w:gridCol w:w="19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competitors;</w:t>
            </w:r>
          </w:p>
        </w:tc>
      </w:tr>
    </w:tbl>
    <w:p>
      <w:pPr>
        <w:pStyle w:val="TextBody"/>
        <w:bidi w:val="0"/>
        <w:spacing w:before="0" w:after="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05"/>
        <w:gridCol w:w="200"/>
        <w:gridCol w:w="88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failing to meet the expectation of securities analysts or investors in a particular period;</w:t>
            </w:r>
          </w:p>
        </w:tc>
      </w:tr>
    </w:tbl>
    <w:p>
      <w:pPr>
        <w:pStyle w:val="TextBody"/>
        <w:bidi w:val="0"/>
        <w:spacing w:before="0" w:after="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05"/>
        <w:gridCol w:w="200"/>
        <w:gridCol w:w="933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us;</w:t>
            </w:r>
          </w:p>
        </w:tc>
      </w:tr>
    </w:tbl>
    <w:p>
      <w:pPr>
        <w:pStyle w:val="TextBody"/>
        <w:bidi w:val="0"/>
        <w:spacing w:before="0" w:after="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05"/>
        <w:gridCol w:w="200"/>
        <w:gridCol w:w="35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product candidates;</w:t>
            </w:r>
          </w:p>
        </w:tc>
      </w:tr>
    </w:tbl>
    <w:p>
      <w:pPr>
        <w:pStyle w:val="TextBody"/>
        <w:bidi w:val="0"/>
        <w:spacing w:before="0" w:after="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05"/>
        <w:gridCol w:w="200"/>
        <w:gridCol w:w="51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05"/>
        <w:gridCol w:w="200"/>
        <w:gridCol w:w="863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of our securities available for public sale</w:t>
            </w:r>
          </w:p>
        </w:tc>
      </w:tr>
    </w:tbl>
    <w:p>
      <w:pPr>
        <w:pStyle w:val="TextBody"/>
        <w:bidi w:val="0"/>
        <w:spacing w:before="0" w:after="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337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common stock by our Directors, executive officers or significant stockholders or the perception that such sales could occur;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fuel prices, international currency fluctuations and acts of war or terrorism.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compliance with the requirements for listing our common stock on Nasdaq. On April 28, 2025, we received a letter from the Listing Qualifications staff of Nasdaq (the “</w:t>
      </w:r>
      <w:r>
        <w:rPr>
          <w:rFonts w:ascii="Times New Roman;Times;Serif" w:hAnsi="Times New Roman;Times;Serif"/>
          <w:b/>
          <w:i w:val="false"/>
          <w:caps w:val="false"/>
          <w:smallCaps w:val="false"/>
          <w:sz w:val="20"/>
        </w:rPr>
        <w:t>Nasdaq Staff</w:t>
      </w:r>
      <w:r>
        <w:rPr>
          <w:rFonts w:ascii="Times New Roman;Times;Serif" w:hAnsi="Times New Roman;Times;Serif"/>
          <w:b w:val="false"/>
          <w:i w:val="false"/>
          <w:caps w:val="false"/>
          <w:smallCaps w:val="false"/>
          <w:sz w:val="20"/>
        </w:rPr>
        <w:t>”) indicating that, as a result of our delay in filing the Company’s Annual Report on Form 10-K for the year ended December 29, 2024 (the “</w:t>
      </w:r>
      <w:r>
        <w:rPr>
          <w:rFonts w:ascii="Times New Roman;Times;Serif" w:hAnsi="Times New Roman;Times;Serif"/>
          <w:b/>
          <w:i w:val="false"/>
          <w:caps w:val="false"/>
          <w:smallCaps w:val="false"/>
          <w:sz w:val="20"/>
        </w:rPr>
        <w:t>2024 Form 10-K</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Times;Serif" w:hAnsi="Times New Roman;Times;Serif"/>
          <w:b/>
          <w:i w:val="false"/>
          <w:caps w:val="false"/>
          <w:smallCaps w:val="false"/>
          <w:sz w:val="20"/>
        </w:rPr>
        <w:t>Q3 Form 10-Q</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analyst coverage; and a decreased ability to issue additional securities or obtain additional financing in the future.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by our shareholders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200"/>
        <w:gridCol w:w="66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tc>
      </w:tr>
    </w:tbl>
    <w:p>
      <w:pPr>
        <w:pStyle w:val="TextBody"/>
        <w:bidi w:val="0"/>
        <w:spacing w:before="0" w:after="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200"/>
        <w:gridCol w:w="97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limiting stockholders’ ability to call special meetings of stockholders and to take action by written consent;</w:t>
            </w:r>
          </w:p>
        </w:tc>
      </w:tr>
    </w:tbl>
    <w:p>
      <w:pPr>
        <w:pStyle w:val="TextBody"/>
        <w:bidi w:val="0"/>
        <w:spacing w:before="0" w:after="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business combinations with interested stockholders;</w:t>
            </w:r>
          </w:p>
        </w:tc>
      </w:tr>
    </w:tbl>
    <w:p>
      <w:pPr>
        <w:pStyle w:val="TextBody"/>
        <w:bidi w:val="0"/>
        <w:spacing w:before="0" w:after="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05"/>
        <w:gridCol w:w="200"/>
        <w:gridCol w:w="22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behalf of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relating to any provision of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or our Certificate of Incorporation or the Bylaws or as to which the DGCL confers jurisdiction on the Court of Chancery of the State of Delaware;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(the “Forward Purchase Agreements”) with each of (i) Meteora Special Opportunity Fund I, LP (“</w:t>
      </w:r>
      <w:r>
        <w:rPr>
          <w:rFonts w:ascii="Times New Roman;Times;Serif" w:hAnsi="Times New Roman;Times;Serif"/>
          <w:b/>
          <w:i w:val="false"/>
          <w:caps w:val="false"/>
          <w:smallCaps w:val="false"/>
          <w:sz w:val="20"/>
        </w:rPr>
        <w:t>MSOF</w:t>
      </w:r>
      <w:r>
        <w:rPr>
          <w:rFonts w:ascii="Times New Roman;Times;Serif" w:hAnsi="Times New Roman;Times;Serif"/>
          <w:b w:val="false"/>
          <w:i w:val="false"/>
          <w:caps w:val="false"/>
          <w:smallCaps w:val="false"/>
          <w:sz w:val="20"/>
        </w:rPr>
        <w:t>”), Meteora Capital Partners, LP (“</w:t>
      </w:r>
      <w:r>
        <w:rPr>
          <w:rFonts w:ascii="Times New Roman;Times;Serif" w:hAnsi="Times New Roman;Times;Serif"/>
          <w:b/>
          <w:i w:val="false"/>
          <w:caps w:val="false"/>
          <w:smallCaps w:val="false"/>
          <w:sz w:val="20"/>
        </w:rPr>
        <w:t>MCP</w:t>
      </w:r>
      <w:r>
        <w:rPr>
          <w:rFonts w:ascii="Times New Roman;Times;Serif" w:hAnsi="Times New Roman;Times;Serif"/>
          <w:b w:val="false"/>
          <w:i w:val="false"/>
          <w:caps w:val="false"/>
          <w:smallCaps w:val="false"/>
          <w:sz w:val="20"/>
        </w:rPr>
        <w:t>”) and Meteora Select Trading Opportunities Master, LP (“MSTO”) (with MSOF, MCP, and MSTO collectively as “</w:t>
      </w:r>
      <w:r>
        <w:rPr>
          <w:rFonts w:ascii="Times New Roman;Times;Serif" w:hAnsi="Times New Roman;Times;Serif"/>
          <w:b/>
          <w:i w:val="false"/>
          <w:caps w:val="false"/>
          <w:smallCaps w:val="false"/>
          <w:sz w:val="20"/>
        </w:rPr>
        <w:t>Meteora</w:t>
      </w:r>
      <w:r>
        <w:rPr>
          <w:rFonts w:ascii="Times New Roman;Times;Serif" w:hAnsi="Times New Roman;Times;Serif"/>
          <w:b w:val="false"/>
          <w:i w:val="false"/>
          <w:caps w:val="false"/>
          <w:smallCaps w:val="false"/>
          <w:sz w:val="20"/>
        </w:rPr>
        <w:t>”); (ii) Polar Multi-Strategy Master Fund (“</w:t>
      </w:r>
      <w:r>
        <w:rPr>
          <w:rFonts w:ascii="Times New Roman;Times;Serif" w:hAnsi="Times New Roman;Times;Serif"/>
          <w:b/>
          <w:i w:val="false"/>
          <w:caps w:val="false"/>
          <w:smallCaps w:val="false"/>
          <w:sz w:val="20"/>
        </w:rPr>
        <w:t>Polar</w:t>
      </w:r>
      <w:r>
        <w:rPr>
          <w:rFonts w:ascii="Times New Roman;Times;Serif" w:hAnsi="Times New Roman;Times;Serif"/>
          <w:b w:val="false"/>
          <w:i w:val="false"/>
          <w:caps w:val="false"/>
          <w:smallCaps w:val="false"/>
          <w:sz w:val="20"/>
        </w:rPr>
        <w:t>”), and (iii) Diametric True Alpha Market Neutral Master Fund, LP, Diametric True Alpha Enhanced Market Neutral Master Fund, LP, and Pinebridge Partners Master Fund, LP (collectively, “</w:t>
      </w:r>
      <w:r>
        <w:rPr>
          <w:rFonts w:ascii="Times New Roman;Times;Serif" w:hAnsi="Times New Roman;Times;Serif"/>
          <w:b/>
          <w:i w:val="false"/>
          <w:caps w:val="false"/>
          <w:smallCaps w:val="false"/>
          <w:sz w:val="20"/>
        </w:rPr>
        <w:t>Sandia</w:t>
      </w:r>
      <w:r>
        <w:rPr>
          <w:rFonts w:ascii="Times New Roman;Times;Serif" w:hAnsi="Times New Roman;Times;Serif"/>
          <w:b w:val="false"/>
          <w:i w:val="false"/>
          <w:caps w:val="false"/>
          <w:smallCaps w:val="false"/>
          <w:sz w:val="20"/>
        </w:rPr>
        <w:t>”, and each of Meteora, Polar, and Sandia, individually, an “</w:t>
      </w:r>
      <w:r>
        <w:rPr>
          <w:rFonts w:ascii="Times New Roman;Times;Serif" w:hAnsi="Times New Roman;Times;Serif"/>
          <w:b/>
          <w:i w:val="false"/>
          <w:caps w:val="false"/>
          <w:smallCaps w:val="false"/>
          <w:sz w:val="20"/>
        </w:rPr>
        <w:t>FPA 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Times;Serif" w:hAnsi="Times New Roman;Times;Serif"/>
          <w:b/>
          <w:i w:val="false"/>
          <w:caps w:val="false"/>
          <w:smallCaps w:val="false"/>
          <w:sz w:val="20"/>
        </w:rPr>
        <w:t xml:space="preserve">First Amendments”). </w:t>
      </w:r>
      <w:r>
        <w:rPr>
          <w:rFonts w:ascii="Times New Roman;Times;Serif" w:hAnsi="Times New Roman;Times;Serif"/>
          <w:b w:val="false"/>
          <w:i w:val="false"/>
          <w:caps w:val="false"/>
          <w:smallCaps w:val="false"/>
          <w:sz w:val="20"/>
        </w:rPr>
        <w:t>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Times;Serif" w:hAnsi="Times New Roman;Times;Serif"/>
          <w:b/>
          <w:i w:val="false"/>
          <w:caps w:val="false"/>
          <w:smallCaps w:val="false"/>
          <w:sz w:val="20"/>
        </w:rPr>
        <w:t>Polar Third Amendment</w:t>
      </w:r>
      <w:r>
        <w:rPr>
          <w:rFonts w:ascii="Times New Roman;Times;Serif" w:hAnsi="Times New Roman;Times;Serif"/>
          <w:b w:val="false"/>
          <w:i w:val="false"/>
          <w:caps w:val="false"/>
          <w:smallCaps w:val="false"/>
          <w:sz w:val="20"/>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our outstanding debt requires a significant amount of cash, and we may not have sufficient cash flow from our business to pay our substantial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of the principal of, to pay interest on or to refinance our indebtedness, including (a) 12.00%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the 7.00%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the 10.00% Senior Secured Convertible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collectively with the 12.0% Notes and the 7.0% Notes, the “</w:t>
      </w:r>
      <w:r>
        <w:rPr>
          <w:rFonts w:ascii="Times New Roman;Times;Serif" w:hAnsi="Times New Roman;Times;Serif"/>
          <w:b/>
          <w:i w:val="false"/>
          <w:caps w:val="false"/>
          <w:smallCaps w:val="false"/>
          <w:sz w:val="20"/>
        </w:rPr>
        <w:t>Convertible Senior Notes</w:t>
      </w:r>
      <w:r>
        <w:rPr>
          <w:rFonts w:ascii="Times New Roman;Times;Serif" w:hAnsi="Times New Roman;Times;Serif"/>
          <w:b w:val="false"/>
          <w:i w:val="false"/>
          <w:caps w:val="false"/>
          <w:smallCaps w:val="false"/>
          <w:sz w:val="20"/>
        </w:rPr>
        <w:t>”), and (b) the Promissory Note and YA Debenture issued to Yorkville (collectively, the “</w:t>
      </w:r>
      <w:r>
        <w:rPr>
          <w:rFonts w:ascii="Times New Roman;Times;Serif" w:hAnsi="Times New Roman;Times;Serif"/>
          <w:b/>
          <w:i w:val="false"/>
          <w:caps w:val="false"/>
          <w:smallCaps w:val="false"/>
          <w:sz w:val="20"/>
        </w:rPr>
        <w:t>Yorkville Notes</w:t>
      </w:r>
      <w:r>
        <w:rPr>
          <w:rFonts w:ascii="Times New Roman;Times;Serif" w:hAnsi="Times New Roman;Times;Serif"/>
          <w:b w:val="false"/>
          <w:i w:val="false"/>
          <w:caps w:val="false"/>
          <w:smallCaps w:val="false"/>
          <w:sz w:val="20"/>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10.0% Senior Secured Notes are secured obligations, and there are risks associated with our 10.0% Senior Secured Notes that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in connection with a private offering of $41.0 million aggregate principal amount of 10.0% Notes. The indenture for the 10.0%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includes customary covenants and sets forth certain events of default after which the 10.0% Notes may be declared immediately due and payable and sets forth certain types of bankruptcy or insolvency events of default involving the Company after which the 10.0% Notes become automatically due and payable, which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payment defaults on the 10% Notes (which, in the case of a default in the payment of interest on the Notes, will be subject to a 30-day cure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comply with its obligation to convert the 10.0% Notes in accordance with the Indenture upon exercise of a holder’s conversion right;</w:t>
            </w:r>
          </w:p>
        </w:tc>
      </w:tr>
    </w:tbl>
    <w:p>
      <w:pPr>
        <w:pStyle w:val="TextBody"/>
        <w:bidi w:val="0"/>
        <w:spacing w:before="0" w:after="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send certain notices under the Indenture within specified periods of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Company in its other obligations or agreements under the Indenture or the Notes if such default is not cured or waived within 60 days after notice is given in accordance with the Indenture;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defaults by the Company or any of its significant subsidiaries with respect to (y) the liens securing the Company’s payment obligations under Siemens Settlement, or (z) indebtedness for borrowed money of at least $10.0 million;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insolvency or reorganization of the Company or any of the Company’s significant subsidiaries;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with respect to the 10.0% Notes ceases to be in full force and effect or the Company or any guarantor denies or disaffirms its obligations under the Indenture or any guarantee with respect to the 10.0% 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bankruptcy and insolvency-related events of default occur with respect to the Company, the principal of, and accrued and unpaid interest, if any, on, all of the 10.0% Notes then outstanding shall automatically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the covenants under the 10% Senior Secured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our obligations under the 10.0% Notes, including compliance with the affirmative, negative and financial covenants applicable to the Company, or if there are events of defaults under the 10.0% Notes, the holders will have the right to foreclose on their first priority security interest relating to substantially all of our assets to the exclusion of our general unsecured creditors. If the holders of the 10.0% Notes pursue foreclosure, any such foreclosure would have a material and adverse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features of the Convertible Senior Notes may adversely affect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or other agreements governing the Convertible Senior Notes, as well as the agreements governing the Yorkville Notes may delay or prevent an otherwise a beneficial takeover attempt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Senior Notes or the Yorkville Notes may dilute the ownership interest of our stockholders or may otherwise depress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Convertible Senior Notes could adversely affect our reported financial condition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(including potential sales of securities by the Selling Securityholders), or the perception of future sales, by us or our stockholders in the public market could cause the market price for the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Securityholders pursuant to this prospectus will be sold by the Selling Securityholders for their own accounts. We will not receive any of the proceeds from the resale of the shares of common stock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and selling commissions incurred by the Selling Securityholders in connection with any sale of their shares. We will incur all costs associated with this prospectus and the registration statement of which it is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Market Information for Securities and Dividend Policy</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June 22, 2026, there were 146 holders of record of the common stock. We currently do not intend to list the Private Warrants on any stock exchange or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in the notes to the consolidated financial statements included in this prospectus,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 and Outlook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by expanding installation capacity and developing new geographic markets</w:t>
            </w:r>
            <w:r>
              <w:rPr>
                <w:rFonts w:ascii="Times New Roman;Times;Serif" w:hAnsi="Times New Roman;Times;Serif"/>
                <w:b w:val="false"/>
                <w:i w:val="false"/>
                <w:caps w:val="false"/>
                <w:smallCaps w:val="false"/>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and margin by engaging national-scale sales partners</w:t>
            </w:r>
            <w:r>
              <w:rPr>
                <w:rFonts w:ascii="Times New Roman;Times;Serif" w:hAnsi="Times New Roman;Times;Serif"/>
                <w:b w:val="false"/>
                <w:i w:val="false"/>
                <w:caps w:val="false"/>
                <w:smallCaps w:val="false"/>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 revenue and margin by executing on a battery storage opportunity </w:t>
            </w:r>
            <w:r>
              <w:rPr>
                <w:rFonts w:ascii="Times New Roman;Times;Serif" w:hAnsi="Times New Roman;Times;Serif"/>
                <w:b w:val="false"/>
                <w:i w:val="false"/>
                <w:caps w:val="false"/>
                <w:smallCaps w:val="false"/>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w:t>
      </w:r>
      <w:r>
        <w:rPr>
          <w:rFonts w:ascii="Times New Roman;Times;Serif" w:hAnsi="Times New Roman;Times;Serif"/>
          <w:b/>
          <w:i w:val="false"/>
          <w:caps w:val="false"/>
          <w:smallCaps w:val="false"/>
          <w:sz w:val="20"/>
        </w:rPr>
        <w:t>Additional Merger</w:t>
      </w:r>
      <w:r>
        <w:rPr>
          <w:rFonts w:ascii="Times New Roman;Times;Serif" w:hAnsi="Times New Roman;Times;Serif"/>
          <w:b w:val="false"/>
          <w:i w:val="false"/>
          <w:caps w:val="false"/>
          <w:smallCaps w:val="false"/>
          <w:sz w:val="20"/>
        </w:rPr>
        <w:t>”,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Assets of SunPower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is generated through cash sales, third-party financing arrangements, and power purchase or lease structures. Homeowners are the customers in cash and financing arrangements, while leasing partners are the customers in power purchase and lease arrangements. New Homes Business revenue is primarily generated from sales to homebuilders, with limited lease arrangements recognized upon system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and Fulfill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changes in the fair value of (i) derivative liabilities associated with our debt, (ii) warrant liabilities, (iii) Simple Agreements for Future Equity (“SAFE”), and (iv) forward purchase agreements (“FPAs”) as non-operating gains and losses within this category.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and business combination have the greatest impact on our consolidated financial statements. Therefore, we consider these to be our critical accounting policies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discussion of recently issued accounting standards applicable to our Company is described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in the accompanying notes to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March 29, 2026 and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thirteen-weeks ended March 29, 2026 and the thirteen-weeks ended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7691" w:type="dxa"/>
        <w:jc w:val="left"/>
        <w:tblInd w:w="0" w:type="dxa"/>
        <w:tblLayout w:type="fixed"/>
        <w:tblCellMar>
          <w:top w:w="0" w:type="dxa"/>
          <w:left w:w="0" w:type="dxa"/>
          <w:bottom w:w="0" w:type="dxa"/>
          <w:right w:w="0" w:type="dxa"/>
        </w:tblCellMar>
      </w:tblPr>
      <w:tblGrid>
        <w:gridCol w:w="3005"/>
        <w:gridCol w:w="90"/>
        <w:gridCol w:w="178"/>
        <w:gridCol w:w="786"/>
        <w:gridCol w:w="221"/>
        <w:gridCol w:w="92"/>
        <w:gridCol w:w="192"/>
        <w:gridCol w:w="772"/>
        <w:gridCol w:w="215"/>
        <w:gridCol w:w="90"/>
        <w:gridCol w:w="155"/>
        <w:gridCol w:w="680"/>
        <w:gridCol w:w="110"/>
        <w:gridCol w:w="90"/>
        <w:gridCol w:w="121"/>
        <w:gridCol w:w="574"/>
        <w:gridCol w:w="320"/>
      </w:tblGrid>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4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44,687</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63,882</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32,780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(19,195</w:t>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(3,726</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786" w:type="dxa"/>
            <w:tcBorders/>
            <w:vAlign w:val="center"/>
          </w:tcPr>
          <w:p>
            <w:pPr>
              <w:pStyle w:val="TableContents"/>
              <w:bidi w:val="0"/>
              <w:spacing w:before="0" w:after="283"/>
              <w:jc w:val="right"/>
              <w:rPr>
                <w:caps w:val="false"/>
                <w:smallCaps w:val="false"/>
              </w:rPr>
            </w:pPr>
            <w:r>
              <w:rPr>
                <w:caps w:val="false"/>
                <w:smallCaps w:val="false"/>
              </w:rPr>
              <w:t>—</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32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before taxes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2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issuance costs to related party of $2.3 million and $1.4 million in the thirteen-weeks ended March 29, 2026 and March 30, 2025,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275"/>
        <w:gridCol w:w="6095"/>
      </w:tblGrid>
      <w:tr>
        <w:trPr/>
        <w:tc>
          <w:tcPr>
            <w:tcW w:w="27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gains and (losses) with related parties (in millions):</w:t>
            </w:r>
          </w:p>
        </w:tc>
      </w:tr>
    </w:tbl>
    <w:p>
      <w:pPr>
        <w:pStyle w:val="TextBody"/>
        <w:bidi w:val="0"/>
        <w:spacing w:before="0" w:after="0"/>
        <w:jc w:val="both"/>
        <w:rPr>
          <w:caps w:val="false"/>
          <w:smallCaps w:val="false"/>
        </w:rPr>
      </w:pPr>
      <w:r>
        <w:rPr>
          <w:caps w:val="false"/>
          <w:smallCaps w:val="false"/>
        </w:rPr>
        <w:t> </w:t>
      </w:r>
    </w:p>
    <w:tbl>
      <w:tblPr>
        <w:tblW w:w="7546" w:type="dxa"/>
        <w:jc w:val="left"/>
        <w:tblInd w:w="0" w:type="dxa"/>
        <w:tblLayout w:type="fixed"/>
        <w:tblCellMar>
          <w:top w:w="0" w:type="dxa"/>
          <w:left w:w="0" w:type="dxa"/>
          <w:bottom w:w="0" w:type="dxa"/>
          <w:right w:w="0" w:type="dxa"/>
        </w:tblCellMar>
      </w:tblPr>
      <w:tblGrid>
        <w:gridCol w:w="5060"/>
        <w:gridCol w:w="90"/>
        <w:gridCol w:w="287"/>
        <w:gridCol w:w="677"/>
        <w:gridCol w:w="183"/>
        <w:gridCol w:w="150"/>
        <w:gridCol w:w="324"/>
        <w:gridCol w:w="640"/>
        <w:gridCol w:w="135"/>
      </w:tblGrid>
      <w:tr>
        <w:trPr/>
        <w:tc>
          <w:tcPr>
            <w:tcW w:w="506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87"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right"/>
              <w:rPr>
                <w:caps w:val="false"/>
                <w:smallCaps w:val="false"/>
              </w:rPr>
            </w:pPr>
            <w:r>
              <w:rPr>
                <w:caps w:val="false"/>
                <w:smallCaps w:val="false"/>
              </w:rPr>
              <w:t>—</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SAFE Agreement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87"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vAlign w:val="center"/>
          </w:tcPr>
          <w:p>
            <w:pPr>
              <w:pStyle w:val="TableContents"/>
              <w:bidi w:val="0"/>
              <w:spacing w:before="0" w:after="283"/>
              <w:jc w:val="left"/>
              <w:rPr>
                <w:caps w:val="false"/>
                <w:smallCaps w:val="false"/>
              </w:rPr>
            </w:pPr>
            <w:r>
              <w:rPr>
                <w:caps w:val="false"/>
                <w:smallCaps w:val="false"/>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tcBorders/>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Deferred Sunder Consideration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887" w:type="dxa"/>
        <w:jc w:val="left"/>
        <w:tblInd w:w="0" w:type="dxa"/>
        <w:tblLayout w:type="fixed"/>
        <w:tblCellMar>
          <w:top w:w="0" w:type="dxa"/>
          <w:left w:w="0" w:type="dxa"/>
          <w:bottom w:w="0" w:type="dxa"/>
          <w:right w:w="0" w:type="dxa"/>
        </w:tblCellMar>
      </w:tblPr>
      <w:tblGrid>
        <w:gridCol w:w="2435"/>
        <w:gridCol w:w="90"/>
        <w:gridCol w:w="192"/>
        <w:gridCol w:w="772"/>
        <w:gridCol w:w="102"/>
        <w:gridCol w:w="102"/>
        <w:gridCol w:w="192"/>
        <w:gridCol w:w="772"/>
        <w:gridCol w:w="90"/>
        <w:gridCol w:w="90"/>
        <w:gridCol w:w="155"/>
        <w:gridCol w:w="680"/>
        <w:gridCol w:w="110"/>
        <w:gridCol w:w="90"/>
        <w:gridCol w:w="152"/>
        <w:gridCol w:w="543"/>
        <w:gridCol w:w="320"/>
      </w:tblGrid>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(27,284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revenues and costs in the thirteen week period ended March 29, 2026 are attributable to the acquisition of Sunder on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margins</w:t>
      </w:r>
    </w:p>
    <w:p>
      <w:pPr>
        <w:pStyle w:val="TextBody"/>
        <w:bidi w:val="0"/>
        <w:spacing w:before="0" w:after="0"/>
        <w:ind w:left="0" w:right="0" w:firstLine="720"/>
        <w:jc w:val="both"/>
        <w:rPr>
          <w:caps w:val="false"/>
          <w:smallCaps w:val="false"/>
        </w:rPr>
      </w:pPr>
      <w:r>
        <w:rPr>
          <w:caps w:val="false"/>
          <w:smallCaps w:val="false"/>
        </w:rPr>
        <w:t> </w:t>
      </w:r>
    </w:p>
    <w:tbl>
      <w:tblPr>
        <w:tblW w:w="7041" w:type="dxa"/>
        <w:jc w:val="left"/>
        <w:tblInd w:w="0" w:type="dxa"/>
        <w:tblLayout w:type="fixed"/>
        <w:tblCellMar>
          <w:top w:w="0" w:type="dxa"/>
          <w:left w:w="0" w:type="dxa"/>
          <w:bottom w:w="0" w:type="dxa"/>
          <w:right w:w="0" w:type="dxa"/>
        </w:tblCellMar>
      </w:tblPr>
      <w:tblGrid>
        <w:gridCol w:w="2435"/>
        <w:gridCol w:w="90"/>
        <w:gridCol w:w="183"/>
        <w:gridCol w:w="736"/>
        <w:gridCol w:w="228"/>
        <w:gridCol w:w="95"/>
        <w:gridCol w:w="183"/>
        <w:gridCol w:w="736"/>
        <w:gridCol w:w="215"/>
        <w:gridCol w:w="90"/>
        <w:gridCol w:w="155"/>
        <w:gridCol w:w="680"/>
        <w:gridCol w:w="110"/>
        <w:gridCol w:w="90"/>
        <w:gridCol w:w="152"/>
        <w:gridCol w:w="543"/>
        <w:gridCol w:w="320"/>
      </w:tblGrid>
      <w:tr>
        <w:trPr/>
        <w:tc>
          <w:tcPr>
            <w:tcW w:w="243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29,</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18,011</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9,961</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73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6841" w:type="dxa"/>
        <w:jc w:val="left"/>
        <w:tblInd w:w="0" w:type="dxa"/>
        <w:tblLayout w:type="fixed"/>
        <w:tblCellMar>
          <w:top w:w="0" w:type="dxa"/>
          <w:left w:w="0" w:type="dxa"/>
          <w:bottom w:w="0" w:type="dxa"/>
          <w:right w:w="0" w:type="dxa"/>
        </w:tblCellMar>
      </w:tblPr>
      <w:tblGrid>
        <w:gridCol w:w="2435"/>
        <w:gridCol w:w="90"/>
        <w:gridCol w:w="192"/>
        <w:gridCol w:w="772"/>
        <w:gridCol w:w="109"/>
        <w:gridCol w:w="109"/>
        <w:gridCol w:w="222"/>
        <w:gridCol w:w="742"/>
        <w:gridCol w:w="90"/>
        <w:gridCol w:w="90"/>
        <w:gridCol w:w="155"/>
        <w:gridCol w:w="620"/>
        <w:gridCol w:w="110"/>
        <w:gridCol w:w="90"/>
        <w:gridCol w:w="137"/>
        <w:gridCol w:w="558"/>
        <w:gridCol w:w="320"/>
      </w:tblGrid>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6,553</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2435"/>
        <w:gridCol w:w="90"/>
        <w:gridCol w:w="222"/>
        <w:gridCol w:w="742"/>
        <w:gridCol w:w="116"/>
        <w:gridCol w:w="116"/>
        <w:gridCol w:w="222"/>
        <w:gridCol w:w="742"/>
        <w:gridCol w:w="90"/>
        <w:gridCol w:w="90"/>
        <w:gridCol w:w="155"/>
        <w:gridCol w:w="575"/>
        <w:gridCol w:w="110"/>
        <w:gridCol w:w="90"/>
        <w:gridCol w:w="152"/>
        <w:gridCol w:w="543"/>
        <w:gridCol w:w="320"/>
      </w:tblGrid>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tcBorders/>
            <w:vAlign w:val="center"/>
          </w:tcPr>
          <w:p>
            <w:pPr>
              <w:pStyle w:val="TableContents"/>
              <w:bidi w:val="0"/>
              <w:spacing w:before="0" w:after="283"/>
              <w:jc w:val="right"/>
              <w:rPr>
                <w:caps w:val="false"/>
                <w:smallCaps w:val="false"/>
              </w:rPr>
            </w:pPr>
            <w:r>
              <w:rPr>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and marketing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54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and marketing expenses had no comparable expenses in the prior-year period as the Company does not make significant investments in sales and marketing spend.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jc w:val="both"/>
        <w:rPr>
          <w:caps w:val="false"/>
          <w:smallCaps w:val="false"/>
        </w:rPr>
      </w:pPr>
      <w:r>
        <w:rPr>
          <w:caps w:val="false"/>
          <w:smallCaps w:val="false"/>
        </w:rPr>
        <w:t> </w:t>
      </w:r>
    </w:p>
    <w:tbl>
      <w:tblPr>
        <w:tblW w:w="7017" w:type="dxa"/>
        <w:jc w:val="left"/>
        <w:tblInd w:w="0" w:type="dxa"/>
        <w:tblLayout w:type="fixed"/>
        <w:tblCellMar>
          <w:top w:w="0" w:type="dxa"/>
          <w:left w:w="0" w:type="dxa"/>
          <w:bottom w:w="0" w:type="dxa"/>
          <w:right w:w="0" w:type="dxa"/>
        </w:tblCellMar>
      </w:tblPr>
      <w:tblGrid>
        <w:gridCol w:w="2705"/>
        <w:gridCol w:w="90"/>
        <w:gridCol w:w="192"/>
        <w:gridCol w:w="772"/>
        <w:gridCol w:w="102"/>
        <w:gridCol w:w="102"/>
        <w:gridCol w:w="192"/>
        <w:gridCol w:w="772"/>
        <w:gridCol w:w="90"/>
        <w:gridCol w:w="90"/>
        <w:gridCol w:w="155"/>
        <w:gridCol w:w="620"/>
        <w:gridCol w:w="90"/>
        <w:gridCol w:w="90"/>
        <w:gridCol w:w="137"/>
        <w:gridCol w:w="558"/>
        <w:gridCol w:w="260"/>
      </w:tblGrid>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77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general and administrative expenses primarily relate to personnel, facilities, and administrative overhead associated with integrating and operating the Dealer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29, 2026, consisted principally of $4.5 million attributable to our September 2024 Notes and $1.8 attributable to the July 2024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30, 2025, consisted principally of $5.0 million of interest expense attributable to our September 2024 Notes and the remainder principally attributable to the July 2024 Notes.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income for the thirteen-weeks ended March 29, 2026 was $5.25 million, a $0.4 million increase in our net income as compared to net income of $4.8 million for the thirteen weeks ended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December 28, 2025 (“2025”) compared to the fiscal year ended December 29, 2024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results of our operations for fiscal 2025 compared to fiscal 2024. We discuss our cash flows and current financial condition under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pStyle w:val="TextBody"/>
        <w:bidi w:val="0"/>
        <w:spacing w:before="0" w:after="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725"/>
        <w:gridCol w:w="90"/>
        <w:gridCol w:w="211"/>
        <w:gridCol w:w="993"/>
        <w:gridCol w:w="215"/>
        <w:gridCol w:w="90"/>
        <w:gridCol w:w="211"/>
        <w:gridCol w:w="993"/>
        <w:gridCol w:w="215"/>
        <w:gridCol w:w="90"/>
        <w:gridCol w:w="155"/>
        <w:gridCol w:w="725"/>
        <w:gridCol w:w="110"/>
        <w:gridCol w:w="90"/>
        <w:gridCol w:w="121"/>
        <w:gridCol w:w="574"/>
        <w:gridCol w:w="260"/>
      </w:tblGrid>
      <w:tr>
        <w:trPr/>
        <w:tc>
          <w:tcPr>
            <w:tcW w:w="37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39,502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r>
              <w:rPr>
                <w:rFonts w:ascii="Times New Roman;Times;Serif" w:hAnsi="Times New Roman;Times;Serif"/>
                <w:b w:val="false"/>
                <w:i w:val="false"/>
                <w:caps w:val="false"/>
                <w:smallCaps w:val="false"/>
                <w:position w:val="7"/>
                <w:sz w:val="16"/>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r>
              <w:rPr>
                <w:rFonts w:ascii="Times New Roman;Times;Serif" w:hAnsi="Times New Roman;Times;Serif"/>
                <w:b w:val="false"/>
                <w:i w:val="false"/>
                <w:caps w:val="false"/>
                <w:smallCaps w:val="false"/>
                <w:position w:val="7"/>
                <w:sz w:val="16"/>
                <w:sz w:val="20"/>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156,143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108,011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(26,931</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(68,509</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troubled debt restructuring</w:t>
            </w:r>
            <w:r>
              <w:rPr>
                <w:rFonts w:ascii="Times New Roman;Times;Serif" w:hAnsi="Times New Roman;Times;Serif"/>
                <w:b w:val="false"/>
                <w:i w:val="false"/>
                <w:caps w:val="false"/>
                <w:smallCaps w:val="false"/>
                <w:position w:val="7"/>
                <w:sz w:val="16"/>
                <w:sz w:val="20"/>
              </w:rPr>
              <w:t>(4)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taxes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(42,676</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57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(44,254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75"/>
        <w:gridCol w:w="581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stock-based compensation expense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6164" w:type="dxa"/>
        <w:jc w:val="left"/>
        <w:tblInd w:w="0" w:type="dxa"/>
        <w:tblLayout w:type="fixed"/>
        <w:tblCellMar>
          <w:top w:w="0" w:type="dxa"/>
          <w:left w:w="0" w:type="dxa"/>
          <w:bottom w:w="0" w:type="dxa"/>
          <w:right w:w="0" w:type="dxa"/>
        </w:tblCellMar>
      </w:tblPr>
      <w:tblGrid>
        <w:gridCol w:w="3395"/>
        <w:gridCol w:w="90"/>
        <w:gridCol w:w="232"/>
        <w:gridCol w:w="928"/>
        <w:gridCol w:w="90"/>
        <w:gridCol w:w="90"/>
        <w:gridCol w:w="278"/>
        <w:gridCol w:w="926"/>
        <w:gridCol w:w="135"/>
      </w:tblGrid>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4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c>
          <w:tcPr>
            <w:tcW w:w="9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discount costs with related parties of $5.7 million and $7.6 million in 2025 and 2024,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7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2025 (i) a gain of $3.5 million due to the change in the fair value of derivative liabilities; and (ii) $0.1 million of other income due to a change in the fair value of a forward purchase agreement.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tc>
      </w:tr>
    </w:tbl>
    <w:p>
      <w:pPr>
        <w:pStyle w:val="TextBody"/>
        <w:bidi w:val="0"/>
        <w:spacing w:before="0" w:after="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75"/>
        <w:gridCol w:w="470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includes $12.5 million with a related party in 2024.</w:t>
            </w:r>
          </w:p>
        </w:tc>
      </w:tr>
    </w:tbl>
    <w:p>
      <w:pPr>
        <w:pStyle w:val="TextBody"/>
        <w:bidi w:val="0"/>
        <w:spacing w:before="0" w:after="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reportable segments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2435"/>
        <w:gridCol w:w="90"/>
        <w:gridCol w:w="211"/>
        <w:gridCol w:w="993"/>
        <w:gridCol w:w="90"/>
        <w:gridCol w:w="90"/>
        <w:gridCol w:w="211"/>
        <w:gridCol w:w="993"/>
        <w:gridCol w:w="90"/>
        <w:gridCol w:w="90"/>
        <w:gridCol w:w="155"/>
        <w:gridCol w:w="725"/>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160,987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83,313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bidi w:val="0"/>
        <w:spacing w:before="0" w:after="0"/>
        <w:ind w:left="0" w:right="0" w:firstLine="720"/>
        <w:jc w:val="both"/>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2435"/>
        <w:gridCol w:w="90"/>
        <w:gridCol w:w="211"/>
        <w:gridCol w:w="993"/>
        <w:gridCol w:w="215"/>
        <w:gridCol w:w="90"/>
        <w:gridCol w:w="241"/>
        <w:gridCol w:w="964"/>
        <w:gridCol w:w="215"/>
        <w:gridCol w:w="90"/>
        <w:gridCol w:w="155"/>
        <w:gridCol w:w="725"/>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88,400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43,134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margins is attributed to operational efficiencies gained through the synergies created by consolidating the various lines of business and streamlining direct overhead costs attributed to each solar installation.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2435"/>
        <w:gridCol w:w="90"/>
        <w:gridCol w:w="241"/>
        <w:gridCol w:w="964"/>
        <w:gridCol w:w="90"/>
        <w:gridCol w:w="90"/>
        <w:gridCol w:w="241"/>
        <w:gridCol w:w="964"/>
        <w:gridCol w:w="90"/>
        <w:gridCol w:w="90"/>
        <w:gridCol w:w="155"/>
        <w:gridCol w:w="620"/>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26,298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and New Homes Business sales commission increased from the prior fiscal year ended December 28, 2025 is primarily attributable to the increase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jc w:val="both"/>
        <w:rPr>
          <w:caps w:val="false"/>
          <w:smallCaps w:val="false"/>
        </w:rPr>
      </w:pPr>
      <w:r>
        <w:rPr>
          <w:caps w:val="false"/>
          <w:smallCaps w:val="false"/>
        </w:rPr>
        <w:t> </w:t>
      </w:r>
    </w:p>
    <w:tbl>
      <w:tblPr>
        <w:tblW w:w="7204" w:type="dxa"/>
        <w:jc w:val="left"/>
        <w:tblInd w:w="0" w:type="dxa"/>
        <w:tblLayout w:type="fixed"/>
        <w:tblCellMar>
          <w:top w:w="0" w:type="dxa"/>
          <w:left w:w="0" w:type="dxa"/>
          <w:bottom w:w="0" w:type="dxa"/>
          <w:right w:w="0" w:type="dxa"/>
        </w:tblCellMar>
      </w:tblPr>
      <w:tblGrid>
        <w:gridCol w:w="2435"/>
        <w:gridCol w:w="90"/>
        <w:gridCol w:w="241"/>
        <w:gridCol w:w="964"/>
        <w:gridCol w:w="90"/>
        <w:gridCol w:w="90"/>
        <w:gridCol w:w="278"/>
        <w:gridCol w:w="926"/>
        <w:gridCol w:w="90"/>
        <w:gridCol w:w="90"/>
        <w:gridCol w:w="155"/>
        <w:gridCol w:w="620"/>
        <w:gridCol w:w="90"/>
        <w:gridCol w:w="90"/>
        <w:gridCol w:w="137"/>
        <w:gridCol w:w="558"/>
        <w:gridCol w:w="260"/>
      </w:tblGrid>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2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&amp; marketing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jc w:val="both"/>
        <w:rPr>
          <w:caps w:val="false"/>
          <w:smallCaps w:val="false"/>
        </w:rPr>
      </w:pPr>
      <w:r>
        <w:rPr>
          <w:caps w:val="false"/>
          <w:smallCaps w:val="false"/>
        </w:rPr>
        <w:t> </w:t>
      </w:r>
    </w:p>
    <w:tbl>
      <w:tblPr>
        <w:tblW w:w="7475" w:type="dxa"/>
        <w:jc w:val="left"/>
        <w:tblInd w:w="0" w:type="dxa"/>
        <w:tblLayout w:type="fixed"/>
        <w:tblCellMar>
          <w:top w:w="0" w:type="dxa"/>
          <w:left w:w="0" w:type="dxa"/>
          <w:bottom w:w="0" w:type="dxa"/>
          <w:right w:w="0" w:type="dxa"/>
        </w:tblCellMar>
      </w:tblPr>
      <w:tblGrid>
        <w:gridCol w:w="2705"/>
        <w:gridCol w:w="90"/>
        <w:gridCol w:w="241"/>
        <w:gridCol w:w="964"/>
        <w:gridCol w:w="90"/>
        <w:gridCol w:w="90"/>
        <w:gridCol w:w="241"/>
        <w:gridCol w:w="964"/>
        <w:gridCol w:w="90"/>
        <w:gridCol w:w="90"/>
        <w:gridCol w:w="155"/>
        <w:gridCol w:w="620"/>
        <w:gridCol w:w="90"/>
        <w:gridCol w:w="90"/>
        <w:gridCol w:w="178"/>
        <w:gridCol w:w="517"/>
        <w:gridCol w:w="260"/>
      </w:tblGrid>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
        <w:gridCol w:w="2945"/>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Non-Operating Income, Net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in 2025, was $44.3 million, a decrease in net loss of $10.1 million, as compared to a net loss from continuing operations of $54.4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Changes to our Liquidity and Capital Resources since December 28,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White Lion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we paid YA a due diligence, structuring and commitment fee totaling $0.4 million which consisted of $0.05 million cash and 175,000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Bridge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purchase agreement with YA pursuant to which we issued a convertible debenture in the principal amount of $10.0 million (the “March 2026 Bridge Note”) for net proceeds of approximately $9.0 million, after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transactions subsequent to March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Times;Serif" w:hAnsi="Times New Roman;Times;Serif"/>
          <w:b/>
          <w:i w:val="false"/>
          <w:caps w:val="false"/>
          <w:smallCaps w:val="false"/>
          <w:sz w:val="20"/>
        </w:rPr>
        <w:t>Note 8 – SAFE Agreement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18 – Subsequent Events to Unaudited Condensed Consolidated Financial Statements </w:t>
      </w:r>
      <w:r>
        <w:rPr>
          <w:rFonts w:ascii="Times New Roman;Times;Serif" w:hAnsi="Times New Roman;Times;Serif"/>
          <w:b w:val="false"/>
          <w:i w:val="false"/>
          <w:caps w:val="false"/>
          <w:smallCaps w:val="false"/>
          <w:sz w:val="20"/>
        </w:rPr>
        <w:t>for details of the SAFE Agreements) and (iii) $10.0 million of notes issued in connection with the exchange of the Seller Note (as described below). Net proceeds from the Private Offering, after payment of transaction fees and expenses and the settlement of certain obligations, were approximately $9.8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additional financing opportunities and capital management strategies to support our operating needs and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thirteen weeks ended March 29, 2026 and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4685"/>
        <w:gridCol w:w="90"/>
        <w:gridCol w:w="179"/>
        <w:gridCol w:w="785"/>
        <w:gridCol w:w="122"/>
        <w:gridCol w:w="100"/>
        <w:gridCol w:w="194"/>
        <w:gridCol w:w="725"/>
        <w:gridCol w:w="155"/>
      </w:tblGrid>
      <w:tr>
        <w:trPr/>
        <w:tc>
          <w:tcPr>
            <w:tcW w:w="468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22"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(25,656</w:t>
            </w:r>
          </w:p>
        </w:tc>
        <w:tc>
          <w:tcPr>
            <w:tcW w:w="1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122" w:type="dxa"/>
            <w:tcBorders/>
            <w:vAlign w:val="center"/>
          </w:tcPr>
          <w:p>
            <w:pPr>
              <w:pStyle w:val="TableContents"/>
              <w:bidi w:val="0"/>
              <w:spacing w:before="0" w:after="283"/>
              <w:jc w:val="left"/>
              <w:rPr>
                <w:caps w:val="false"/>
                <w:smallCaps w:val="false"/>
              </w:rPr>
            </w:pPr>
            <w:r>
              <w:rPr>
                <w:caps w:val="false"/>
                <w:smallCaps w:val="false"/>
              </w:rPr>
              <w:t> </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caps w:val="false"/>
                <w:smallCaps w:val="false"/>
              </w:rPr>
            </w:pPr>
            <w:r>
              <w:rPr>
                <w:caps w:val="false"/>
                <w:smallCaps w:val="false"/>
              </w:rPr>
              <w:t>—</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1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cash equivalents and restricted 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(2,825</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of $0.5 million from investing activities in the thirteen week period ended March 29, 2026 is attributable to the cash acquired in the acquisition of Cobalt. Cobalt was acquired in exchange for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zero in the thirteen-weeks ended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Fiscal Years Ended December 28, 2025 and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fiscal years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528" w:type="dxa"/>
        <w:jc w:val="left"/>
        <w:tblInd w:w="0" w:type="dxa"/>
        <w:tblLayout w:type="fixed"/>
        <w:tblCellMar>
          <w:top w:w="0" w:type="dxa"/>
          <w:left w:w="0" w:type="dxa"/>
          <w:bottom w:w="0" w:type="dxa"/>
          <w:right w:w="0" w:type="dxa"/>
        </w:tblCellMar>
      </w:tblPr>
      <w:tblGrid>
        <w:gridCol w:w="5675"/>
        <w:gridCol w:w="90"/>
        <w:gridCol w:w="223"/>
        <w:gridCol w:w="981"/>
        <w:gridCol w:w="110"/>
        <w:gridCol w:w="90"/>
        <w:gridCol w:w="211"/>
        <w:gridCol w:w="993"/>
        <w:gridCol w:w="155"/>
      </w:tblGrid>
      <w:tr>
        <w:trPr/>
        <w:tc>
          <w:tcPr>
            <w:tcW w:w="567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(54,662</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(54,657</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120,100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cash equivalents and restricted 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8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10,803</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$19.3 million in 2025 is principally attributable to the cash paid for the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from continuing operations of $54.7 million for the fiscal year ended December 29, 2024 was primarily due to the acquisition of SunPower of $53.5 million (net of $1.0 million of cash) and $1.2 million in capital expenditures.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Business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of Sunder, Ambia, Cobalt and SunPower Businesses are collectively referred to herein as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Model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Innovation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Differentiation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focuses on providing our sales partners with the software tools, sales support, and ability to compete effectively with national providers. This turnkey solution makes it easy for anyone to sell solar.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through our partner programs- </w:t>
            </w:r>
            <w:r>
              <w:rPr>
                <w:rFonts w:ascii="Times New Roman;Times;Serif" w:hAnsi="Times New Roman;Times;Serif"/>
                <w:sz w:val="20"/>
              </w:rPr>
              <w:t>Certain of our 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-We expect to create a consistent offering with a single execution 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strengths position us to drive the mass adoption of residential solar in a manner that maximizes the value of our growing customer base over the long term:</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Platform of Services and Tools</w:t>
            </w:r>
            <w:r>
              <w:rPr>
                <w:rFonts w:ascii="Times New Roman;Times;Serif" w:hAnsi="Times New Roman;Times;Serif"/>
                <w:sz w:val="20"/>
              </w:rPr>
              <w:t>: A diversified and multi-pronged customer acquisition approach. This infrastructure underpins the ability to enjoy broad customer reach with a low system-wide cost structure and positions us for expansion to every market where distributed solar energy generation can offer homeowners savings versus traditional utility retail power.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Differentiated Customer Experience</w:t>
            </w:r>
            <w:r>
              <w:rPr>
                <w:rFonts w:ascii="Times New Roman;Times;Serif" w:hAnsi="Times New Roman;Times;Serif"/>
                <w:sz w:val="20"/>
              </w:rPr>
              <w:t>: We offer a unique customer experience through various methods: customer-friendly solar service features, tailored designs and customizable pricing for each homeowner, a highly consultative sales process, and a focus on customer savings.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Access to customers through third-party sales channels:</w:t>
            </w:r>
            <w:r>
              <w:rPr>
                <w:rFonts w:ascii="Times New Roman;Times;Serif" w:hAnsi="Times New Roman;Times;Serif"/>
                <w:sz w:val="20"/>
              </w:rPr>
              <w:t xml:space="preserve"> The turn-key solar product offering, best-in-class customer service, and national footprint support third-party sales channels and strategic national partnerships. We provide solutions for sales channels seeking to expand their geographic reach and strengthen their relationships with their own customers.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Skilled labor workforce: </w:t>
            </w:r>
            <w:r>
              <w:rPr>
                <w:rFonts w:ascii="Times New Roman;Times;Serif" w:hAnsi="Times New Roman;Times;Serif"/>
                <w:sz w:val="20"/>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 and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module are the solar cells. Our solar modules are generally manufactured by third-party select manufacturers and are purchased from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and Incentives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22, 2026, we had 580 employees on a full-time basis. We also engage independent contractors and consultants. No employees are covered by collective bargaining agreements. There have not been any work stoppages.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executive offices are located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Corporate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1403 N. Research Way, Orem UT 84097, and our telephone number is (877) 299-4943.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Company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their ages as of June 29,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325" w:type="dxa"/>
        <w:jc w:val="left"/>
        <w:tblInd w:w="0" w:type="dxa"/>
        <w:tblLayout w:type="fixed"/>
        <w:tblCellMar>
          <w:top w:w="0" w:type="dxa"/>
          <w:left w:w="0" w:type="dxa"/>
          <w:bottom w:w="28" w:type="dxa"/>
          <w:right w:w="0" w:type="dxa"/>
        </w:tblCellMar>
      </w:tblPr>
      <w:tblGrid>
        <w:gridCol w:w="1775"/>
        <w:gridCol w:w="90"/>
        <w:gridCol w:w="2945"/>
        <w:gridCol w:w="90"/>
        <w:gridCol w:w="425"/>
      </w:tblGrid>
      <w:tr>
        <w:trPr/>
        <w:tc>
          <w:tcPr>
            <w:tcW w:w="17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29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9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CEO,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Gishen </w:t>
            </w:r>
            <w:r>
              <w:rPr>
                <w:rFonts w:ascii="Times New Roman;Times;Serif" w:hAnsi="Times New Roman;Times;Serif"/>
                <w:position w:val="7"/>
                <w:sz w:val="16"/>
                <w:sz w:val="20"/>
              </w:rPr>
              <w:t>(1) (3)</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Lothar Maier </w:t>
            </w:r>
            <w:r>
              <w:rPr>
                <w:rFonts w:ascii="Times New Roman;Times;Serif" w:hAnsi="Times New Roman;Times;Serif"/>
                <w:position w:val="7"/>
                <w:sz w:val="16"/>
                <w:sz w:val="20"/>
              </w:rPr>
              <w:t>(1) (2)</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Ronald Pasek </w:t>
            </w:r>
            <w:r>
              <w:rPr>
                <w:rFonts w:ascii="Times New Roman;Times;Serif" w:hAnsi="Times New Roman;Times;Serif"/>
                <w:position w:val="7"/>
                <w:sz w:val="16"/>
                <w:sz w:val="20"/>
              </w:rPr>
              <w:t>(1) (3)</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Lead Independent</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Tidjane Thiam </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Devin Whatley </w:t>
            </w:r>
            <w:r>
              <w:rPr>
                <w:rFonts w:ascii="Times New Roman;Times;Serif" w:hAnsi="Times New Roman;Times;Serif"/>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7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Jamie Haenggi </w:t>
            </w:r>
            <w:r>
              <w:rPr>
                <w:rFonts w:ascii="Times New Roman;Times;Serif" w:hAnsi="Times New Roman;Times;Serif"/>
                <w:position w:val="7"/>
                <w:sz w:val="16"/>
                <w:sz w:val="20"/>
              </w:rPr>
              <w:t>(2)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r>
              <w:rPr>
                <w:rFonts w:ascii="Times New Roman;Times;Serif" w:hAnsi="Times New Roman;Times;Serif"/>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2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firstLine="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90"/>
        <w:gridCol w:w="278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bl>
    <w:p>
      <w:pPr>
        <w:pStyle w:val="TextBody"/>
        <w:bidi w:val="0"/>
        <w:spacing w:before="0" w:after="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bl>
    <w:p>
      <w:pPr>
        <w:pStyle w:val="TextBody"/>
        <w:bidi w:val="0"/>
        <w:spacing w:before="0" w:after="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90"/>
        <w:gridCol w:w="551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Thurman J. Rodgers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R. Alvarez</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Antonio R. Alvarez, 69, has served as a member of the Company’s Board of Directors since November 2022. Mr. Alvarez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J. Anderson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William J. Anderson, 49, served as the Chief Executive Officer of the Company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Gishen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Lundell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Christopher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Lothar Maier</w:t>
      </w:r>
      <w:r>
        <w:rPr>
          <w:rFonts w:ascii="Times New Roman;Times;Serif" w:hAnsi="Times New Roman;Times;Serif"/>
          <w:b w:val="false"/>
          <w:i w:val="false"/>
          <w:caps w:val="false"/>
          <w:smallCaps w:val="false"/>
          <w:sz w:val="20"/>
        </w:rPr>
        <w:t>. 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 Daniel McCranie. </w:t>
      </w:r>
      <w:r>
        <w:rPr>
          <w:rFonts w:ascii="Times New Roman;Times;Serif" w:hAnsi="Times New Roman;Times;Serif"/>
          <w:b w:val="false"/>
          <w:i w:val="false"/>
          <w:caps w:val="false"/>
          <w:smallCaps w:val="false"/>
          <w:sz w:val="20"/>
        </w:rPr>
        <w:t>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Ronald Pasek</w:t>
      </w:r>
      <w:r>
        <w:rPr>
          <w:rFonts w:ascii="Times New Roman;Times;Serif" w:hAnsi="Times New Roman;Times;Serif"/>
          <w:b w:val="false"/>
          <w:i w:val="false"/>
          <w:caps w:val="false"/>
          <w:smallCaps w:val="false"/>
          <w:sz w:val="20"/>
        </w:rPr>
        <w:t>. Ronald Pasek, 65, has served as a member of the Company’s Board of Directors since February 2023.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Tidjane Thiam</w:t>
      </w:r>
      <w:r>
        <w:rPr>
          <w:rFonts w:ascii="Times New Roman;Times;Serif" w:hAnsi="Times New Roman;Times;Serif"/>
          <w:b w:val="false"/>
          <w:i w:val="false"/>
          <w:caps w:val="false"/>
          <w:smallCaps w:val="false"/>
          <w:sz w:val="20"/>
        </w:rPr>
        <w:t>. 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Devin Whatley</w:t>
      </w:r>
      <w:r>
        <w:rPr>
          <w:rFonts w:ascii="Times New Roman;Times;Serif" w:hAnsi="Times New Roman;Times;Serif"/>
          <w:b w:val="false"/>
          <w:i w:val="false"/>
          <w:caps w:val="false"/>
          <w:smallCaps w:val="false"/>
          <w:sz w:val="20"/>
        </w:rPr>
        <w:t>. 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Jamie Haenggi</w:t>
      </w:r>
      <w:r>
        <w:rPr>
          <w:rFonts w:ascii="Times New Roman;Times;Serif" w:hAnsi="Times New Roman;Times;Serif"/>
          <w:b w:val="false"/>
          <w:i w:val="false"/>
          <w:caps w:val="false"/>
          <w:smallCaps w:val="false"/>
          <w:sz w:val="20"/>
        </w:rPr>
        <w:t>. Jamie Haenggi, 56 has served as a member of the Company’s Board of Directors since April 2025. Ms. Haenggi brings more than 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Bernard Gutmann</w:t>
      </w:r>
      <w:r>
        <w:rPr>
          <w:rFonts w:ascii="Times New Roman;Times;Serif" w:hAnsi="Times New Roman;Times;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June 29, 2026 are set forth below.</w:t>
      </w:r>
    </w:p>
    <w:p>
      <w:pPr>
        <w:pStyle w:val="TextBody"/>
        <w:bidi w:val="0"/>
        <w:spacing w:before="0" w:after="0"/>
        <w:jc w:val="both"/>
        <w:rPr>
          <w:caps w:val="false"/>
          <w:smallCaps w:val="false"/>
        </w:rPr>
      </w:pPr>
      <w:r>
        <w:rPr>
          <w:caps w:val="false"/>
          <w:smallCaps w:val="false"/>
        </w:rPr>
        <w:t> </w:t>
      </w:r>
    </w:p>
    <w:tbl>
      <w:tblPr>
        <w:tblW w:w="5310" w:type="dxa"/>
        <w:jc w:val="left"/>
        <w:tblInd w:w="0" w:type="dxa"/>
        <w:tblLayout w:type="fixed"/>
        <w:tblCellMar>
          <w:top w:w="0" w:type="dxa"/>
          <w:left w:w="0" w:type="dxa"/>
          <w:bottom w:w="28" w:type="dxa"/>
          <w:right w:w="0" w:type="dxa"/>
        </w:tblCellMar>
      </w:tblPr>
      <w:tblGrid>
        <w:gridCol w:w="1685"/>
        <w:gridCol w:w="90"/>
        <w:gridCol w:w="380"/>
        <w:gridCol w:w="90"/>
        <w:gridCol w:w="3065"/>
      </w:tblGrid>
      <w:tr>
        <w:trPr/>
        <w:tc>
          <w:tcPr>
            <w:tcW w:w="16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0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 w:type="dxa"/>
            <w:tcBorders/>
            <w:tcMar>
              <w:bottom w:w="0" w:type="dxa"/>
            </w:tcMar>
            <w:vAlign w:val="center"/>
          </w:tcPr>
          <w:p>
            <w:pPr>
              <w:pStyle w:val="TableContents"/>
              <w:bidi w:val="0"/>
              <w:spacing w:before="0" w:after="283"/>
              <w:jc w:val="left"/>
              <w:rPr/>
            </w:pPr>
            <w:r>
              <w:rPr/>
              <w:t> </w:t>
            </w:r>
          </w:p>
        </w:tc>
        <w:tc>
          <w:tcPr>
            <w:tcW w:w="30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Mr. Rodgers is included with the Director biographies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Jeanne Nguyen.</w:t>
      </w:r>
      <w:r>
        <w:rPr>
          <w:rFonts w:ascii="Times New Roman;Times;Serif" w:hAnsi="Times New Roman;Times;Serif"/>
          <w:b w:val="false"/>
          <w:i w:val="false"/>
          <w:caps w:val="false"/>
          <w:smallCaps w:val="false"/>
          <w:sz w:val="20"/>
        </w:rPr>
        <w:t xml:space="preserve"> Jeanne Nguyen has served as the Chief Accounting Officer since 2024. Jeanne Nguyen served as the Interim Chief Financial Officer 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the Board of Directors oversee corporate accounting and financial reporting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the selection, engagement and qualifications of a qualified firm to serve as the independent registered public accounting firm to audit SunPower’s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05"/>
        <w:gridCol w:w="200"/>
        <w:gridCol w:w="87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to ensure the independence and performance of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scope and results of the audit with the independent registered public accounting firm, and reviewing, with management and the independent accountants, SunPower’s interim and year-end operating results;</w:t>
            </w:r>
          </w:p>
        </w:tc>
      </w:tr>
    </w:tbl>
    <w:p>
      <w:pPr>
        <w:pStyle w:val="TextBody"/>
        <w:bidi w:val="0"/>
        <w:spacing w:before="0" w:after="0"/>
        <w:ind w:left="960" w:right="0" w:hanging="48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05"/>
        <w:gridCol w:w="200"/>
        <w:gridCol w:w="9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procedures for employees to submit concerns anonymously about questionable accounting or audit matters;</w:t>
            </w:r>
          </w:p>
        </w:tc>
      </w:tr>
    </w:tbl>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policies on financial risk assessment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200"/>
        <w:gridCol w:w="3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(or, as permitted, pre-approving) all audit and all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Audit Committee which is available on SunPower’s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compensation of SunPower’s executive officers and senior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105"/>
        <w:gridCol w:w="200"/>
        <w:gridCol w:w="80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of Directors the compensation of SunPower’s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terms of compensatory arrangements with SunPower’s executives;</w:t>
            </w:r>
          </w:p>
        </w:tc>
      </w:tr>
    </w:tbl>
    <w:p>
      <w:pPr>
        <w:pStyle w:val="TextBody"/>
        <w:bidi w:val="0"/>
        <w:spacing w:before="0" w:after="0"/>
        <w:ind w:left="960" w:right="0" w:hanging="48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05"/>
        <w:gridCol w:w="200"/>
        <w:gridCol w:w="4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SunPower’s stock and equity incentive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independent compensation consultants and assessing whether there are any conflicts of interest with any of the committee’s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05"/>
        <w:gridCol w:w="200"/>
        <w:gridCol w:w="9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establishing general policies relating to compensation and benefits of SunPower’s employees; and</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05"/>
        <w:gridCol w:w="200"/>
        <w:gridCol w:w="3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SunPower’s overall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for the Compensation Committee which is available on SunPower’s website.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Jamie Haenggi, who serves as the chairperson, Ron Pasek, Tidjane Thiam, and Adam Gishen. The responsibilities of the Nominating and Corporate Governance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evaluating and selecting, or recommending that the Board of Directors approve, nominees for election to the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05"/>
        <w:gridCol w:w="200"/>
        <w:gridCol w:w="66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of Directors and of individual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adequacy of SunPower’s corporate governance practices and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105"/>
        <w:gridCol w:w="200"/>
        <w:gridCol w:w="3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management succession plans;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making recommendations to the Board of Directors regarding corporate governance guidelines and matters.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Nominating and Corporate Governance Committee which is available on SunPower’s website.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Ethical Business Conduct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Executive Compensation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
        <w:gridCol w:w="200"/>
        <w:gridCol w:w="6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(T.J.) Rodgers, our Chief Executive Officer and Executive Chairman;</w:t>
            </w:r>
          </w:p>
        </w:tc>
      </w:tr>
    </w:tbl>
    <w:p>
      <w:pPr>
        <w:pStyle w:val="TextBody"/>
        <w:bidi w:val="0"/>
        <w:spacing w:before="0" w:after="0"/>
        <w:ind w:left="960" w:right="0" w:hanging="48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105"/>
        <w:gridCol w:w="200"/>
        <w:gridCol w:w="76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Jeanne Nguyen, our Chief Accounting Officer and former Interim Chief Financial Officer; and</w:t>
            </w:r>
          </w:p>
        </w:tc>
      </w:tr>
    </w:tbl>
    <w:p>
      <w:pPr>
        <w:pStyle w:val="TextBody"/>
        <w:bidi w:val="0"/>
        <w:spacing w:before="0" w:after="0"/>
        <w:ind w:left="960" w:right="0" w:hanging="48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05"/>
        <w:gridCol w:w="200"/>
        <w:gridCol w:w="40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 our former Chief Financial Officer.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Mr. Rodgers did not receive any separate compensation in his role as our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6"/>
        <w:gridCol w:w="90"/>
        <w:gridCol w:w="90"/>
        <w:gridCol w:w="530"/>
        <w:gridCol w:w="90"/>
        <w:gridCol w:w="90"/>
        <w:gridCol w:w="170"/>
        <w:gridCol w:w="830"/>
        <w:gridCol w:w="90"/>
        <w:gridCol w:w="90"/>
        <w:gridCol w:w="170"/>
        <w:gridCol w:w="590"/>
        <w:gridCol w:w="90"/>
        <w:gridCol w:w="90"/>
        <w:gridCol w:w="170"/>
        <w:gridCol w:w="830"/>
        <w:gridCol w:w="222"/>
        <w:gridCol w:w="90"/>
        <w:gridCol w:w="170"/>
        <w:gridCol w:w="830"/>
        <w:gridCol w:w="222"/>
        <w:gridCol w:w="90"/>
        <w:gridCol w:w="215"/>
        <w:gridCol w:w="1050"/>
        <w:gridCol w:w="222"/>
        <w:gridCol w:w="90"/>
        <w:gridCol w:w="170"/>
        <w:gridCol w:w="830"/>
        <w:gridCol w:w="138"/>
      </w:tblGrid>
      <w:tr>
        <w:trPr/>
        <w:tc>
          <w:tcPr>
            <w:tcW w:w="1856"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center"/>
              <w:rPr>
                <w:b/>
              </w:rPr>
            </w:pPr>
            <w:r>
              <w:rPr>
                <w:b/>
              </w:rPr>
              <w:t>Bonus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r>
              <w:rPr>
                <w:rFonts w:ascii="Times New Roman;Times;Serif" w:hAnsi="Times New Roman;Times;Serif"/>
                <w:b/>
                <w:i w:val="false"/>
                <w:caps w:val="false"/>
                <w:smallCaps w:val="false"/>
                <w:position w:val="7"/>
                <w:sz w:val="16"/>
                <w:sz w:val="20"/>
              </w:rPr>
              <w:t>(1)</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8" w:type="dxa"/>
            <w:tcBorders/>
            <w:tcMar>
              <w:bottom w:w="0" w:type="dxa"/>
            </w:tcMar>
            <w:vAlign w:val="center"/>
          </w:tcPr>
          <w:p>
            <w:pPr>
              <w:pStyle w:val="TableContents"/>
              <w:bidi w:val="0"/>
              <w:spacing w:before="0" w:after="283"/>
              <w:ind w:left="0" w:right="0" w:hanging="180"/>
              <w:jc w:val="left"/>
              <w:rPr/>
            </w:pPr>
            <w:r>
              <w:rPr/>
              <w:t> </w:t>
            </w:r>
          </w:p>
        </w:tc>
      </w:tr>
      <w:tr>
        <w:trPr/>
        <w:tc>
          <w:tcPr>
            <w:tcW w:w="1856" w:type="dxa"/>
            <w:tcBorders/>
            <w:shd w:fill="CCEEFF" w:val="clear"/>
            <w:tcMar>
              <w:bottom w:w="0" w:type="dxa"/>
            </w:tcMar>
            <w:vAlign w:val="center"/>
          </w:tcPr>
          <w:p>
            <w:pPr>
              <w:pStyle w:val="TableContents"/>
              <w:bidi w:val="0"/>
              <w:spacing w:before="0" w:after="283"/>
              <w:jc w:val="left"/>
              <w:rPr>
                <w:i/>
              </w:rPr>
            </w:pPr>
            <w:r>
              <w:rPr>
                <w:i/>
              </w:rPr>
              <w:t>Thurman J. (T.J.) Rodgers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6"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6"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Jeanne Nguyen </w:t>
            </w:r>
            <w:r>
              <w:rPr>
                <w:rFonts w:ascii="Times New Roman;Times;Serif" w:hAnsi="Times New Roman;Times;Serif"/>
                <w:i/>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530" w:type="dxa"/>
            <w:tcBorders/>
            <w:tcMar>
              <w:bottom w:w="0" w:type="dxa"/>
            </w:tcMar>
            <w:vAlign w:val="center"/>
          </w:tcPr>
          <w:p>
            <w:pPr>
              <w:pStyle w:val="TableContents"/>
              <w:bidi w:val="0"/>
              <w:spacing w:before="0" w:after="283"/>
              <w:jc w:val="center"/>
              <w:rPr/>
            </w:pPr>
            <w:r>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350,000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590" w:type="dxa"/>
            <w:tcBorders/>
            <w:tcMar>
              <w:bottom w:w="0" w:type="dxa"/>
            </w:tcMar>
            <w:vAlign w:val="center"/>
          </w:tcPr>
          <w:p>
            <w:pPr>
              <w:pStyle w:val="TableContents"/>
              <w:bidi w:val="0"/>
              <w:spacing w:before="0" w:after="283"/>
              <w:jc w:val="right"/>
              <w:rPr/>
            </w:pPr>
            <w:r>
              <w:rPr/>
              <w:t>1,500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1,534</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830" w:type="dxa"/>
            <w:tcBorders/>
            <w:tcMar>
              <w:bottom w:w="0" w:type="dxa"/>
            </w:tcMar>
            <w:vAlign w:val="center"/>
          </w:tcPr>
          <w:p>
            <w:pPr>
              <w:pStyle w:val="TableContents"/>
              <w:bidi w:val="0"/>
              <w:spacing w:before="0" w:after="283"/>
              <w:jc w:val="right"/>
              <w:rPr/>
            </w:pPr>
            <w:r>
              <w:rPr/>
              <w:t>353,034</w:t>
            </w:r>
          </w:p>
        </w:tc>
        <w:tc>
          <w:tcPr>
            <w:tcW w:w="138" w:type="dxa"/>
            <w:tcBorders/>
            <w:tcMar>
              <w:bottom w:w="0" w:type="dxa"/>
            </w:tcMar>
            <w:vAlign w:val="center"/>
          </w:tcPr>
          <w:p>
            <w:pPr>
              <w:pStyle w:val="TableContents"/>
              <w:bidi w:val="0"/>
              <w:spacing w:before="0" w:after="283"/>
              <w:ind w:left="0" w:right="0" w:hanging="180"/>
              <w:jc w:val="left"/>
              <w:rPr/>
            </w:pPr>
            <w:r>
              <w:rPr/>
              <w:t> </w:t>
            </w:r>
          </w:p>
        </w:tc>
      </w:tr>
      <w:tr>
        <w:trPr/>
        <w:tc>
          <w:tcPr>
            <w:tcW w:w="1856" w:type="dxa"/>
            <w:tcBorders/>
            <w:tcMar>
              <w:bottom w:w="0" w:type="dxa"/>
            </w:tcMar>
            <w:vAlign w:val="center"/>
          </w:tcPr>
          <w:p>
            <w:pPr>
              <w:pStyle w:val="TableContents"/>
              <w:bidi w:val="0"/>
              <w:spacing w:before="0" w:after="283"/>
              <w:jc w:val="left"/>
              <w:rPr>
                <w:i/>
              </w:rPr>
            </w:pPr>
            <w:r>
              <w:rPr>
                <w:i/>
              </w:rPr>
              <w:t>Chief Accounting Officer and Former Interim Chief Financial Officer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530" w:type="dxa"/>
            <w:tcBorders/>
            <w:tcMar>
              <w:bottom w:w="0" w:type="dxa"/>
            </w:tcMar>
            <w:vAlign w:val="center"/>
          </w:tcPr>
          <w:p>
            <w:pPr>
              <w:pStyle w:val="TableContents"/>
              <w:bidi w:val="0"/>
              <w:spacing w:before="0" w:after="283"/>
              <w:jc w:val="center"/>
              <w:rPr/>
            </w:pPr>
            <w:r>
              <w:rP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58,300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237,046</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1050" w:type="dxa"/>
            <w:tcBorders/>
            <w:tcMar>
              <w:bottom w:w="0" w:type="dxa"/>
            </w:tcMar>
            <w:vAlign w:val="center"/>
          </w:tcPr>
          <w:p>
            <w:pPr>
              <w:pStyle w:val="TableContents"/>
              <w:bidi w:val="0"/>
              <w:spacing w:before="0" w:after="283"/>
              <w:jc w:val="right"/>
              <w:rPr/>
            </w:pPr>
            <w:r>
              <w:rPr/>
              <w:t>-</w:t>
            </w:r>
          </w:p>
        </w:tc>
        <w:tc>
          <w:tcPr>
            <w:tcW w:w="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295,346</w:t>
            </w:r>
          </w:p>
        </w:tc>
        <w:tc>
          <w:tcPr>
            <w:tcW w:w="138" w:type="dxa"/>
            <w:tcBorders/>
            <w:tcMar>
              <w:bottom w:w="0" w:type="dxa"/>
            </w:tcMar>
            <w:vAlign w:val="center"/>
          </w:tcPr>
          <w:p>
            <w:pPr>
              <w:pStyle w:val="TableContents"/>
              <w:bidi w:val="0"/>
              <w:spacing w:before="0" w:after="283"/>
              <w:ind w:left="0" w:right="0" w:hanging="180"/>
              <w:jc w:val="left"/>
              <w:rPr/>
            </w:pPr>
            <w:r>
              <w:rPr/>
              <w:t> </w:t>
            </w:r>
          </w:p>
        </w:tc>
      </w:tr>
      <w:tr>
        <w:trPr/>
        <w:tc>
          <w:tcPr>
            <w:tcW w:w="1856"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Daniel Foley</w:t>
            </w:r>
            <w:r>
              <w:rPr>
                <w:rFonts w:ascii="Times New Roman;Times;Serif" w:hAnsi="Times New Roman;Times;Serif"/>
                <w:i/>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233,333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455,000</w:t>
            </w:r>
          </w:p>
        </w:tc>
        <w:tc>
          <w:tcPr>
            <w:tcW w:w="222"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right"/>
              <w:rPr/>
            </w:pPr>
            <w:r>
              <w:rPr/>
              <w:t>100,000</w:t>
            </w:r>
          </w:p>
        </w:tc>
        <w:tc>
          <w:tcPr>
            <w:tcW w:w="222"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789,833</w:t>
            </w:r>
          </w:p>
        </w:tc>
        <w:tc>
          <w:tcPr>
            <w:tcW w:w="13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6"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161,947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780,000</w:t>
            </w:r>
          </w:p>
        </w:tc>
        <w:tc>
          <w:tcPr>
            <w:tcW w:w="222"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050" w:type="dxa"/>
            <w:tcBorders/>
            <w:shd w:fill="CCEEFF" w:val="clear"/>
            <w:tcMar>
              <w:bottom w:w="0" w:type="dxa"/>
            </w:tcMar>
            <w:vAlign w:val="center"/>
          </w:tcPr>
          <w:p>
            <w:pPr>
              <w:pStyle w:val="TableContents"/>
              <w:bidi w:val="0"/>
              <w:spacing w:before="0" w:after="283"/>
              <w:jc w:val="right"/>
              <w:rPr/>
            </w:pPr>
            <w:r>
              <w:rPr/>
              <w:t>-</w:t>
            </w:r>
          </w:p>
        </w:tc>
        <w:tc>
          <w:tcPr>
            <w:tcW w:w="222"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941,947</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Times;Serif" w:hAnsi="Times New Roman;Times;Serif"/>
                <w:i/>
                <w:sz w:val="20"/>
              </w:rPr>
              <w:t>Stock-based Compensation</w:t>
            </w:r>
            <w:r>
              <w:rPr>
                <w:rFonts w:ascii="Times New Roman;Times;Serif" w:hAnsi="Times New Roman;Times;Serif"/>
                <w:sz w:val="20"/>
              </w:rPr>
              <w:t xml:space="preserve">. See “Item 8. Financial Statements and Supplementary Data - Notes to Consolidated Financial Statements - </w:t>
            </w:r>
            <w:r>
              <w:rPr>
                <w:rFonts w:ascii="Times New Roman;Times;Serif" w:hAnsi="Times New Roman;Times;Serif"/>
                <w:b/>
                <w:sz w:val="20"/>
              </w:rPr>
              <w:t>Note 15 - Stock-Based Compensation</w:t>
            </w:r>
            <w:r>
              <w:rPr>
                <w:rFonts w:ascii="Times New Roman;Times;Serif" w:hAnsi="Times New Roman;Times;Serif"/>
                <w:sz w:val="20"/>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250,000 restricted stock units issued in April 2025, of which 19,970 of the RSUs were vested at the time of Mr. Foley’s separation from the Company. Upon Mr. Foley’s separation, the remaining unvested restricted stock units were canceled.</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this option award vested on July 1, 2025. Upon Mr. Foley’s separation from the Company, the remaining unvested shares underlying this option were forfeited.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28,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outstanding option awards and RSUs held by each of the named executive officers as of December 28, 2025:</w:t>
      </w:r>
    </w:p>
    <w:p>
      <w:pPr>
        <w:pStyle w:val="TextBody"/>
        <w:bidi w:val="0"/>
        <w:spacing w:before="0" w:after="0"/>
        <w:jc w:val="both"/>
        <w:rPr>
          <w:caps w:val="false"/>
          <w:smallCaps w:val="false"/>
        </w:rPr>
      </w:pPr>
      <w:r>
        <w:rPr>
          <w:caps w:val="false"/>
          <w:smallCaps w:val="false"/>
        </w:rPr>
        <w:t> </w:t>
      </w:r>
    </w:p>
    <w:tbl>
      <w:tblPr>
        <w:tblW w:w="10575" w:type="dxa"/>
        <w:jc w:val="left"/>
        <w:tblInd w:w="0" w:type="dxa"/>
        <w:tblLayout w:type="fixed"/>
        <w:tblCellMar>
          <w:top w:w="0" w:type="dxa"/>
          <w:left w:w="0" w:type="dxa"/>
          <w:bottom w:w="0" w:type="dxa"/>
          <w:right w:w="0" w:type="dxa"/>
        </w:tblCellMar>
      </w:tblPr>
      <w:tblGrid>
        <w:gridCol w:w="935"/>
        <w:gridCol w:w="90"/>
        <w:gridCol w:w="560"/>
        <w:gridCol w:w="90"/>
        <w:gridCol w:w="1415"/>
        <w:gridCol w:w="90"/>
        <w:gridCol w:w="122"/>
        <w:gridCol w:w="963"/>
        <w:gridCol w:w="215"/>
        <w:gridCol w:w="90"/>
        <w:gridCol w:w="173"/>
        <w:gridCol w:w="1167"/>
        <w:gridCol w:w="215"/>
        <w:gridCol w:w="90"/>
        <w:gridCol w:w="208"/>
        <w:gridCol w:w="577"/>
        <w:gridCol w:w="90"/>
        <w:gridCol w:w="90"/>
        <w:gridCol w:w="90"/>
        <w:gridCol w:w="890"/>
        <w:gridCol w:w="90"/>
        <w:gridCol w:w="90"/>
        <w:gridCol w:w="90"/>
        <w:gridCol w:w="830"/>
        <w:gridCol w:w="90"/>
        <w:gridCol w:w="90"/>
        <w:gridCol w:w="170"/>
        <w:gridCol w:w="830"/>
        <w:gridCol w:w="135"/>
      </w:tblGrid>
      <w:tr>
        <w:trPr/>
        <w:tc>
          <w:tcPr>
            <w:tcW w:w="9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7225" w:type="dxa"/>
            <w:gridSpan w:val="1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Awards </w:t>
            </w:r>
            <w:r>
              <w:rPr>
                <w:rFonts w:ascii="Times New Roman;Times;Serif" w:hAnsi="Times New Roman;Times;Serif"/>
                <w:b/>
                <w:position w:val="7"/>
                <w:sz w:val="16"/>
                <w:sz w:val="20"/>
              </w:rPr>
              <w:t>(1)</w:t>
            </w:r>
          </w:p>
        </w:tc>
        <w:tc>
          <w:tcPr>
            <w:tcW w:w="135" w:type="dxa"/>
            <w:tcBorders/>
            <w:vAlign w:val="center"/>
          </w:tcPr>
          <w:p>
            <w:pPr>
              <w:pStyle w:val="TableContents"/>
              <w:bidi w:val="0"/>
              <w:spacing w:before="0" w:after="283"/>
              <w:ind w:left="0" w:right="0" w:hanging="180"/>
              <w:jc w:val="left"/>
              <w:rPr/>
            </w:pPr>
            <w:r>
              <w:rPr/>
              <w:t> </w:t>
            </w:r>
          </w:p>
        </w:tc>
      </w:tr>
      <w:tr>
        <w:trPr/>
        <w:tc>
          <w:tcPr>
            <w:tcW w:w="93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i w:val="false"/>
                <w:caps w:val="false"/>
                <w:smallCaps w:val="false"/>
                <w:position w:val="7"/>
                <w:sz w:val="16"/>
                <w:sz w:val="20"/>
              </w:rPr>
              <w:t>(1)</w:t>
            </w:r>
          </w:p>
        </w:tc>
        <w:tc>
          <w:tcPr>
            <w:tcW w:w="90" w:type="dxa"/>
            <w:tcBorders/>
            <w:vAlign w:val="center"/>
          </w:tcPr>
          <w:p>
            <w:pPr>
              <w:pStyle w:val="TableContents"/>
              <w:bidi w:val="0"/>
              <w:spacing w:before="0" w:after="283"/>
              <w:jc w:val="left"/>
              <w:rPr/>
            </w:pPr>
            <w:r>
              <w:rPr/>
              <w:t> </w:t>
            </w:r>
          </w:p>
        </w:tc>
        <w:tc>
          <w:tcPr>
            <w:tcW w:w="141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Unexerciseable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Expiration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135" w:type="dxa"/>
            <w:tcBorders/>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pPr>
            <w:r>
              <w:rPr/>
              <w:t>Thurman J. (T.J.) Rodgers</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12/3/2023</w:t>
            </w:r>
          </w:p>
        </w:tc>
        <w:tc>
          <w:tcPr>
            <w:tcW w:w="9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12/3/2024</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37,500</w:t>
            </w:r>
          </w:p>
        </w:tc>
        <w:tc>
          <w:tcPr>
            <w:tcW w:w="215" w:type="dxa"/>
            <w:tcBorders/>
            <w:shd w:fill="CCEEFF" w:val="cle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        </w:t>
            </w: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12/3/2023</w:t>
            </w:r>
          </w:p>
        </w:tc>
        <w:tc>
          <w:tcPr>
            <w:tcW w:w="9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12/3/2024</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79,101</w:t>
            </w:r>
          </w:p>
        </w:tc>
        <w:tc>
          <w:tcPr>
            <w:tcW w:w="215" w:type="dxa"/>
            <w:tcBorders/>
            <w:shd w:fill="CCEEFF" w:val="cle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77" w:type="dxa"/>
            <w:tcBorders/>
            <w:shd w:fill="CCEEFF" w:val="clear"/>
            <w:vAlign w:val="center"/>
          </w:tcPr>
          <w:p>
            <w:pPr>
              <w:pStyle w:val="TableContents"/>
              <w:bidi w:val="0"/>
              <w:spacing w:before="0" w:after="283"/>
              <w:jc w:val="right"/>
              <w:rPr/>
            </w:pPr>
            <w:r>
              <w:rPr/>
              <w:t>1.14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left"/>
              <w:rPr/>
            </w:pPr>
            <w:r>
              <w:rPr/>
              <w:t>Jeanne Nguyen</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10/14/2024</w:t>
            </w:r>
          </w:p>
        </w:tc>
        <w:tc>
          <w:tcPr>
            <w:tcW w:w="9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10/14/2024</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57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121,968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197,588</w:t>
            </w:r>
          </w:p>
        </w:tc>
        <w:tc>
          <w:tcPr>
            <w:tcW w:w="135" w:type="dxa"/>
            <w:tcBorders/>
            <w:vAlign w:val="center"/>
          </w:tcPr>
          <w:p>
            <w:pPr>
              <w:pStyle w:val="TableContents"/>
              <w:bidi w:val="0"/>
              <w:spacing w:before="0" w:after="283"/>
              <w:ind w:left="0" w:right="0" w:hanging="180"/>
              <w:jc w:val="left"/>
              <w:rPr/>
            </w:pPr>
            <w:r>
              <w:rPr/>
              <w:t> </w:t>
            </w:r>
          </w:p>
        </w:tc>
      </w:tr>
      <w:tr>
        <w:trPr/>
        <w:tc>
          <w:tcPr>
            <w:tcW w:w="935" w:type="dxa"/>
            <w:tcBorders/>
            <w:vAlign w:val="center"/>
          </w:tcPr>
          <w:p>
            <w:pPr>
              <w:pStyle w:val="TableContents"/>
              <w:bidi w:val="0"/>
              <w:spacing w:before="0" w:after="283"/>
              <w:jc w:val="left"/>
              <w:rPr/>
            </w:pPr>
            <w:r>
              <w:rPr/>
              <w:t>Daniel Foley</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6/11/2024</w:t>
            </w:r>
          </w:p>
        </w:tc>
        <w:tc>
          <w:tcPr>
            <w:tcW w:w="9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7/1/2025</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osition w:val="8"/>
                <w:sz w:val="19"/>
              </w:rPr>
            </w:pPr>
            <w:r>
              <w:rPr>
                <w:position w:val="8"/>
                <w:sz w:val="19"/>
              </w:rPr>
              <w:t>(3)</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577" w:type="dxa"/>
            <w:tcBorders/>
            <w:vAlign w:val="center"/>
          </w:tcPr>
          <w:p>
            <w:pPr>
              <w:pStyle w:val="TableContents"/>
              <w:bidi w:val="0"/>
              <w:spacing w:before="0" w:after="283"/>
              <w:jc w:val="right"/>
              <w:rPr/>
            </w:pPr>
            <w:r>
              <w:rPr/>
              <w:t>1.56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 awards were granted pursuant to the 2023 Plan. Market value is based on a share price of $1.62 at the close of business on December 26, 2025.</w:t>
            </w:r>
          </w:p>
        </w:tc>
      </w:tr>
    </w:tbl>
    <w:p>
      <w:pPr>
        <w:pStyle w:val="TextBody"/>
        <w:bidi w:val="0"/>
        <w:spacing w:before="0" w:after="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90"/>
        <w:gridCol w:w="86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total shares underlying the option award vested on the one-year anniversary of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the option award vested on July 1, 2025. As a result of Mr. Foley’s separation from the Company, no further portion of the options are exercisable and the unvested portions of the options expired.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Named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SunPower’s named executive officers is or was an at-will employee.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Thurman J. Rodgers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Jeanne Nguyen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Foley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 7, 2024, we entered into an executive employment agreement with Mr. Foley, which became effective on July 1, 2024 (the “</w:t>
      </w:r>
      <w:r>
        <w:rPr>
          <w:rFonts w:ascii="Times New Roman;Times;Serif" w:hAnsi="Times New Roman;Times;Serif"/>
          <w:b/>
          <w:i/>
          <w:caps w:val="false"/>
          <w:smallCaps w:val="false"/>
          <w:sz w:val="20"/>
        </w:rPr>
        <w:t>Foley Agreement</w:t>
      </w:r>
      <w:r>
        <w:rPr>
          <w:rFonts w:ascii="Times New Roman;Times;Serif" w:hAnsi="Times New Roman;Times;Serif"/>
          <w:b w:val="false"/>
          <w:i w:val="false"/>
          <w:caps w:val="false"/>
          <w:smallCaps w:val="false"/>
          <w:sz w:val="20"/>
        </w:rPr>
        <w:t>”).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pStyle w:val="TextBody"/>
        <w:bidi w:val="0"/>
        <w:spacing w:before="0" w:after="0"/>
        <w:jc w:val="left"/>
        <w:rPr>
          <w:caps w:val="false"/>
          <w:smallCaps w:val="false"/>
        </w:rPr>
      </w:pPr>
      <w:r>
        <w:rPr>
          <w:caps w:val="false"/>
          <w:smallCaps w:val="false"/>
        </w:rPr>
        <w:t> </w:t>
      </w:r>
    </w:p>
    <w:tbl>
      <w:tblPr>
        <w:tblW w:w="7689" w:type="dxa"/>
        <w:jc w:val="left"/>
        <w:tblInd w:w="0" w:type="dxa"/>
        <w:tblLayout w:type="fixed"/>
        <w:tblCellMar>
          <w:top w:w="0" w:type="dxa"/>
          <w:left w:w="0" w:type="dxa"/>
          <w:bottom w:w="0" w:type="dxa"/>
          <w:right w:w="0" w:type="dxa"/>
        </w:tblCellMar>
      </w:tblPr>
      <w:tblGrid>
        <w:gridCol w:w="2015"/>
        <w:gridCol w:w="90"/>
        <w:gridCol w:w="632"/>
        <w:gridCol w:w="467"/>
        <w:gridCol w:w="90"/>
        <w:gridCol w:w="90"/>
        <w:gridCol w:w="170"/>
        <w:gridCol w:w="1010"/>
        <w:gridCol w:w="275"/>
        <w:gridCol w:w="90"/>
        <w:gridCol w:w="300"/>
        <w:gridCol w:w="965"/>
        <w:gridCol w:w="90"/>
        <w:gridCol w:w="90"/>
        <w:gridCol w:w="170"/>
        <w:gridCol w:w="1010"/>
        <w:gridCol w:w="135"/>
      </w:tblGrid>
      <w:tr>
        <w:trPr/>
        <w:tc>
          <w:tcPr>
            <w:tcW w:w="2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Thurman J. Rodgers</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Adam Gishen</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167,091</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167,091</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Antonio R. Alvarez</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160,901</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160,901</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Chris Lundell</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156,776</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156,776</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Devin Whatley</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156,776</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156,776</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Ronald Pasek</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169,153</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169,153</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Tidjane Thiam</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160,077</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160,077</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William J. Anderson</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214,536</w:t>
            </w:r>
          </w:p>
        </w:tc>
        <w:tc>
          <w:tcPr>
            <w:tcW w:w="275" w:type="dxa"/>
            <w:tcBorders/>
            <w:vAlign w:val="center"/>
          </w:tcPr>
          <w:p>
            <w:pPr>
              <w:pStyle w:val="TableContents"/>
              <w:bidi w:val="0"/>
              <w:spacing w:before="0" w:after="283"/>
              <w:jc w:val="left"/>
              <w:rPr>
                <w:position w:val="8"/>
                <w:sz w:val="19"/>
              </w:rPr>
            </w:pPr>
            <w:r>
              <w:rPr>
                <w:position w:val="8"/>
                <w:sz w:val="19"/>
              </w:rPr>
              <w:t>(1)</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214,536</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Lothar Maier</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367,185</w:t>
            </w:r>
          </w:p>
        </w:tc>
        <w:tc>
          <w:tcPr>
            <w:tcW w:w="275" w:type="dxa"/>
            <w:tcBorders/>
            <w:shd w:fill="CCEEFF" w:val="cle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367,185</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J. Daniel McCranie</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2,217,185</w:t>
            </w:r>
          </w:p>
        </w:tc>
        <w:tc>
          <w:tcPr>
            <w:tcW w:w="275" w:type="dxa"/>
            <w:tcBorders/>
            <w:vAlign w:val="center"/>
          </w:tcPr>
          <w:p>
            <w:pPr>
              <w:pStyle w:val="TableContents"/>
              <w:bidi w:val="0"/>
              <w:spacing w:before="0" w:after="283"/>
              <w:jc w:val="left"/>
              <w:rPr>
                <w:position w:val="8"/>
                <w:sz w:val="19"/>
              </w:rPr>
            </w:pPr>
            <w:r>
              <w:rPr>
                <w:position w:val="8"/>
                <w:sz w:val="19"/>
              </w:rPr>
              <w:t>(2)</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2,217,185</w:t>
            </w:r>
          </w:p>
        </w:tc>
        <w:tc>
          <w:tcPr>
            <w:tcW w:w="13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Jamie Haenggi</w:t>
            </w:r>
          </w:p>
        </w:tc>
        <w:tc>
          <w:tcPr>
            <w:tcW w:w="90"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Bernard Gutmann</w:t>
            </w:r>
          </w:p>
        </w:tc>
        <w:tc>
          <w:tcPr>
            <w:tcW w:w="90"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290"/>
        <w:gridCol w:w="62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shares underling the RSU award were fully vested on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243,169 shares under Mr. McCranie’s RSU awards were fully vested on the grant date. Mr. McCranie received a onetime grant of 1,000,000 RSUs in 2025 that vest in equal monthly installments over five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Times;Serif" w:hAnsi="Times New Roman;Times;Serif"/>
          <w:b/>
          <w:i/>
          <w:caps w:val="false"/>
          <w:smallCaps w:val="false"/>
          <w:sz w:val="20"/>
        </w:rPr>
        <w:t>2023 Plan</w:t>
      </w:r>
      <w:r>
        <w:rPr>
          <w:rFonts w:ascii="Times New Roman;Times;Serif" w:hAnsi="Times New Roman;Times;Serif"/>
          <w:b w:val="false"/>
          <w:i w:val="false"/>
          <w:caps w:val="false"/>
          <w:smallCaps w:val="false"/>
          <w:sz w:val="20"/>
        </w:rPr>
        <w:t>”) and the Employee Stock Purchase Plan (the “</w:t>
      </w:r>
      <w:r>
        <w:rPr>
          <w:rFonts w:ascii="Times New Roman;Times;Serif" w:hAnsi="Times New Roman;Times;Serif"/>
          <w:b/>
          <w:i/>
          <w:caps w:val="false"/>
          <w:smallCaps w:val="false"/>
          <w:sz w:val="20"/>
        </w:rPr>
        <w:t>ESPP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2023 Plan and the ESPP became effective immediately upon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2023 Plan, the ESPP, Complete Solaria’s 2022 Stock Plan (the “</w:t>
      </w:r>
      <w:r>
        <w:rPr>
          <w:rFonts w:ascii="Times New Roman;Times;Serif" w:hAnsi="Times New Roman;Times;Serif"/>
          <w:b/>
          <w:i/>
          <w:caps w:val="false"/>
          <w:smallCaps w:val="false"/>
          <w:sz w:val="20"/>
        </w:rPr>
        <w:t>2022 Plan</w:t>
      </w:r>
      <w:r>
        <w:rPr>
          <w:rFonts w:ascii="Times New Roman;Times;Serif" w:hAnsi="Times New Roman;Times;Serif"/>
          <w:b w:val="false"/>
          <w:i w:val="false"/>
          <w:caps w:val="false"/>
          <w:smallCaps w:val="false"/>
          <w:sz w:val="20"/>
        </w:rPr>
        <w:t>”), Complete Solaria’s 2011 Stock Plan (the “</w:t>
      </w:r>
      <w:r>
        <w:rPr>
          <w:rFonts w:ascii="Times New Roman;Times;Serif" w:hAnsi="Times New Roman;Times;Serif"/>
          <w:b/>
          <w:i/>
          <w:caps w:val="false"/>
          <w:smallCaps w:val="false"/>
          <w:sz w:val="20"/>
        </w:rPr>
        <w:t>2011 Plan</w:t>
      </w:r>
      <w:r>
        <w:rPr>
          <w:rFonts w:ascii="Times New Roman;Times;Serif" w:hAnsi="Times New Roman;Times;Serif"/>
          <w:b w:val="false"/>
          <w:i w:val="false"/>
          <w:caps w:val="false"/>
          <w:smallCaps w:val="false"/>
          <w:sz w:val="20"/>
        </w:rPr>
        <w:t>”), Complete Solaria’s 2016 Stock Plan (the “</w:t>
      </w:r>
      <w:r>
        <w:rPr>
          <w:rFonts w:ascii="Times New Roman;Times;Serif" w:hAnsi="Times New Roman;Times;Serif"/>
          <w:b/>
          <w:i/>
          <w:caps w:val="false"/>
          <w:smallCaps w:val="false"/>
          <w:sz w:val="20"/>
        </w:rPr>
        <w:t>2016 Plan</w:t>
      </w:r>
      <w:r>
        <w:rPr>
          <w:rFonts w:ascii="Times New Roman;Times;Serif" w:hAnsi="Times New Roman;Times;Serif"/>
          <w:b w:val="false"/>
          <w:i w:val="false"/>
          <w:caps w:val="false"/>
          <w:smallCaps w:val="false"/>
          <w:sz w:val="20"/>
        </w:rPr>
        <w:t>”) and Complete Solaria’s 2006 Stock Plan (the “</w:t>
      </w:r>
      <w:r>
        <w:rPr>
          <w:rFonts w:ascii="Times New Roman;Times;Serif" w:hAnsi="Times New Roman;Times;Serif"/>
          <w:b/>
          <w:i/>
          <w:caps w:val="false"/>
          <w:smallCaps w:val="false"/>
          <w:sz w:val="20"/>
        </w:rPr>
        <w:t>2006 Plan</w:t>
      </w:r>
      <w:r>
        <w:rPr>
          <w:rFonts w:ascii="Times New Roman;Times;Serif" w:hAnsi="Times New Roman;Times;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Times;Serif" w:hAnsi="Times New Roman;Times;Serif"/>
          <w:b/>
          <w:i/>
          <w:caps w:val="false"/>
          <w:smallCaps w:val="false"/>
          <w:sz w:val="20"/>
        </w:rPr>
        <w:t>Prior Transaction</w:t>
      </w:r>
      <w:r>
        <w:rPr>
          <w:rFonts w:ascii="Times New Roman;Times;Serif" w:hAnsi="Times New Roman;Times;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Times;Serif" w:hAnsi="Times New Roman;Times;Serif"/>
          <w:b/>
          <w:i/>
          <w:caps w:val="false"/>
          <w:smallCaps w:val="false"/>
          <w:sz w:val="20"/>
        </w:rPr>
        <w:t>Legacy Plans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and the 2006 Plan are the stock plans of Solaria that were assumed by Complete Solaria (n/k/a SunPower) in the Prior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2023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Times;Serif" w:hAnsi="Times New Roman;Times;Serif"/>
          <w:b/>
          <w:i/>
          <w:caps w:val="false"/>
          <w:smallCaps w:val="false"/>
          <w:sz w:val="20"/>
        </w:rPr>
        <w:t>NSOs</w:t>
      </w:r>
      <w:r>
        <w:rPr>
          <w:rFonts w:ascii="Times New Roman;Times;Serif" w:hAnsi="Times New Roman;Times;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 Awards</w:t>
      </w:r>
      <w:r>
        <w:rPr>
          <w:rFonts w:ascii="Times New Roman;Times;Serif" w:hAnsi="Times New Roman;Times;Serif"/>
          <w:b w:val="false"/>
          <w:i w:val="false"/>
          <w:caps w:val="false"/>
          <w:smallCaps w:val="false"/>
          <w:sz w:val="20"/>
        </w:rPr>
        <w:t>. 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 Solaria 2023 Employee Stock Purchase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The ESPP became effective immediately upon the Closing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administers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Limitations. </w:t>
      </w:r>
      <w:r>
        <w:rPr>
          <w:rFonts w:ascii="Times New Roman;Times;Serif" w:hAnsi="Times New Roman;Times;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Payroll Deductions. </w:t>
      </w:r>
      <w:r>
        <w:rPr>
          <w:rFonts w:ascii="Times New Roman;Times;Serif" w:hAnsi="Times New Roman;Times;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Withdrawal. </w:t>
      </w:r>
      <w:r>
        <w:rPr>
          <w:rFonts w:ascii="Times New Roman;Times;Serif" w:hAnsi="Times New Roman;Times;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of Employment. </w:t>
      </w:r>
      <w:r>
        <w:rPr>
          <w:rFonts w:ascii="Times New Roman;Times;Serif" w:hAnsi="Times New Roman;Times;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2022 Stock Plan. </w:t>
      </w:r>
      <w:r>
        <w:rPr>
          <w:rFonts w:ascii="Times New Roman;Times;Serif" w:hAnsi="Times New Roman;Times;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Awards. </w:t>
      </w:r>
      <w:r>
        <w:rPr>
          <w:rFonts w:ascii="Times New Roman;Times;Serif" w:hAnsi="Times New Roman;Times;Serif"/>
          <w:b w:val="false"/>
          <w:i w:val="false"/>
          <w:caps w:val="false"/>
          <w:smallCaps w:val="false"/>
          <w:sz w:val="20"/>
        </w:rPr>
        <w:t>The 2022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and nonstatutory stock options to purchase shares of the Company’s common stock and restricted stock awards (collectively, “</w:t>
      </w: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 Limitations on Incentive Stock Options. </w:t>
      </w:r>
      <w:r>
        <w:rPr>
          <w:rFonts w:ascii="Times New Roman;Times;Serif" w:hAnsi="Times New Roman;Times;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 Limit. </w:t>
      </w:r>
      <w:r>
        <w:rPr>
          <w:rFonts w:ascii="Times New Roman;Times;Serif" w:hAnsi="Times New Roman;Times;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Awards. </w:t>
      </w:r>
      <w:r>
        <w:rPr>
          <w:rFonts w:ascii="Times New Roman;Times;Serif" w:hAnsi="Times New Roman;Times;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2011 Stock Plan. </w:t>
      </w:r>
      <w:r>
        <w:rPr>
          <w:rFonts w:ascii="Times New Roman;Times;Serif" w:hAnsi="Times New Roman;Times;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of the Board of Directors administers the 2011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2016 Plan. </w:t>
      </w:r>
      <w:r>
        <w:rPr>
          <w:rFonts w:ascii="Times New Roman;Times;Serif" w:hAnsi="Times New Roman;Times;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2016 Plan and the awards granted under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2006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2006 Plan. </w:t>
      </w:r>
      <w:r>
        <w:rPr>
          <w:rFonts w:ascii="Times New Roman;Times;Serif" w:hAnsi="Times New Roman;Times;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2006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Certain Relationships and Related Party Transactions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arrangements for our directors and executive officers, which are described in the section titled “Executive Compensation,” below is a description of transactions since December 30, 2024, the beginning of fiscal year 2025, to which we were a party, in which: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capital stock, or any member of the immediate family of, or person sharing the household with, the foregoing persons, had or will have a direct or indirect material interest.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Indebtedness Payable to the Rodgers Massey Revocable Living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Notes Issued to Affiliates of Thurman J. Rodgers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SunPower issued a convertible promissory note in the original principal amount of $3,300,000 (the “</w:t>
      </w:r>
      <w:r>
        <w:rPr>
          <w:rFonts w:ascii="Times New Roman;Times;Serif" w:hAnsi="Times New Roman;Times;Serif"/>
          <w:b/>
          <w:i w:val="false"/>
          <w:caps w:val="false"/>
          <w:smallCaps w:val="false"/>
          <w:sz w:val="20"/>
        </w:rPr>
        <w:t>January 2026 Note</w:t>
      </w:r>
      <w:r>
        <w:rPr>
          <w:rFonts w:ascii="Times New Roman;Times;Serif" w:hAnsi="Times New Roman;Times;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SunPower issued a convertible promissory note in the original principal amount of $2,000,000 (the “</w:t>
      </w:r>
      <w:r>
        <w:rPr>
          <w:rFonts w:ascii="Times New Roman;Times;Serif" w:hAnsi="Times New Roman;Times;Serif"/>
          <w:b/>
          <w:i w:val="false"/>
          <w:caps w:val="false"/>
          <w:smallCaps w:val="false"/>
          <w:sz w:val="20"/>
        </w:rPr>
        <w:t>November 2025 Note</w:t>
      </w:r>
      <w:r>
        <w:rPr>
          <w:rFonts w:ascii="Times New Roman;Times;Serif" w:hAnsi="Times New Roman;Times;Serif"/>
          <w:b w:val="false"/>
          <w:i w:val="false"/>
          <w:caps w:val="false"/>
          <w:smallCaps w:val="false"/>
          <w:sz w:val="20"/>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issued a convertible promissory note in the original principal amount of $5,000,000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Note Purchase Agreements and the Exchange Agreement (together the “</w:t>
      </w:r>
      <w:r>
        <w:rPr>
          <w:rFonts w:ascii="Times New Roman;Times;Serif" w:hAnsi="Times New Roman;Times;Serif"/>
          <w:b/>
          <w:i w:val="false"/>
          <w:caps w:val="false"/>
          <w:smallCaps w:val="false"/>
          <w:sz w:val="20"/>
        </w:rPr>
        <w:t>July 2024 Purchase Agreement</w:t>
      </w:r>
      <w:r>
        <w:rPr>
          <w:rFonts w:ascii="Times New Roman;Times;Serif" w:hAnsi="Times New Roman;Times;Serif"/>
          <w:b w:val="false"/>
          <w:i w:val="false"/>
          <w:caps w:val="false"/>
          <w:smallCaps w:val="false"/>
          <w:sz w:val="20"/>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Senior Unsecured Convertible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note purchase agreements with certain accredited investors and qualified institutional buyers relating to the sale and issuance of our 7.0% senior unsecured convertible notes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Convertible Senior Secured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including $6,000,000 principal amount of Notes issuable to entities affiliated with Mr. Rodgers, the Company’s Chief Executive Officer and Chairman pursuant to Note Purchase Agreements executed between the Company and such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10% Notes pursuant to the terms and conditions of an Indenture (the “</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Notes are fully and unconditionally guaranteed by Complete Solar, Inc., a Delaware corporation and a wholly owned subsidiary of the Company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subject to the terms of the Secured Notes Indenture. The 10% Notes and related guarantees are secured by first-priority liens on substantially all of the assets of the Company and the Guarantor,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“Third SAFE”) with a trust affiliated with Thurman J. Rodgers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SameDay Solar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Times;Serif" w:hAnsi="Times New Roman;Times;Serif"/>
          <w:b w:val="false"/>
          <w:i/>
          <w:caps w:val="false"/>
          <w:smallCaps w:val="false"/>
          <w:sz w:val="20"/>
        </w:rPr>
        <w:t>Employment Arrangements with Named Executive Officers.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Directors and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its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960" w:right="0" w:hanging="48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05"/>
        <w:gridCol w:w="200"/>
        <w:gridCol w:w="4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of the related person’s interest in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05"/>
        <w:gridCol w:w="200"/>
        <w:gridCol w:w="33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and terms of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recommendation with respect to the proposed related person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960" w:right="0" w:hanging="48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is on terms comparable to those that could be obtained in an arm’s length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will approve only those transactions that it determines are fair to us and in the Company’s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Stockholders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Common Stock as of June 29, 2026, by:</w:t>
      </w:r>
    </w:p>
    <w:p>
      <w:pPr>
        <w:pStyle w:val="TextBody"/>
        <w:bidi w:val="0"/>
        <w:spacing w:before="0" w:after="0"/>
        <w:ind w:left="960" w:right="0" w:hanging="48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5"/>
        <w:gridCol w:w="200"/>
        <w:gridCol w:w="9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 the beneficial owner of more than 5% of the outstanding shares of our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105"/>
        <w:gridCol w:w="200"/>
        <w:gridCol w:w="18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05"/>
        <w:gridCol w:w="200"/>
        <w:gridCol w:w="2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150,283,214 shares of Common Stock outstanding as of June 22, 2026, adjusted as required by rules promulgated by the SEC.</w:t>
      </w:r>
    </w:p>
    <w:p>
      <w:pPr>
        <w:pStyle w:val="TextBody"/>
        <w:bidi w:val="0"/>
        <w:spacing w:before="0" w:after="0"/>
        <w:jc w:val="both"/>
        <w:rPr>
          <w:caps w:val="false"/>
          <w:smallCaps w:val="false"/>
        </w:rPr>
      </w:pPr>
      <w:r>
        <w:rPr>
          <w:caps w:val="false"/>
          <w:smallCaps w:val="false"/>
        </w:rPr>
        <w:t> </w:t>
      </w:r>
    </w:p>
    <w:tbl>
      <w:tblPr>
        <w:tblW w:w="8554" w:type="dxa"/>
        <w:jc w:val="left"/>
        <w:tblInd w:w="0" w:type="dxa"/>
        <w:tblLayout w:type="fixed"/>
        <w:tblCellMar>
          <w:top w:w="0" w:type="dxa"/>
          <w:left w:w="0" w:type="dxa"/>
          <w:bottom w:w="28" w:type="dxa"/>
          <w:right w:w="0" w:type="dxa"/>
        </w:tblCellMar>
      </w:tblPr>
      <w:tblGrid>
        <w:gridCol w:w="5615"/>
        <w:gridCol w:w="90"/>
        <w:gridCol w:w="90"/>
        <w:gridCol w:w="980"/>
        <w:gridCol w:w="90"/>
        <w:gridCol w:w="90"/>
        <w:gridCol w:w="240"/>
        <w:gridCol w:w="1099"/>
        <w:gridCol w:w="260"/>
      </w:tblGrid>
      <w:tr>
        <w:trPr/>
        <w:tc>
          <w:tcPr>
            <w:tcW w:w="56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 or Greater Stockholders:</w:t>
            </w:r>
          </w:p>
        </w:tc>
        <w:tc>
          <w:tcPr>
            <w:tcW w:w="9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9" w:type="dxa"/>
            <w:gridSpan w:val="2"/>
            <w:tcBorders/>
            <w:tcMar>
              <w:bottom w:w="0" w:type="dxa"/>
            </w:tcMar>
            <w:vAlign w:val="center"/>
          </w:tcPr>
          <w:p>
            <w:pPr>
              <w:pStyle w:val="TableContents"/>
              <w:bidi w:val="0"/>
              <w:spacing w:before="0" w:after="283"/>
              <w:jc w:val="right"/>
              <w:rPr/>
            </w:pPr>
            <w:r>
              <w:rPr/>
              <w:t> </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Integrity Fund II, L.P.</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8,399,653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 Rodgers</w:t>
            </w:r>
            <w:r>
              <w:rPr>
                <w:rFonts w:ascii="Times New Roman;Times;Serif" w:hAnsi="Times New Roman;Times;Serif"/>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52,224,701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2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w:t>
            </w: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17,857,902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Alyeska Investment Group, L.P.</w:t>
            </w:r>
            <w:r>
              <w:rPr>
                <w:rFonts w:ascii="Times New Roman;Times;Serif" w:hAnsi="Times New Roman;Times;Serif"/>
                <w:position w:val="7"/>
                <w:sz w:val="16"/>
                <w:sz w:val="20"/>
              </w:rPr>
              <w:t>(5)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2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 and Incumbent Directors and Director Nominees: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pPr>
            <w:r>
              <w:rPr/>
              <w:t> </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J.(T.J.) Rodgers</w:t>
            </w: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52,224,701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r>
              <w:rPr>
                <w:rFonts w:ascii="Times New Roman;Times;Serif" w:hAnsi="Times New Roman;Times;Serif"/>
                <w:position w:val="7"/>
                <w:sz w:val="16"/>
                <w:sz w:val="20"/>
              </w:rPr>
              <w:t>(8)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2,953,083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r>
              <w:rPr>
                <w:rFonts w:ascii="Times New Roman;Times;Serif" w:hAnsi="Times New Roman;Times;Serif"/>
                <w:position w:val="7"/>
                <w:sz w:val="16"/>
                <w:sz w:val="20"/>
              </w:rPr>
              <w:t>(9)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r>
              <w:rPr>
                <w:rFonts w:ascii="Times New Roman;Times;Serif" w:hAnsi="Times New Roman;Times;Serif"/>
                <w:position w:val="7"/>
                <w:sz w:val="16"/>
                <w:sz w:val="20"/>
              </w:rPr>
              <w:t>(10)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77,441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8,591,602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r>
              <w:rPr>
                <w:rFonts w:ascii="Times New Roman;Times;Serif" w:hAnsi="Times New Roman;Times;Serif"/>
                <w:position w:val="7"/>
                <w:sz w:val="16"/>
                <w:sz w:val="20"/>
              </w:rPr>
              <w:t>(11)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292,825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r>
              <w:rPr>
                <w:rFonts w:ascii="Times New Roman;Times;Serif" w:hAnsi="Times New Roman;Times;Serif"/>
                <w:position w:val="7"/>
                <w:sz w:val="16"/>
                <w:sz w:val="20"/>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864,686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r>
              <w:rPr>
                <w:rFonts w:ascii="Times New Roman;Times;Serif" w:hAnsi="Times New Roman;Times;Serif"/>
                <w:position w:val="7"/>
                <w:sz w:val="16"/>
                <w:sz w:val="20"/>
              </w:rPr>
              <w:t>(13)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225,459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r>
              <w:rPr>
                <w:rFonts w:ascii="Times New Roman;Times;Serif" w:hAnsi="Times New Roman;Times;Serif"/>
                <w:position w:val="7"/>
                <w:sz w:val="16"/>
                <w:sz w:val="20"/>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396,714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r>
              <w:rPr>
                <w:rFonts w:ascii="Times New Roman;Times;Serif" w:hAnsi="Times New Roman;Times;Serif"/>
                <w:position w:val="7"/>
                <w:sz w:val="16"/>
                <w:sz w:val="20"/>
              </w:rPr>
              <w:t>(15)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243,169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r>
              <w:rPr>
                <w:rFonts w:ascii="Times New Roman;Times;Serif" w:hAnsi="Times New Roman;Times;Serif"/>
                <w:position w:val="7"/>
                <w:sz w:val="16"/>
                <w:sz w:val="20"/>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1,681,765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Haenggi</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56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r>
              <w:rPr>
                <w:rFonts w:ascii="Times New Roman;Times;Serif" w:hAnsi="Times New Roman;Times;Serif"/>
                <w:position w:val="7"/>
                <w:sz w:val="16"/>
                <w:sz w:val="20"/>
              </w:rPr>
              <w:t>(16)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10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tcMar>
              <w:bottom w:w="0" w:type="dxa"/>
            </w:tcMar>
            <w:vAlign w:val="center"/>
          </w:tcPr>
          <w:p>
            <w:pPr>
              <w:pStyle w:val="TableContents"/>
              <w:bidi w:val="0"/>
              <w:spacing w:before="0" w:after="283"/>
              <w:jc w:val="left"/>
              <w:rPr/>
            </w:pPr>
            <w:r>
              <w:rPr/>
              <w:t> </w:t>
            </w:r>
          </w:p>
        </w:tc>
      </w:tr>
      <w:tr>
        <w:trPr/>
        <w:tc>
          <w:tcPr>
            <w:tcW w:w="56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as a group (14 persons)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67,866,486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109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70"/>
        <w:gridCol w:w="189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directors and executive officers of the Company listed in the table is c/o SunPower Inc., 1403 N. Research Way, Orem, UT 84097.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5,832,054 shares held by Ecosystem Integrity Fund II, L.P., of which Mr. Devin Whatley is the managing member of the general partner, (ii) 198,346 shares held by EIF CS SPV LLC, and (iii) 2,369,253 shares issuable pursuant to warrants exercisable within 60 days of May 15,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June 22, 2026, and (viii) 116,601 shares issuable pursuant to stock options and restricted stock units exercisable or settleable within 60 days of June 22,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290"/>
        <w:gridCol w:w="131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310" w:type="dxa"/>
            <w:tcBorders/>
            <w:vAlign w:val="center"/>
          </w:tcPr>
          <w:p>
            <w:pPr>
              <w:pStyle w:val="TableContents"/>
              <w:bidi w:val="0"/>
              <w:spacing w:before="0" w:after="283"/>
              <w:jc w:val="both"/>
              <w:rPr/>
            </w:pPr>
            <w:r>
              <w:rPr/>
              <w:t>[Reserved].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90"/>
        <w:gridCol w:w="11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405,090 shares of common stock, (ii) 671,738 shares of common stock issued or issuable upon settlement of restricted stock units, (iii) 1,735,068 shares issuable pursuant to stock options exercisable within 60 days of June 22, 2026, and (iv) 141,187 shares issuable pursuant to warrants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106,577 shares of common stock issued or issuable upon settlement of restricted stock units and (ii)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395"/>
        <w:gridCol w:w="342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77,441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80,245 shares of common stock and 106,011 shares of common stock issued or issuable upon settlement of restricted stock units, (ii) 12,117 shares issuable pursuant to warrants exercisable within 60 days of June 22, 2026, and (iii)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174,515 shares of common stock and 110,656 shares of common stock issued or issuable upon settlement of restricted stock units, (ii) 480,000 shares issuable pursuant to warrants exercisable within 60 days of June 22, 2026, and (iii) 99,515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112,022 shares of common stock issued or issuable upon settlement of restricted stock units and (ii) 113,437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103,825 shares of common stock issued or issuable upon settlement of restricted stock units and (ii) 292,889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395"/>
        <w:gridCol w:w="828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243,169 shares of common stock issued or issuable upon settlement of restricted stock units.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395"/>
        <w:gridCol w:w="828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114,012 shares of common stock issued or issuable upon settlement of restricted stock units.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any or all of the shares of common stock being offered for resale by this prospectus, which consists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6,666,666 shares of common stock previously issued by us pursuant to the Sunder Purchase Agreement and the Sunder Amendment, in connection with our acquisition of Sunder,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1,805,705 shares of common stock previously issued by us pursuant to the Cobalt Purchase Agreement in connection with the acquisition of Cobalt,</w:t>
            </w:r>
          </w:p>
        </w:tc>
      </w:tr>
    </w:tbl>
    <w:p>
      <w:pPr>
        <w:pStyle w:val="TextBody"/>
        <w:bidi w:val="0"/>
        <w:spacing w:before="0" w:after="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200"/>
        <w:gridCol w:w="8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380,000 shares of common stock that are issuable upon the exercise of the Ayna 2026 Warrant; and</w:t>
            </w:r>
          </w:p>
        </w:tc>
      </w:tr>
    </w:tbl>
    <w:p>
      <w:pPr>
        <w:pStyle w:val="TextBody"/>
        <w:bidi w:val="0"/>
        <w:spacing w:before="0" w:after="0"/>
        <w:ind w:left="0" w:right="0" w:firstLine="36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68"/>
        <w:gridCol w:w="20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4,424,779 shares of common stock issuable upon conversion of our 10.0% Notes.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10.0% Notes may not convert such 10.0% Notes if such holder, together with its affiliates, would beneficially own more than 9.99% (or, if elected by the holder, an amount lesser than or equal to 9.99%) of the number of shares of common stock outstanding immediately after giving effect to such conversion (the “Beneficial Ownership Limitation”). Unless otherwise noted below, the table below does not give effect to the applicable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Securityholders have voting and investment power. The percentage of shares of common stock beneficially owned by the Selling Securityholders prior to the offering shown in the table below is based on an aggregate of 150,283,214 shares of our common stock outstanding on June 22, 2026. The fourth column assumes the sale of all of the shares offered by the Selling Securityholders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business address of each of the Selling Securityholders is 1403 N. Research Way, Orem, UT 84097.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6"/>
        <w:gridCol w:w="90"/>
        <w:gridCol w:w="99"/>
        <w:gridCol w:w="1246"/>
        <w:gridCol w:w="99"/>
        <w:gridCol w:w="145"/>
        <w:gridCol w:w="669"/>
        <w:gridCol w:w="245"/>
        <w:gridCol w:w="90"/>
        <w:gridCol w:w="276"/>
        <w:gridCol w:w="2597"/>
        <w:gridCol w:w="90"/>
        <w:gridCol w:w="90"/>
        <w:gridCol w:w="97"/>
        <w:gridCol w:w="1074"/>
        <w:gridCol w:w="97"/>
        <w:gridCol w:w="97"/>
        <w:gridCol w:w="161"/>
        <w:gridCol w:w="630"/>
        <w:gridCol w:w="297"/>
      </w:tblGrid>
      <w:tr>
        <w:trPr/>
        <w:tc>
          <w:tcPr>
            <w:tcW w:w="20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58" w:type="dxa"/>
            <w:gridSpan w:val="5"/>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Shares of </w:t>
              <w:br/>
              <w:t>Common Stock</w:t>
              <w:br/>
              <w:t>Owned Prior to Offering</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73" w:type="dxa"/>
            <w:gridSpan w:val="2"/>
            <w:tcBorders/>
            <w:vAlign w:val="center"/>
          </w:tcPr>
          <w:p>
            <w:pPr>
              <w:pStyle w:val="TableContents"/>
              <w:bidi w:val="0"/>
              <w:spacing w:before="0" w:after="283"/>
              <w:jc w:val="center"/>
              <w:rPr>
                <w:b/>
              </w:rPr>
            </w:pPr>
            <w:r>
              <w:rPr>
                <w:b/>
              </w:rPr>
              <w:t>Maximum Number of Shares of Common Stock to be Offered Pursuant to this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Shares of </w:t>
              <w:br/>
              <w:t xml:space="preserve">Common Stock </w:t>
              <w:br/>
              <w:t>Owned After Offering</w:t>
            </w:r>
          </w:p>
        </w:tc>
        <w:tc>
          <w:tcPr>
            <w:tcW w:w="297" w:type="dxa"/>
            <w:tcBorders/>
            <w:vAlign w:val="center"/>
          </w:tcPr>
          <w:p>
            <w:pPr>
              <w:pStyle w:val="TableContents"/>
              <w:bidi w:val="0"/>
              <w:spacing w:before="0" w:after="283"/>
              <w:jc w:val="center"/>
              <w:rPr/>
            </w:pPr>
            <w:r>
              <w:rPr/>
              <w:t> </w:t>
            </w:r>
          </w:p>
        </w:tc>
      </w:tr>
      <w:tr>
        <w:trPr/>
        <w:tc>
          <w:tcPr>
            <w:tcW w:w="2016" w:type="dxa"/>
            <w:tcBorders>
              <w:bottom w:val="single" w:sz="12" w:space="0" w:color="000000"/>
            </w:tcBorders>
            <w:tcMar>
              <w:bottom w:w="28" w:type="dxa"/>
            </w:tcMar>
            <w:vAlign w:val="center"/>
          </w:tcPr>
          <w:p>
            <w:pPr>
              <w:pStyle w:val="TableContents"/>
              <w:bidi w:val="0"/>
              <w:spacing w:before="0" w:after="283"/>
              <w:jc w:val="left"/>
              <w:rPr>
                <w:b/>
              </w:rPr>
            </w:pPr>
            <w:r>
              <w:rPr>
                <w:b/>
              </w:rPr>
              <w:t>Name of Selling Securityholder</w:t>
            </w:r>
          </w:p>
        </w:tc>
        <w:tc>
          <w:tcPr>
            <w:tcW w:w="90" w:type="dxa"/>
            <w:tcBorders/>
            <w:vAlign w:val="center"/>
          </w:tcPr>
          <w:p>
            <w:pPr>
              <w:pStyle w:val="TableContents"/>
              <w:bidi w:val="0"/>
              <w:spacing w:before="0" w:after="283"/>
              <w:jc w:val="center"/>
              <w:rPr/>
            </w:pPr>
            <w:r>
              <w:rPr/>
              <w:t> </w:t>
            </w:r>
          </w:p>
        </w:tc>
        <w:tc>
          <w:tcPr>
            <w:tcW w:w="13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9" w:type="dxa"/>
            <w:tcBorders/>
            <w:vAlign w:val="center"/>
          </w:tcPr>
          <w:p>
            <w:pPr>
              <w:pStyle w:val="TableContents"/>
              <w:bidi w:val="0"/>
              <w:spacing w:before="0" w:after="283"/>
              <w:jc w:val="center"/>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r>
              <w:rPr>
                <w:rFonts w:ascii="Times New Roman;Times;Serif" w:hAnsi="Times New Roman;Times;Serif"/>
                <w:b/>
                <w:sz w:val="20"/>
              </w:rPr>
              <w:t xml:space="preserve">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Prospectus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w:t>
            </w:r>
            <w:r>
              <w:rPr>
                <w:rFonts w:ascii="Times New Roman;Times;Serif" w:hAnsi="Times New Roman;Times;Serif"/>
                <w:b/>
                <w:position w:val="7"/>
                <w:sz w:val="16"/>
                <w:sz w:val="20"/>
              </w:rPr>
              <w:t>(2)</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79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97" w:type="dxa"/>
            <w:tcBorders/>
            <w:vAlign w:val="center"/>
          </w:tcPr>
          <w:p>
            <w:pPr>
              <w:pStyle w:val="TableContents"/>
              <w:bidi w:val="0"/>
              <w:spacing w:before="0" w:after="283"/>
              <w:jc w:val="center"/>
              <w:rPr/>
            </w:pPr>
            <w:r>
              <w:rPr/>
              <w:t> </w:t>
            </w:r>
          </w:p>
        </w:tc>
      </w:tr>
      <w:tr>
        <w:trPr/>
        <w:tc>
          <w:tcPr>
            <w:tcW w:w="2016" w:type="dxa"/>
            <w:tcBorders/>
            <w:vAlign w:val="center"/>
          </w:tcPr>
          <w:p>
            <w:pPr>
              <w:pStyle w:val="TableContents"/>
              <w:bidi w:val="0"/>
              <w:spacing w:before="0" w:after="283"/>
              <w:jc w:val="left"/>
              <w:rPr>
                <w:b/>
              </w:rPr>
            </w:pPr>
            <w:r>
              <w:rPr>
                <w:b/>
              </w:rPr>
              <w:t>Acquisition Transaction Holders</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59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283"/>
              <w:jc w:val="left"/>
              <w:rPr/>
            </w:pPr>
            <w:r>
              <w:rPr/>
              <w:t>Chicken Parm Pizza LLC(3)</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17,857,902</w:t>
            </w:r>
          </w:p>
        </w:tc>
        <w:tc>
          <w:tcPr>
            <w:tcW w:w="9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2597" w:type="dxa"/>
            <w:tcBorders/>
            <w:shd w:fill="CCEEFF" w:val="clear"/>
            <w:vAlign w:val="center"/>
          </w:tcPr>
          <w:p>
            <w:pPr>
              <w:pStyle w:val="TableContents"/>
              <w:bidi w:val="0"/>
              <w:spacing w:before="0" w:after="283"/>
              <w:jc w:val="right"/>
              <w:rPr/>
            </w:pPr>
            <w:r>
              <w:rPr/>
              <w:t>6,666,666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11,191,236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right"/>
              <w:rPr/>
            </w:pPr>
            <w:r>
              <w:rPr/>
              <w:t>7.4</w:t>
            </w:r>
          </w:p>
        </w:tc>
        <w:tc>
          <w:tcPr>
            <w:tcW w:w="297" w:type="dxa"/>
            <w:tcBorders/>
            <w:shd w:fill="CCEEFF" w:val="clear"/>
            <w:vAlign w:val="center"/>
          </w:tcPr>
          <w:p>
            <w:pPr>
              <w:pStyle w:val="TableContents"/>
              <w:bidi w:val="0"/>
              <w:spacing w:before="0" w:after="283"/>
              <w:jc w:val="left"/>
              <w:rPr/>
            </w:pPr>
            <w:r>
              <w:rPr/>
              <w:t>%</w:t>
            </w:r>
          </w:p>
        </w:tc>
      </w:tr>
      <w:tr>
        <w:trPr/>
        <w:tc>
          <w:tcPr>
            <w:tcW w:w="2016" w:type="dxa"/>
            <w:tcBorders/>
            <w:vAlign w:val="center"/>
          </w:tcPr>
          <w:p>
            <w:pPr>
              <w:pStyle w:val="TableContents"/>
              <w:bidi w:val="0"/>
              <w:spacing w:before="0" w:after="283"/>
              <w:jc w:val="left"/>
              <w:rPr/>
            </w:pPr>
            <w:r>
              <w:rPr/>
              <w:t>John P. Bergh(4)</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1,354,270</w:t>
            </w:r>
          </w:p>
        </w:tc>
        <w:tc>
          <w:tcPr>
            <w:tcW w:w="99"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r>
              <w:rPr>
                <w:rFonts w:ascii="Times New Roman;Times;Serif" w:hAnsi="Times New Roman;Times;Serif"/>
                <w:sz w:val="20"/>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597" w:type="dxa"/>
            <w:tcBorders/>
            <w:vAlign w:val="center"/>
          </w:tcPr>
          <w:p>
            <w:pPr>
              <w:pStyle w:val="TableContents"/>
              <w:bidi w:val="0"/>
              <w:spacing w:before="0" w:after="283"/>
              <w:jc w:val="right"/>
              <w:rPr/>
            </w:pPr>
            <w:r>
              <w:rPr/>
              <w:t>1,354,270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283"/>
              <w:jc w:val="left"/>
              <w:rPr/>
            </w:pPr>
            <w:r>
              <w:rPr/>
              <w:t>Mary Ellen Foley-Bergh(5)</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451,426</w:t>
            </w:r>
          </w:p>
        </w:tc>
        <w:tc>
          <w:tcPr>
            <w:tcW w:w="9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2597" w:type="dxa"/>
            <w:tcBorders/>
            <w:shd w:fill="CCEEFF" w:val="clear"/>
            <w:vAlign w:val="center"/>
          </w:tcPr>
          <w:p>
            <w:pPr>
              <w:pStyle w:val="TableContents"/>
              <w:bidi w:val="0"/>
              <w:spacing w:before="0" w:after="283"/>
              <w:jc w:val="right"/>
              <w:rPr/>
            </w:pPr>
            <w:r>
              <w:rPr/>
              <w:t>451,426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shd w:fill="CCEEFF" w:val="clear"/>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pPr>
            <w:r>
              <w:rPr/>
              <w:t>Ayna.AI LLC(6)</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380,000</w:t>
            </w:r>
          </w:p>
        </w:tc>
        <w:tc>
          <w:tcPr>
            <w:tcW w:w="99"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r>
              <w:rPr>
                <w:rFonts w:ascii="Times New Roman;Times;Serif" w:hAnsi="Times New Roman;Times;Serif"/>
                <w:sz w:val="20"/>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597" w:type="dxa"/>
            <w:tcBorders/>
            <w:vAlign w:val="center"/>
          </w:tcPr>
          <w:p>
            <w:pPr>
              <w:pStyle w:val="TableContents"/>
              <w:bidi w:val="0"/>
              <w:spacing w:before="0" w:after="283"/>
              <w:jc w:val="right"/>
              <w:rPr/>
            </w:pPr>
            <w:r>
              <w:rPr/>
              <w:t>380,000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0</w:t>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283"/>
              <w:jc w:val="left"/>
              <w:rPr/>
            </w:pPr>
            <w:r>
              <w:rPr/>
              <w:t>Foris Ventures LLC(7)</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4,424,779 </w:t>
            </w:r>
          </w:p>
        </w:tc>
        <w:tc>
          <w:tcPr>
            <w:tcW w:w="9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25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4,424,779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p>
      <w:pPr>
        <w:pStyle w:val="TextBody"/>
        <w:bidi w:val="0"/>
        <w:spacing w:before="0" w:after="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90"/>
        <w:gridCol w:w="98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ownership is based on 150,283,214 shares of our common stock outstanding as of June 22, 2026.</w:t>
            </w:r>
          </w:p>
        </w:tc>
      </w:tr>
    </w:tbl>
    <w:p>
      <w:pPr>
        <w:pStyle w:val="TextBody"/>
        <w:bidi w:val="0"/>
        <w:spacing w:before="0" w:after="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90"/>
        <w:gridCol w:w="58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being offered pursuant to this prospectus.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 </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1,354,270 shares of common stock issued pursuant to the Cobalt Purchase Agreement. The business address for the selling security holder is 2557 Wyandotte Street, Mountain View, CA 94043.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 </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451,426 shares of common stock issued pursuant to the Cobalt Purchase Agreement. The business address for the selling security holder is 2557 Wyandotte Street, Mountain View, CA 94043.</w:t>
            </w:r>
          </w:p>
        </w:tc>
      </w:tr>
      <w:tr>
        <w:trPr/>
        <w:tc>
          <w:tcPr>
            <w:tcW w:w="29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380,000 shares of common stock issuable upon exercise of the Ayna 2026 Warrant. The business address for Ayna is 100 Century Center Court, Suite 205, San Jose, CA 95112.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(7) </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10.0% Notes held by Foris Ventures LLC. The business address of Foris Ventures LLC is 1180 San Carlos Ave., #717, San Carlos, CA 94070.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Description of Capital Stock</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SunPower’s securities does not purport to be complete and is subject to the Certificate of Incorporation, the Bylaws and the provisions of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June 22, 2026, there were 150,283,214 shares of common stock issued and outstanding and no preferred shares of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preemptive rights or other subscription rights and there are no sinking fund or redemption provisions applicable to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 and Related Common Stock Issued or Issuable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the Third SAFE with the Purchaser in connection with the Purchaser’s investment of $1,000,000.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Thurman J. Rodgers is a trustee of the Purchaser, the Executive Chairman of the SunPower Board, and the Chief Executive Officer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Purchase Agreements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Forward Purchase Agreements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Warrants are identical to the Private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SunPower may redeem the outstanding warrants (except as described herein with respect to the Private Warrants and Working Capital Warrants):</w:t>
      </w:r>
    </w:p>
    <w:p>
      <w:pPr>
        <w:pStyle w:val="TextBody"/>
        <w:bidi w:val="0"/>
        <w:spacing w:before="0" w:after="0"/>
        <w:ind w:left="0" w:right="0" w:firstLine="36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6"/>
        <w:gridCol w:w="90"/>
        <w:gridCol w:w="92"/>
        <w:gridCol w:w="608"/>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7"/>
        <w:gridCol w:w="90"/>
        <w:gridCol w:w="90"/>
        <w:gridCol w:w="93"/>
        <w:gridCol w:w="617"/>
        <w:gridCol w:w="90"/>
        <w:gridCol w:w="90"/>
        <w:gridCol w:w="92"/>
        <w:gridCol w:w="608"/>
        <w:gridCol w:w="139"/>
      </w:tblGrid>
      <w:tr>
        <w:trPr/>
        <w:tc>
          <w:tcPr>
            <w:tcW w:w="2166" w:type="dxa"/>
            <w:tcBorders/>
            <w:vAlign w:val="center"/>
          </w:tcPr>
          <w:p>
            <w:pPr>
              <w:pStyle w:val="TableContents"/>
              <w:bidi w:val="0"/>
              <w:spacing w:before="0" w:after="283"/>
              <w:jc w:val="left"/>
              <w:rPr>
                <w:b/>
              </w:rPr>
            </w:pPr>
            <w:r>
              <w:rPr>
                <w:b/>
              </w:rPr>
              <w:t>Redemption Date (period to expiration of</w:t>
            </w:r>
          </w:p>
        </w:tc>
        <w:tc>
          <w:tcPr>
            <w:tcW w:w="90" w:type="dxa"/>
            <w:tcBorders/>
            <w:vAlign w:val="center"/>
          </w:tcPr>
          <w:p>
            <w:pPr>
              <w:pStyle w:val="TableContents"/>
              <w:bidi w:val="0"/>
              <w:spacing w:before="0" w:after="283"/>
              <w:jc w:val="left"/>
              <w:rPr/>
            </w:pPr>
            <w:r>
              <w:rPr/>
              <w:t> </w:t>
            </w:r>
          </w:p>
        </w:tc>
        <w:tc>
          <w:tcPr>
            <w:tcW w:w="7810"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Fair Market Value of Common Stock</w:t>
            </w:r>
          </w:p>
        </w:tc>
        <w:tc>
          <w:tcPr>
            <w:tcW w:w="139" w:type="dxa"/>
            <w:tcBorders/>
            <w:vAlign w:val="center"/>
          </w:tcPr>
          <w:p>
            <w:pPr>
              <w:pStyle w:val="TableContents"/>
              <w:bidi w:val="0"/>
              <w:spacing w:before="0" w:after="283"/>
              <w:jc w:val="left"/>
              <w:rPr/>
            </w:pPr>
            <w:r>
              <w:rPr/>
              <w:t> </w:t>
            </w:r>
          </w:p>
        </w:tc>
      </w:tr>
      <w:tr>
        <w:trPr/>
        <w:tc>
          <w:tcPr>
            <w:tcW w:w="2166" w:type="dxa"/>
            <w:tcBorders>
              <w:bottom w:val="single" w:sz="12" w:space="0" w:color="000000"/>
            </w:tcBorders>
            <w:tcMar>
              <w:bottom w:w="28" w:type="dxa"/>
            </w:tcMar>
            <w:vAlign w:val="center"/>
          </w:tcPr>
          <w:p>
            <w:pPr>
              <w:pStyle w:val="TableContents"/>
              <w:bidi w:val="0"/>
              <w:spacing w:before="0" w:after="283"/>
              <w:jc w:val="left"/>
              <w:rPr>
                <w:b/>
              </w:rPr>
            </w:pPr>
            <w:r>
              <w:rPr>
                <w:b/>
              </w:rPr>
              <w:t>warrants)</w:t>
            </w:r>
          </w:p>
        </w:tc>
        <w:tc>
          <w:tcPr>
            <w:tcW w:w="9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$14.00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$16.00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$18.00</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60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57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0.257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54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51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48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0.241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45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42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0.228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39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36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33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0.205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30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27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24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0.173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21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0.161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18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15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0.130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12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9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0.090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6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0.065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0.099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r>
        <w:trPr/>
        <w:tc>
          <w:tcPr>
            <w:tcW w:w="2166" w:type="dxa"/>
            <w:tcBorders/>
            <w:vAlign w:val="center"/>
          </w:tcPr>
          <w:p>
            <w:pPr>
              <w:pStyle w:val="TableContents"/>
              <w:bidi w:val="0"/>
              <w:spacing w:before="0" w:after="283"/>
              <w:jc w:val="left"/>
              <w:rPr/>
            </w:pPr>
            <w:r>
              <w:rPr/>
              <w:t>3 months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0.034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0.065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0.326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0.361</w:t>
            </w:r>
          </w:p>
        </w:tc>
        <w:tc>
          <w:tcPr>
            <w:tcW w:w="139" w:type="dxa"/>
            <w:tcBorders/>
            <w:vAlign w:val="center"/>
          </w:tcPr>
          <w:p>
            <w:pPr>
              <w:pStyle w:val="TableContents"/>
              <w:bidi w:val="0"/>
              <w:spacing w:before="0" w:after="283"/>
              <w:jc w:val="left"/>
              <w:rPr/>
            </w:pPr>
            <w:r>
              <w:rPr/>
              <w:t> </w:t>
            </w:r>
          </w:p>
        </w:tc>
      </w:tr>
      <w:tr>
        <w:trPr/>
        <w:tc>
          <w:tcPr>
            <w:tcW w:w="2166" w:type="dxa"/>
            <w:tcBorders/>
            <w:shd w:fill="CCEEFF" w:val="clear"/>
            <w:vAlign w:val="center"/>
          </w:tcPr>
          <w:p>
            <w:pPr>
              <w:pStyle w:val="TableContents"/>
              <w:bidi w:val="0"/>
              <w:spacing w:before="0" w:after="283"/>
              <w:jc w:val="left"/>
              <w:rPr/>
            </w:pPr>
            <w:r>
              <w:rPr/>
              <w:t>0 months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0.042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0.281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0.323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0.361</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dated February 25, 2021 between us and our Transfer Agent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we agreed to register the shares issuable upon exercise of the Warrants following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we granted customary registration rights to the parties thereto, including to register for resale, pursuant to Rule 415 under the Securities Act, certain of our securities held by the parties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certain payees under certain of our outstanding indebtedness are entitled to certain registration rights relating to the Working Capital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Demand Registration Rights under Forward Purchase Agreements and PIPE Subscription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Ayna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to purchase up to 6,000,000 shares of common stock (the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Ayna 2026 Warrant, Ayna has demand and piggy-back registration rights with respect to the common stock issuable upon exercise of the Ayan 2026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Exchange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White Lion Transaction Registration Rights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the White Lion Purchase Agreement with White Lion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Yorkville Registration Rights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SEPA with Yorkville. In connection with the SEPA, we entered into the RRA with Yorkville providing for the resale of the shares purchased by Yorkville under the SEPA and the Commitment Shares and the Conversion Shares. On March 6, 2026, we entered into the March 2026 YA RRA with Yorkville providing for the resale of the shares of our common stock issuable upon the exercise of the YA Debenture.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Note Purchase Agreements for 7.00% Notes due 2029</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Note Purchase Agreements for 10.00% Convertible Senior Secured Notes due 2029; Registration Rights Under Exchange Agreements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Membership Interest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Governing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720" w:right="0" w:hanging="36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SunPower’s stockholders may be called by the chairperson of our Board, the chief executive officer or by our Board pursuant to a resolution adopted by a majority of the total number of authorized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our Board approved either the business combination or the transaction which resulted in the stockholder becoming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pStyle w:val="TextBody"/>
        <w:bidi w:val="0"/>
        <w:spacing w:before="0" w:after="0"/>
        <w:ind w:left="0" w:right="0" w:firstLine="36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5"/>
        <w:gridCol w:w="200"/>
        <w:gridCol w:w="5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SunPower’s behalf;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of breach of a fiduciary duty owed by any of SunPower’s directors, officers, or other employees to SunPower or our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arising out of or pursuant to any provision of the DGCL, the Certificate of Incorporation or the Bylaws;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Certificate of Incorporation or the Bylaws (including any right, obligation, or remedy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 to which the DGCL confers jurisdiction to the Court of Chancery of the State of Delaware;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under the symbols “SPWR” and “SPWRW,” respectively.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Material U.S. Federal Income Tax Consequences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05"/>
        <w:gridCol w:w="200"/>
        <w:gridCol w:w="7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Times;Serif" w:hAnsi="Times New Roman;Times;Serif"/>
          <w:b w:val="false"/>
          <w:i/>
          <w:caps w:val="false"/>
          <w:smallCaps w:val="false"/>
          <w:sz w:val="20"/>
        </w:rPr>
        <w:t>- Tax Considerations Applicable to U.S. Holders - Gain or Loss on Sale, Taxable Exchange or Other Taxable Disposition of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Taxable Exchange or Other Taxable Disposition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Expiration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Times;Serif" w:hAnsi="Times New Roman;Times;Serif"/>
          <w:b w:val="false"/>
          <w:i/>
          <w:caps w:val="false"/>
          <w:smallCaps w:val="false"/>
          <w:sz w:val="20"/>
        </w:rPr>
        <w:t>Tax Considerations Applicable to U.S. Holders - Possible Constructive Distributions</w:t>
      </w:r>
      <w:r>
        <w:rPr>
          <w:rFonts w:ascii="Times New Roman;Times;Serif" w:hAnsi="Times New Roman;Times;Serif"/>
          <w:b w:val="false"/>
          <w:i w:val="false"/>
          <w:caps w:val="false"/>
          <w:smallCaps w:val="false"/>
          <w:sz w:val="20"/>
        </w:rPr>
        <w:t>”). Such gain or loss generally will be treated as long-term capital gain or loss if the Warrant is held by the U.S. Holder for more than one year at the time of such disposition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Times;Serif" w:hAnsi="Times New Roman;Times;Serif"/>
          <w:b w:val="false"/>
          <w:i/>
          <w:caps w:val="false"/>
          <w:smallCaps w:val="false"/>
          <w:sz w:val="20"/>
        </w:rPr>
        <w:t>Tax Considerations Applicable to U.S. Holders - Taxation of Distributions</w:t>
      </w:r>
      <w:r>
        <w:rPr>
          <w:rFonts w:ascii="Times New Roman;Times;Serif" w:hAnsi="Times New Roman;Times;Serif"/>
          <w:b w:val="false"/>
          <w:i w:val="false"/>
          <w:caps w:val="false"/>
          <w:smallCaps w:val="false"/>
          <w:sz w:val="20"/>
        </w:rPr>
        <w:t>” in the same manner as if such 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Times;Serif" w:hAnsi="Times New Roman;Times;Serif"/>
          <w:b w:val="false"/>
          <w:i/>
          <w:caps w:val="false"/>
          <w:smallCaps w:val="false"/>
          <w:sz w:val="20"/>
        </w:rPr>
        <w:t>- Tax Considerations Applicable to Non-U.S. Holders - Possible Constructive Distributions</w:t>
      </w:r>
      <w:r>
        <w:rPr>
          <w:rFonts w:ascii="Times New Roman;Times;Serif" w:hAnsi="Times New Roman;Times;Serif"/>
          <w:b w:val="false"/>
          <w:i w:val="false"/>
          <w:caps w:val="false"/>
          <w:smallCaps w:val="false"/>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the section entitled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we will withhold 15% of any distribution that exceeds our current and accumulated earnings and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income tax treatment of a non-U.S. Holder’s exercise of a Warrant generally will correspond to the U.S. federal income tax treatment of the exercise of a Warrant by a U.S. Holder, as described under “ </w:t>
      </w:r>
      <w:r>
        <w:rPr>
          <w:rFonts w:ascii="Times New Roman;Times;Serif" w:hAnsi="Times New Roman;Times;Serif"/>
          <w:b w:val="false"/>
          <w:i/>
          <w:caps w:val="false"/>
          <w:smallCaps w:val="false"/>
          <w:sz w:val="20"/>
        </w:rPr>
        <w:t>- Tax Considerations Applicable to U.S. Holders - Exercise of a Warrant</w:t>
      </w:r>
      <w:r>
        <w:rPr>
          <w:rFonts w:ascii="Times New Roman;Times;Serif" w:hAnsi="Times New Roman;Times;Serif"/>
          <w:b w:val="false"/>
          <w:i w:val="false"/>
          <w:caps w:val="false"/>
          <w:smallCaps w:val="false"/>
          <w:sz w:val="20"/>
        </w:rPr>
        <w:t xml:space="preserve">” above, although to the extent a cashless exercise results in a taxable exchange, the tax consequences to the non-U.S. Holder would be the same as those described below in “ </w:t>
      </w:r>
      <w:r>
        <w:rPr>
          <w:rFonts w:ascii="Times New Roman;Times;Serif" w:hAnsi="Times New Roman;Times;Serif"/>
          <w:b w:val="false"/>
          <w:i/>
          <w:caps w:val="false"/>
          <w:smallCaps w:val="false"/>
          <w:sz w:val="20"/>
        </w:rPr>
        <w:t>- 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who is present in the United States for 183 days or more in the taxable year of disposition and certain other conditions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Tax Considerations Applicable to Non-U.S. Holders - Taxation of 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Plan of Distribution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Securityholders named in this prospectus, or their permitted transferees, of up to 13,277,150 shares of common stock, consisting of (i) 6,666,666 shares of common stock previously issued by us pursuant to the Sunder Purchase Agreement, (iii) 1,805,705 shares of common stock previously issued by us pursuant to the Cobalt Purchase Agreement, (iv) up to 380,000 shares of common stock issuable upon exercise of the Ayna 2026 Warrant, and (iii) up to 4,424,779 shares of common stock issuable upon conversion of the 10.0% Notes. The shares of common stock offered by this prospectus are being offered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of our common stock offered by this prospectus could be effected in one or more of the following methods:</w:t>
      </w:r>
    </w:p>
    <w:p>
      <w:pPr>
        <w:pStyle w:val="TextBody"/>
        <w:bidi w:val="0"/>
        <w:spacing w:before="0" w:after="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05"/>
        <w:gridCol w:w="200"/>
        <w:gridCol w:w="2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brokers’ transactions;</w:t>
            </w:r>
          </w:p>
        </w:tc>
      </w:tr>
    </w:tbl>
    <w:p>
      <w:pPr>
        <w:pStyle w:val="TextBody"/>
        <w:bidi w:val="0"/>
        <w:spacing w:before="0" w:after="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00"/>
        <w:gridCol w:w="3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involving cross or block trades;</w:t>
            </w:r>
          </w:p>
        </w:tc>
      </w:tr>
    </w:tbl>
    <w:p>
      <w:pPr>
        <w:pStyle w:val="TextBody"/>
        <w:bidi w:val="0"/>
        <w:spacing w:before="0" w:after="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105"/>
        <w:gridCol w:w="200"/>
        <w:gridCol w:w="5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brokers, dealers, or underwriters who may act solely as agents;</w:t>
            </w:r>
          </w:p>
        </w:tc>
      </w:tr>
    </w:tbl>
    <w:p>
      <w:pPr>
        <w:pStyle w:val="TextBody"/>
        <w:bidi w:val="0"/>
        <w:spacing w:before="0" w:after="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05"/>
        <w:gridCol w:w="200"/>
        <w:gridCol w:w="5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pPr>
            <w:r>
              <w:rPr/>
              <w:t>“</w:t>
            </w:r>
            <w:r>
              <w:rPr>
                <w:rFonts w:ascii="Times New Roman;Times;Serif" w:hAnsi="Times New Roman;Times;Serif"/>
                <w:sz w:val="20"/>
              </w:rPr>
              <w:t>at the market” into an existing market for our common stock;</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other ways not involving market makers or established business markets, including direct sales to purchasers or sales effected through agents;</w:t>
            </w:r>
          </w:p>
        </w:tc>
      </w:tr>
    </w:tbl>
    <w:p>
      <w:pPr>
        <w:pStyle w:val="TextBody"/>
        <w:bidi w:val="0"/>
        <w:spacing w:before="0" w:after="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05"/>
        <w:gridCol w:w="200"/>
        <w:gridCol w:w="3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privately negotiated transactions; or</w:t>
            </w:r>
          </w:p>
        </w:tc>
      </w:tr>
    </w:tbl>
    <w:p>
      <w:pPr>
        <w:pStyle w:val="TextBody"/>
        <w:bidi w:val="0"/>
        <w:spacing w:before="0" w:after="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00"/>
        <w:gridCol w:w="2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the foregoing.</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securities that qualify for sale pursuant to Rule 144 may be sold under Rule 144 rather than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w:t>
      </w:r>
      <w:r>
        <w:rPr>
          <w:rFonts w:ascii="Times New Roman;Times;Serif" w:hAnsi="Times New Roman;Times;Serif"/>
          <w:b w:val="false"/>
          <w:i/>
          <w:caps w:val="false"/>
          <w:smallCaps w:val="false"/>
          <w:sz w:val="20"/>
        </w:rPr>
        <w:t>pro rata </w:t>
      </w:r>
      <w:r>
        <w:rPr>
          <w:rFonts w:ascii="Times New Roman;Times;Serif" w:hAnsi="Times New Roman;Times;Serif"/>
          <w:b w:val="false"/>
          <w:i w:val="false"/>
          <w:caps w:val="false"/>
          <w:smallCaps w:val="false"/>
          <w:sz w:val="20"/>
        </w:rPr>
        <w:t>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any of the Selling Securityholders or any other stockholder, broker, dealer, underwriter or agent relating to the sale or distribution of the shares of our common stock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Securityholders, including the names of any brokers, dealers, underwriters or agents participating in the distribution of such shares by the Selling Securityholders, any compensation paid by the Selling Securityholders to any such brokers, dealers, underwriters or agents, and any other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Securityholders against certain liabilities, including liabilities under the Securities Act and state securities laws, relating to the registration of the Offered Securities by this prospectus.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“SPWR”.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Arnold &amp; Porter Kaye Scholer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Experts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Where You Can Find More Information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1"/>
        <w:gridCol w:w="90"/>
        <w:gridCol w:w="484"/>
      </w:tblGrid>
      <w:tr>
        <w:trPr/>
        <w:tc>
          <w:tcPr>
            <w:tcW w:w="963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1">
              <w:r>
                <w:rPr>
                  <w:rStyle w:val="InternetLink"/>
                  <w:rFonts w:ascii="Times New Roman;Times;Serif" w:hAnsi="Times New Roman;Times;Serif"/>
                  <w:b w:val="false"/>
                  <w:i w:val="false"/>
                  <w:caps w:val="false"/>
                  <w:smallCaps w:val="false"/>
                  <w:sz w:val="20"/>
                </w:rPr>
                <w:t>Unaudited Condensed Consolidated Balance Sheets as of March 29, 2026 and December 28,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2">
              <w:r>
                <w:rPr>
                  <w:rStyle w:val="InternetLink"/>
                  <w:rFonts w:ascii="Times New Roman;Times;Serif" w:hAnsi="Times New Roman;Times;Serif"/>
                  <w:b w:val="false"/>
                  <w:i w:val="false"/>
                  <w:caps w:val="false"/>
                  <w:smallCaps w:val="false"/>
                  <w:sz w:val="20"/>
                </w:rPr>
                <w:t>Unaudited Condensed Consolidated Statements of Operations and Comprehensive Income (Loss) as of March 28, 2026 and March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3">
              <w:r>
                <w:rPr>
                  <w:rStyle w:val="InternetLink"/>
                  <w:rFonts w:ascii="Times New Roman;Times;Serif" w:hAnsi="Times New Roman;Times;Serif"/>
                  <w:b w:val="false"/>
                  <w:i w:val="false"/>
                  <w:caps w:val="false"/>
                  <w:smallCaps w:val="false"/>
                  <w:sz w:val="20"/>
                </w:rPr>
                <w:t>Unaudited Condensed Consolidated Statements of Stockholders’ Deficit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4">
              <w:r>
                <w:rPr>
                  <w:rStyle w:val="InternetLink"/>
                  <w:rFonts w:ascii="Times New Roman;Times;Serif" w:hAnsi="Times New Roman;Times;Serif"/>
                  <w:b w:val="false"/>
                  <w:i w:val="false"/>
                  <w:caps w:val="false"/>
                  <w:smallCaps w:val="false"/>
                  <w:sz w:val="20"/>
                </w:rPr>
                <w:t>Unaudited Condensed Consolidated Statements of Cash Flows as of March 28, 2026 and March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q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b w:val="false"/>
                  <w:i w:val="false"/>
                  <w:caps w:val="false"/>
                  <w:smallCaps w:val="false"/>
                  <w:strike w:val="false"/>
                  <w:dstrike w:val="false"/>
                  <w:sz w:val="20"/>
                  <w:u w:val="none"/>
                  <w:effect w:val="none"/>
                </w:rPr>
                <w:t xml:space="preserve">Report of Independent Registered Public Accounting Firm </w:t>
              </w:r>
            </w:hyperlink>
            <w:hyperlink w:anchor="C_001">
              <w:r>
                <w:rPr>
                  <w:rStyle w:val="InternetLink"/>
                  <w:rFonts w:ascii="Times New Roman;Times;Serif" w:hAnsi="Times New Roman;Times;Serif"/>
                  <w:b w:val="false"/>
                  <w:i/>
                  <w:caps w:val="false"/>
                  <w:smallCaps w:val="false"/>
                  <w:strike w:val="false"/>
                  <w:dstrike w:val="false"/>
                  <w:sz w:val="20"/>
                  <w:u w:val="none"/>
                  <w:effect w:val="none"/>
                </w:rPr>
                <w:t>(PCAOB ID 243)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b w:val="false"/>
                  <w:i w:val="false"/>
                  <w:caps w:val="false"/>
                  <w:smallCaps w:val="false"/>
                  <w:strike w:val="false"/>
                  <w:dstrike w:val="false"/>
                  <w:sz w:val="20"/>
                  <w:u w:val="none"/>
                  <w:effect w:val="none"/>
                </w:rPr>
                <w:t>Consolidated Balance Sheets as of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Operations and Comprehensive Loss for the Fiscal Years Ended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Stockholders’ Deficit for the Fiscal Years Ended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Cash Flows for the for the Fiscal Years Ended December 28, 2025 and December 29,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963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84"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31"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b w:val="false"/>
                  <w:i w:val="false"/>
                  <w:caps w:val="false"/>
                  <w:smallCaps w:val="false"/>
                  <w:strike w:val="false"/>
                  <w:dstrike w:val="false"/>
                  <w:sz w:val="20"/>
                  <w:u w:val="none"/>
                  <w:effect w:val="none"/>
                </w:rPr>
                <w:t>Notes to Consolidated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84"/>
        <w:gridCol w:w="90"/>
        <w:gridCol w:w="531"/>
      </w:tblGrid>
      <w:tr>
        <w:trPr/>
        <w:tc>
          <w:tcPr>
            <w:tcW w:w="958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5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Sunder Energy LLC (For the Years ended December 31, 2024 and 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Sunder Energy LLC (as of June 30, 2025 and December 31, 2024 and the six months ended June 30, 2025 and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1">
              <w:r>
                <w:rPr>
                  <w:rStyle w:val="InternetLink"/>
                  <w:rFonts w:ascii="Times New Roman;Times;Serif" w:hAnsi="Times New Roman;Times;Serif"/>
                  <w:b w:val="false"/>
                  <w:i w:val="false"/>
                  <w:caps w:val="false"/>
                  <w:smallCaps w:val="false"/>
                  <w:strike w:val="false"/>
                  <w:dstrike w:val="false"/>
                  <w:sz w:val="20"/>
                  <w:u w:val="none"/>
                  <w:effect w:val="none"/>
                </w:rPr>
                <w:t>Balance Sheets as of June 30, 2025 (Unaudited) and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for the six months ended June 30, 2025 and June 30,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Changes in Member’s Deficit for the six months ended June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six months ended June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958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31"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84"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98"/>
        <w:gridCol w:w="90"/>
        <w:gridCol w:w="517"/>
      </w:tblGrid>
      <w:tr>
        <w:trPr/>
        <w:tc>
          <w:tcPr>
            <w:tcW w:w="959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5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Ambia Energy, LLC (For the Year ended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Independent Auditor’s Report</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F-148</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Balance Sheets as of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F-150</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Statement of Operations and Member’s Deficit for the year ended December 31, 2024</w:t>
              </w:r>
            </w:hyperlink>
            <w:r>
              <w:rPr>
                <w:rFonts w:ascii="Times New Roman;Times;Serif" w:hAnsi="Times New Roman;Times;Serif"/>
                <w:b w:val="false"/>
                <w:i w:val="false"/>
                <w:caps w:val="false"/>
                <w:smallCaps w:val="false"/>
                <w:sz w:val="20"/>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F-151</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trike w:val="false"/>
                  <w:dstrike w:val="false"/>
                  <w:sz w:val="20"/>
                  <w:u w:val="single"/>
                  <w:effect w:val="none"/>
                </w:rPr>
                <w:t>Statement of Cash Flows for the year ended December 31, 2024</w:t>
              </w:r>
            </w:hyperlink>
            <w:r>
              <w:rPr>
                <w:rFonts w:ascii="Times New Roman;Times;Serif" w:hAnsi="Times New Roman;Times;Serif"/>
                <w:b w:val="false"/>
                <w:i w:val="false"/>
                <w:caps w:val="false"/>
                <w:smallCaps w:val="false"/>
                <w:strike w:val="false"/>
                <w:dstrike w:val="false"/>
                <w:sz w:val="20"/>
                <w:u w:val="none"/>
                <w:effect w:val="non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F-152</w:t>
            </w:r>
          </w:p>
        </w:tc>
      </w:tr>
      <w:tr>
        <w:trPr/>
        <w:tc>
          <w:tcPr>
            <w:tcW w:w="9598"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Notes to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F-153</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Ambia Energy, LLC (as of September 30, 2025 and December 31, 2024 and for the Nine Months Ended September 30, 2025 and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b w:val="false"/>
                  <w:i w:val="false"/>
                  <w:caps w:val="false"/>
                  <w:smallCaps w:val="false"/>
                  <w:strike w:val="false"/>
                  <w:dstrike w:val="false"/>
                  <w:sz w:val="20"/>
                  <w:u w:val="none"/>
                  <w:effect w:val="none"/>
                </w:rPr>
                <w:t>Balance Sheets as of September 30, 2025 (Unaudited) and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F-163</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and Member’s Deficit for the nine months ended September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F-164</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nine months ended September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F-165</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H_004">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F-166</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combined financial statements of SunPower Inc., Sunder Energy, LLC and Ambia Energy, LLC.</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b w:val="false"/>
                  <w:i w:val="false"/>
                  <w:caps w:val="false"/>
                  <w:smallCaps w:val="false"/>
                  <w:strike w:val="false"/>
                  <w:dstrike w:val="false"/>
                  <w:sz w:val="20"/>
                  <w:u w:val="none"/>
                  <w:effect w:val="none"/>
                </w:rPr>
                <w:t>Unaudited pro forma combined statement of operations for the year ended december 28,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F-177</w:t>
            </w:r>
          </w:p>
        </w:tc>
      </w:tr>
      <w:tr>
        <w:trPr/>
        <w:tc>
          <w:tcPr>
            <w:tcW w:w="9598"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598" w:type="dxa"/>
            <w:tcBorders/>
            <w:shd w:fill="CCEEFF" w:val="clear"/>
            <w:vAlign w:val="center"/>
          </w:tcPr>
          <w:p>
            <w:pPr>
              <w:pStyle w:val="TableContents"/>
              <w:bidi w:val="0"/>
              <w:spacing w:before="0" w:after="283"/>
              <w:jc w:val="left"/>
              <w:rPr/>
            </w:pPr>
            <w:hyperlink w:anchor="k_002">
              <w:r>
                <w:rPr>
                  <w:rStyle w:val="InternetLink"/>
                  <w:rFonts w:ascii="Times New Roman;Times;Serif" w:hAnsi="Times New Roman;Times;Serif"/>
                  <w:b w:val="false"/>
                  <w:i w:val="false"/>
                  <w:caps w:val="false"/>
                  <w:smallCaps w:val="false"/>
                  <w:strike w:val="false"/>
                  <w:dstrike w:val="false"/>
                  <w:sz w:val="20"/>
                  <w:u w:val="none"/>
                  <w:effect w:val="none"/>
                </w:rPr>
                <w:t>Notes to Unaudited Pro Forma Combined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q_001"/>
      <w:bookmarkEnd w:id="2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9"/>
        <w:gridCol w:w="90"/>
        <w:gridCol w:w="170"/>
        <w:gridCol w:w="910"/>
        <w:gridCol w:w="125"/>
        <w:gridCol w:w="90"/>
        <w:gridCol w:w="221"/>
        <w:gridCol w:w="1178"/>
        <w:gridCol w:w="172"/>
      </w:tblGrid>
      <w:tr>
        <w:trPr/>
        <w:tc>
          <w:tcPr>
            <w:tcW w:w="724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center"/>
              <w:rPr>
                <w:b/>
              </w:rPr>
            </w:pPr>
            <w:r>
              <w:rPr>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28,</w:t>
            </w:r>
          </w:p>
        </w:tc>
        <w:tc>
          <w:tcPr>
            <w:tcW w:w="172" w:type="dxa"/>
            <w:tcBorders/>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9,488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9,617</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7249" w:type="dxa"/>
            <w:tcBorders/>
            <w:vAlign w:val="center"/>
          </w:tcPr>
          <w:p>
            <w:pPr>
              <w:pStyle w:val="TableContents"/>
              <w:bidi w:val="0"/>
              <w:spacing w:before="0" w:after="283"/>
              <w:jc w:val="both"/>
              <w:rPr/>
            </w:pPr>
            <w:r>
              <w:rPr/>
              <w:t>Trade accounts receivable, net of allowance for credit losses of $5,206 and $5,206 as of March 29, 2026 and December 28,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80,585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81,946</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Inventories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4,098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4,375</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27,852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16,913</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122,023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112,851</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Restricted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1,134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3,841</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4,890</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Operating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4,552</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51,816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50,814</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Goodwill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75,607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62,630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1,624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262,086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tcMar>
              <w:bottom w:w="28" w:type="dxa"/>
            </w:tcMar>
            <w:vAlign w:val="center"/>
          </w:tcPr>
          <w:p>
            <w:pPr>
              <w:pStyle w:val="TableContents"/>
              <w:bidi w:val="0"/>
              <w:spacing w:before="0" w:after="283"/>
              <w:jc w:val="right"/>
              <w:rPr/>
            </w:pPr>
            <w:r>
              <w:rPr/>
              <w:t>241,187</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left"/>
              <w:rPr>
                <w:b/>
              </w:rPr>
            </w:pPr>
            <w:r>
              <w:rPr>
                <w:b/>
              </w:rPr>
              <w:t>LIABILITIES AND STOCKHOLDERS’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28,348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178" w:type="dxa"/>
            <w:tcBorders/>
            <w:vAlign w:val="center"/>
          </w:tcPr>
          <w:p>
            <w:pPr>
              <w:pStyle w:val="TableContents"/>
              <w:bidi w:val="0"/>
              <w:spacing w:before="0" w:after="283"/>
              <w:jc w:val="right"/>
              <w:rPr/>
            </w:pPr>
            <w:r>
              <w:rPr/>
              <w:t>26,240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70,006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56,977</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Short-term debt with related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21,500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Short-term debt with third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13,736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Current portion of long-term notes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2,786</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Deferred consideration,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17,102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16,879</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Deferred consideration, current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5,420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12,634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20,336</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SAFE Agreement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535</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5,107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3,965</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171,798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154,638</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Warranty provision,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3,059</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Warrant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3,746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4,361</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Contract liabilities,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794</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Notes payable and derivative liabilities, net of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99,860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120,159</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Notes payable and derivative liabilities with related parties, net of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31,921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35,130</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1,300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Deferred consideration,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Deferred consideration, noncurrent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5,420</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323,539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331,331</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Commitments and contingencies (Note 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0"/>
              <w:jc w:val="right"/>
              <w:rPr/>
            </w:pPr>
            <w:r>
              <w:rPr/>
              <w:t> </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b/>
              </w:rPr>
            </w:pPr>
            <w:r>
              <w:rPr>
                <w:b/>
              </w:rPr>
              <w:t>Stockholders’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7249" w:type="dxa"/>
            <w:tcBorders/>
            <w:shd w:fill="CCEEFF" w:val="clear"/>
            <w:vAlign w:val="center"/>
          </w:tcPr>
          <w:p>
            <w:pPr>
              <w:pStyle w:val="TableContents"/>
              <w:bidi w:val="0"/>
              <w:spacing w:before="0" w:after="283"/>
              <w:jc w:val="both"/>
              <w:rPr/>
            </w:pPr>
            <w:r>
              <w:rPr/>
              <w:t>Common stock, $0.0001 par value; Authorized 1,000,000,000 shares as of March 29, 2026, and December 28, 2025; issued and outstanding 120,347,463 and 111,334,959 shares as of March 29, 2026, and December 28,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389,849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366,408</w:t>
            </w:r>
          </w:p>
        </w:tc>
        <w:tc>
          <w:tcPr>
            <w:tcW w:w="172" w:type="dxa"/>
            <w:tcBorders/>
            <w:vAlign w:val="center"/>
          </w:tcPr>
          <w:p>
            <w:pPr>
              <w:pStyle w:val="TableContents"/>
              <w:bidi w:val="0"/>
              <w:spacing w:before="0" w:after="283"/>
              <w:jc w:val="left"/>
              <w:rPr/>
            </w:pPr>
            <w:r>
              <w:rPr/>
              <w:t> </w:t>
            </w:r>
          </w:p>
        </w:tc>
      </w:tr>
      <w:tr>
        <w:trPr/>
        <w:tc>
          <w:tcPr>
            <w:tcW w:w="7249" w:type="dxa"/>
            <w:tcBorders/>
            <w:shd w:fill="CCEEFF" w:val="clear"/>
            <w:vAlign w:val="center"/>
          </w:tcPr>
          <w:p>
            <w:pPr>
              <w:pStyle w:val="TableContents"/>
              <w:bidi w:val="0"/>
              <w:spacing w:before="0" w:after="283"/>
              <w:jc w:val="both"/>
              <w:rPr/>
            </w:pPr>
            <w:r>
              <w:rPr/>
              <w:t>Accumulated other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165</w:t>
            </w:r>
          </w:p>
        </w:tc>
        <w:tc>
          <w:tcPr>
            <w:tcW w:w="172" w:type="dxa"/>
            <w:tcBorders/>
            <w:shd w:fill="CCEEFF" w:val="clear"/>
            <w:vAlign w:val="center"/>
          </w:tcPr>
          <w:p>
            <w:pPr>
              <w:pStyle w:val="TableContents"/>
              <w:bidi w:val="0"/>
              <w:spacing w:before="0" w:after="283"/>
              <w:jc w:val="left"/>
              <w:rPr/>
            </w:pPr>
            <w:r>
              <w:rPr/>
              <w:t> </w:t>
            </w:r>
          </w:p>
        </w:tc>
      </w:tr>
      <w:tr>
        <w:trPr/>
        <w:tc>
          <w:tcPr>
            <w:tcW w:w="7249" w:type="dxa"/>
            <w:tcBorders/>
            <w:vAlign w:val="center"/>
          </w:tcPr>
          <w:p>
            <w:pPr>
              <w:pStyle w:val="TableContents"/>
              <w:bidi w:val="0"/>
              <w:spacing w:before="0" w:after="283"/>
              <w:jc w:val="both"/>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(451,483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right"/>
              <w:rPr/>
            </w:pPr>
            <w:r>
              <w:rPr/>
              <w:t>(456,733</w:t>
            </w:r>
          </w:p>
        </w:tc>
        <w:tc>
          <w:tcPr>
            <w:tcW w:w="172" w:type="dxa"/>
            <w:tcBorders/>
            <w:vAlign w:val="center"/>
          </w:tcPr>
          <w:p>
            <w:pPr>
              <w:pStyle w:val="TableContents"/>
              <w:bidi w:val="0"/>
              <w:spacing w:before="0" w:after="283"/>
              <w:jc w:val="left"/>
              <w:rPr/>
            </w:pPr>
            <w:r>
              <w:rPr/>
              <w:t>)</w:t>
            </w:r>
          </w:p>
        </w:tc>
      </w:tr>
      <w:tr>
        <w:trPr/>
        <w:tc>
          <w:tcPr>
            <w:tcW w:w="7249" w:type="dxa"/>
            <w:tcBorders/>
            <w:shd w:fill="CCEEFF" w:val="clear"/>
            <w:vAlign w:val="center"/>
          </w:tcPr>
          <w:p>
            <w:pPr>
              <w:pStyle w:val="TableContents"/>
              <w:bidi w:val="0"/>
              <w:spacing w:before="0" w:after="283"/>
              <w:jc w:val="both"/>
              <w:rPr/>
            </w:pPr>
            <w:r>
              <w:rPr/>
              <w:t>Total stockholders’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(61,453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72" w:type="dxa"/>
            <w:tcBorders/>
            <w:shd w:fill="CCEEFF" w:val="clear"/>
            <w:vAlign w:val="center"/>
          </w:tcPr>
          <w:p>
            <w:pPr>
              <w:pStyle w:val="TableContents"/>
              <w:bidi w:val="0"/>
              <w:spacing w:before="0" w:after="283"/>
              <w:jc w:val="left"/>
              <w:rPr/>
            </w:pPr>
            <w:r>
              <w:rPr/>
              <w:t>)</w:t>
            </w:r>
          </w:p>
        </w:tc>
      </w:tr>
      <w:tr>
        <w:trPr/>
        <w:tc>
          <w:tcPr>
            <w:tcW w:w="7249" w:type="dxa"/>
            <w:tcBorders/>
            <w:vAlign w:val="center"/>
          </w:tcPr>
          <w:p>
            <w:pPr>
              <w:pStyle w:val="TableContents"/>
              <w:bidi w:val="0"/>
              <w:spacing w:before="0" w:after="283"/>
              <w:jc w:val="both"/>
              <w:rPr/>
            </w:pPr>
            <w:r>
              <w:rPr/>
              <w:t>Total liabilities and stockholders’ (deficit)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262,086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tcMar>
              <w:bottom w:w="28" w:type="dxa"/>
            </w:tcMar>
            <w:vAlign w:val="center"/>
          </w:tcPr>
          <w:p>
            <w:pPr>
              <w:pStyle w:val="TableContents"/>
              <w:bidi w:val="0"/>
              <w:spacing w:before="0" w:after="283"/>
              <w:jc w:val="right"/>
              <w:rPr/>
            </w:pPr>
            <w:r>
              <w:rPr/>
              <w:t>241,187</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4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interest due to related parties of $2.2 million and $2.6 million as of March 29, 2026, and December 28, 2025,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investor financing deposit with related party of $5.4 million and $2.0 million as of March 29, 2026, and December 28,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q_002"/>
      <w:bookmarkEnd w:id="23"/>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01"/>
        <w:gridCol w:w="90"/>
        <w:gridCol w:w="170"/>
        <w:gridCol w:w="1250"/>
        <w:gridCol w:w="125"/>
        <w:gridCol w:w="90"/>
        <w:gridCol w:w="170"/>
        <w:gridCol w:w="1250"/>
        <w:gridCol w:w="159"/>
      </w:tblGrid>
      <w:tr>
        <w:trPr/>
        <w:tc>
          <w:tcPr>
            <w:tcW w:w="6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59" w:type="dxa"/>
            <w:tcBorders/>
            <w:vAlign w:val="center"/>
          </w:tcPr>
          <w:p>
            <w:pPr>
              <w:pStyle w:val="TableContents"/>
              <w:bidi w:val="0"/>
              <w:spacing w:before="0" w:after="283"/>
              <w:jc w:val="left"/>
              <w:rPr/>
            </w:pPr>
            <w:r>
              <w:rPr/>
              <w:t> </w:t>
            </w:r>
          </w:p>
        </w:tc>
      </w:tr>
      <w:tr>
        <w:trPr/>
        <w:tc>
          <w:tcPr>
            <w:tcW w:w="6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30,</w:t>
            </w:r>
          </w:p>
        </w:tc>
        <w:tc>
          <w:tcPr>
            <w:tcW w:w="159" w:type="dxa"/>
            <w:tcBorders/>
            <w:vAlign w:val="center"/>
          </w:tcPr>
          <w:p>
            <w:pPr>
              <w:pStyle w:val="TableContents"/>
              <w:bidi w:val="0"/>
              <w:spacing w:before="0" w:after="283"/>
              <w:jc w:val="left"/>
              <w:rPr/>
            </w:pPr>
            <w:r>
              <w:rPr/>
              <w:t> </w:t>
            </w:r>
          </w:p>
        </w:tc>
      </w:tr>
      <w:tr>
        <w:trPr/>
        <w:tc>
          <w:tcPr>
            <w:tcW w:w="69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72,793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78,413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28,106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51,037</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28,564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7,684</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4,993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8,522</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30,325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14,896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63,882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31,102</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(19,195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(3,726</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(6,924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(6,041</w:t>
            </w:r>
          </w:p>
        </w:tc>
        <w:tc>
          <w:tcPr>
            <w:tcW w:w="159" w:type="dxa"/>
            <w:tcBorders/>
            <w:vAlign w:val="center"/>
          </w:tcPr>
          <w:p>
            <w:pPr>
              <w:pStyle w:val="TableContents"/>
              <w:bidi w:val="0"/>
              <w:spacing w:before="0" w:after="283"/>
              <w:ind w:left="0" w:right="0" w:hanging="180"/>
              <w:jc w:val="left"/>
              <w:rPr/>
            </w:pPr>
            <w:r>
              <w:rPr/>
              <w:t>)</w:t>
            </w:r>
          </w:p>
        </w:tc>
      </w:tr>
      <w:tr>
        <w:trPr/>
        <w:tc>
          <w:tcPr>
            <w:tcW w:w="6901"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non-operating income, net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30,761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14,576</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23,837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Income from operations before income taxes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4,642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4,812</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Income tax (provision)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5,250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4,812</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vAlign w:val="center"/>
          </w:tcPr>
          <w:p>
            <w:pPr>
              <w:pStyle w:val="TableContents"/>
              <w:bidi w:val="0"/>
              <w:spacing w:before="0" w:after="283"/>
              <w:jc w:val="left"/>
              <w:rPr/>
            </w:pPr>
            <w:r>
              <w:rPr/>
              <w:t>Other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Comprehensive income (net of tax)</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5,250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4,812</w:t>
            </w:r>
          </w:p>
        </w:tc>
        <w:tc>
          <w:tcPr>
            <w:tcW w:w="159" w:type="dxa"/>
            <w:tcBorders/>
            <w:vAlign w:val="center"/>
          </w:tcPr>
          <w:p>
            <w:pPr>
              <w:pStyle w:val="TableContents"/>
              <w:bidi w:val="0"/>
              <w:spacing w:before="0" w:after="283"/>
              <w:jc w:val="left"/>
              <w:rPr/>
            </w:pPr>
            <w:r>
              <w:rPr/>
              <w:t> </w:t>
            </w:r>
          </w:p>
        </w:tc>
      </w:tr>
      <w:tr>
        <w:trPr/>
        <w:tc>
          <w:tcPr>
            <w:tcW w:w="6901" w:type="dxa"/>
            <w:tcBorders/>
            <w:shd w:fill="CCEEFF" w:val="clear"/>
            <w:vAlign w:val="center"/>
          </w:tcPr>
          <w:p>
            <w:pPr>
              <w:pStyle w:val="TableContents"/>
              <w:bidi w:val="0"/>
              <w:spacing w:before="0" w:after="283"/>
              <w:jc w:val="left"/>
              <w:rPr/>
            </w:pPr>
            <w:r>
              <w:rPr/>
              <w:t>Net income per share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0.04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0.06</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Weighted-average shares used to compute net income per share attributable to common stockholders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901"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124,279,055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80,209,585</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901"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163,787,402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112,302,063</w:t>
            </w:r>
          </w:p>
        </w:tc>
        <w:tc>
          <w:tcPr>
            <w:tcW w:w="1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SameDay Solar, a related party, was $0.5 million and $0.2 million in the thirteen weeks ended March 29, 2026 and March 30, 2025,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related party interest expense and amortization of debt issuance costs of $2.3 million and $1.4 million in the thirteen weeks ended March 29, 2026 and March 30, 2025, respectively. </w:t>
            </w:r>
          </w:p>
        </w:tc>
      </w:tr>
    </w:tbl>
    <w:p>
      <w:pPr>
        <w:pStyle w:val="TextBody"/>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8"/>
        <w:gridCol w:w="90"/>
        <w:gridCol w:w="375"/>
        <w:gridCol w:w="746"/>
        <w:gridCol w:w="169"/>
        <w:gridCol w:w="169"/>
        <w:gridCol w:w="375"/>
        <w:gridCol w:w="746"/>
        <w:gridCol w:w="137"/>
      </w:tblGrid>
      <w:tr>
        <w:trPr/>
        <w:tc>
          <w:tcPr>
            <w:tcW w:w="73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37" w:type="dxa"/>
            <w:tcBorders/>
            <w:vAlign w:val="center"/>
          </w:tcPr>
          <w:p>
            <w:pPr>
              <w:pStyle w:val="TableContents"/>
              <w:bidi w:val="0"/>
              <w:spacing w:before="0" w:after="283"/>
              <w:jc w:val="left"/>
              <w:rPr/>
            </w:pPr>
            <w:r>
              <w:rPr/>
              <w:t> </w:t>
            </w:r>
          </w:p>
        </w:tc>
      </w:tr>
      <w:tr>
        <w:trPr/>
        <w:tc>
          <w:tcPr>
            <w:tcW w:w="73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29, </w:t>
              <w:br/>
              <w:t>2026</w:t>
            </w:r>
          </w:p>
        </w:tc>
        <w:tc>
          <w:tcPr>
            <w:tcW w:w="16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30, </w:t>
              <w:br/>
              <w:t>2025</w:t>
            </w:r>
          </w:p>
        </w:tc>
        <w:tc>
          <w:tcPr>
            <w:tcW w:w="137" w:type="dxa"/>
            <w:tcBorders/>
            <w:vAlign w:val="center"/>
          </w:tcPr>
          <w:p>
            <w:pPr>
              <w:pStyle w:val="TableContents"/>
              <w:bidi w:val="0"/>
              <w:spacing w:before="0" w:after="283"/>
              <w:ind w:left="0" w:right="0" w:hanging="180"/>
              <w:jc w:val="left"/>
              <w:rPr/>
            </w:pPr>
            <w:r>
              <w:rPr/>
              <w:t> </w:t>
            </w:r>
          </w:p>
        </w:tc>
      </w:tr>
      <w:tr>
        <w:trPr/>
        <w:tc>
          <w:tcPr>
            <w:tcW w:w="7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remeasurement of derivative liabilities (</w:t>
            </w:r>
            <w:r>
              <w:rPr>
                <w:rFonts w:ascii="Times New Roman;Times;Serif" w:hAnsi="Times New Roman;Times;Serif"/>
                <w:b/>
                <w:sz w:val="20"/>
              </w:rPr>
              <w:t>Note 9 – Borrowings and Derivative Liabilities</w:t>
            </w: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37" w:type="dxa"/>
            <w:tcBorders/>
            <w:shd w:fill="CCEEFF" w:val="clear"/>
            <w:vAlign w:val="center"/>
          </w:tcPr>
          <w:p>
            <w:pPr>
              <w:pStyle w:val="TableContents"/>
              <w:bidi w:val="0"/>
              <w:spacing w:before="0" w:after="283"/>
              <w:jc w:val="left"/>
              <w:rPr/>
            </w:pPr>
            <w:r>
              <w:rPr/>
              <w:t> </w:t>
            </w:r>
          </w:p>
        </w:tc>
      </w:tr>
      <w:tr>
        <w:trPr/>
        <w:tc>
          <w:tcPr>
            <w:tcW w:w="73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due to change in fair value of forward purchase agreements</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w:t>
            </w:r>
          </w:p>
        </w:tc>
        <w:tc>
          <w:tcPr>
            <w:tcW w:w="169"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37" w:type="dxa"/>
            <w:tcBorders/>
            <w:vAlign w:val="center"/>
          </w:tcPr>
          <w:p>
            <w:pPr>
              <w:pStyle w:val="TableContents"/>
              <w:bidi w:val="0"/>
              <w:spacing w:before="0" w:after="283"/>
              <w:ind w:left="0" w:right="0" w:hanging="180"/>
              <w:jc w:val="left"/>
              <w:rPr/>
            </w:pPr>
            <w:r>
              <w:rPr/>
              <w:t> </w:t>
            </w:r>
          </w:p>
        </w:tc>
      </w:tr>
      <w:tr>
        <w:trPr/>
        <w:tc>
          <w:tcPr>
            <w:tcW w:w="73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q_003"/>
      <w:bookmarkEnd w:id="24"/>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335" w:type="dxa"/>
        <w:jc w:val="left"/>
        <w:tblInd w:w="0" w:type="dxa"/>
        <w:tblLayout w:type="fixed"/>
        <w:tblCellMar>
          <w:top w:w="0" w:type="dxa"/>
          <w:left w:w="0" w:type="dxa"/>
          <w:bottom w:w="0" w:type="dxa"/>
          <w:right w:w="0" w:type="dxa"/>
        </w:tblCellMar>
      </w:tblPr>
      <w:tblGrid>
        <w:gridCol w:w="1370"/>
        <w:gridCol w:w="90"/>
        <w:gridCol w:w="90"/>
        <w:gridCol w:w="1250"/>
        <w:gridCol w:w="90"/>
        <w:gridCol w:w="90"/>
        <w:gridCol w:w="328"/>
        <w:gridCol w:w="562"/>
        <w:gridCol w:w="90"/>
        <w:gridCol w:w="90"/>
        <w:gridCol w:w="192"/>
        <w:gridCol w:w="938"/>
        <w:gridCol w:w="90"/>
        <w:gridCol w:w="90"/>
        <w:gridCol w:w="221"/>
        <w:gridCol w:w="1179"/>
        <w:gridCol w:w="125"/>
        <w:gridCol w:w="90"/>
        <w:gridCol w:w="480"/>
        <w:gridCol w:w="1160"/>
        <w:gridCol w:w="90"/>
        <w:gridCol w:w="90"/>
        <w:gridCol w:w="243"/>
        <w:gridCol w:w="1127"/>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05"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111,334,959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366,408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(456,733</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(90,144</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7.0% senior unsecured convertible notes for shares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1,608,769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as consideration for acquisition of businesses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issuance of shares of common stock for debt commitment fees, capitalized as debt issuance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Sunder deferred consideration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29,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120,347,463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389,849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(451,483</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48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(61,453</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328"/>
        <w:gridCol w:w="562"/>
        <w:gridCol w:w="90"/>
        <w:gridCol w:w="90"/>
        <w:gridCol w:w="192"/>
        <w:gridCol w:w="938"/>
        <w:gridCol w:w="90"/>
        <w:gridCol w:w="90"/>
        <w:gridCol w:w="221"/>
        <w:gridCol w:w="1179"/>
        <w:gridCol w:w="125"/>
        <w:gridCol w:w="90"/>
        <w:gridCol w:w="480"/>
        <w:gridCol w:w="1160"/>
        <w:gridCol w:w="90"/>
        <w:gridCol w:w="90"/>
        <w:gridCol w:w="243"/>
        <w:gridCol w:w="1127"/>
        <w:gridCol w:w="170"/>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5"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7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73,784,645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(411,379</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(97,539</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70"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80,020,836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(406,567</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(92,141</w:t>
            </w:r>
          </w:p>
        </w:tc>
        <w:tc>
          <w:tcPr>
            <w:tcW w:w="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q_004"/>
      <w:bookmarkEnd w:id="25"/>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8"/>
        <w:gridCol w:w="90"/>
        <w:gridCol w:w="190"/>
        <w:gridCol w:w="883"/>
        <w:gridCol w:w="138"/>
        <w:gridCol w:w="99"/>
        <w:gridCol w:w="199"/>
        <w:gridCol w:w="924"/>
        <w:gridCol w:w="174"/>
      </w:tblGrid>
      <w:tr>
        <w:trPr/>
        <w:tc>
          <w:tcPr>
            <w:tcW w:w="75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4" w:type="dxa"/>
            <w:tcBorders/>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74" w:type="dxa"/>
            <w:tcBorders/>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073"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3" w:type="dxa"/>
            <w:gridSpan w:val="2"/>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5,250</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4,812</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Adjustments to reconcile net income from operations to net cash used in operating activities: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1,605</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469</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504</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288</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Deferred income tax benefit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(608</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3,609</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1,583</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1,087</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Change in fair value of SAFE Agreement – related party</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44</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20</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1,142</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(268</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(26,608</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(15,127</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Change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(615</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1,092</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Change in fair value of deferred consideration</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(2,943</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Change in fair value of deferred consideration with related party</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(2,307</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Change in fair value of debt obligations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320</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3,674</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3,655</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expense (income) </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176</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(158</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Changes in operating assets and liabilities, net of business acquisitions: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(223</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2,016</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11,386</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Contract assets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(11,279</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(4,413</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(15</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14</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(1,756</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6,896</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Accrued expenses and other liabilities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9,702</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(5,525</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(12,940</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(25,656</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283"/>
              <w:jc w:val="right"/>
              <w:rPr/>
            </w:pPr>
            <w:r>
              <w:rPr/>
              <w:t>(2,627</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Cash paid for acquisition, net of cash acquired</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553</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Proceeds from issuance of convertible notes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10,710</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200</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Proceeds from issuance of convertible notes due to related parties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1,300</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Finance lease payments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(656</w:t>
            </w:r>
          </w:p>
        </w:tc>
        <w:tc>
          <w:tcPr>
            <w:tcW w:w="138"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(515</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pPr>
            <w:r>
              <w:rPr/>
              <w:t>Principal repayment of notes payable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(1,078</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Proceeds from issuance of common stock</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6,991</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Proceeds from exercise of common stock options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57</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Proceeds from exercise of warrant for common stock</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60</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Investor financing deposit</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5,000</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22,267</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74" w:type="dxa"/>
            <w:tcBorders/>
            <w:shd w:fill="CCEEFF" w:val="clear"/>
            <w:vAlign w:val="center"/>
          </w:tcPr>
          <w:p>
            <w:pPr>
              <w:pStyle w:val="TableContents"/>
              <w:bidi w:val="0"/>
              <w:spacing w:before="0" w:after="283"/>
              <w:jc w:val="left"/>
              <w:rPr/>
            </w:pPr>
            <w:r>
              <w:rPr/>
              <w:t>)</w:t>
            </w:r>
          </w:p>
        </w:tc>
      </w:tr>
      <w:tr>
        <w:trPr/>
        <w:tc>
          <w:tcPr>
            <w:tcW w:w="7508" w:type="dxa"/>
            <w:tcBorders/>
            <w:vAlign w:val="center"/>
          </w:tcPr>
          <w:p>
            <w:pPr>
              <w:pStyle w:val="TableContents"/>
              <w:bidi w:val="0"/>
              <w:spacing w:before="0" w:after="283"/>
              <w:jc w:val="left"/>
              <w:rPr/>
            </w:pPr>
            <w:r>
              <w:rPr/>
              <w:t>Net decrease in cash, cash equivalents and restricted cash</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(2,836</w:t>
            </w:r>
          </w:p>
        </w:tc>
        <w:tc>
          <w:tcPr>
            <w:tcW w:w="138" w:type="dxa"/>
            <w:tcBorders/>
            <w:vAlign w:val="center"/>
          </w:tcPr>
          <w:p>
            <w:pPr>
              <w:pStyle w:val="TableContents"/>
              <w:bidi w:val="0"/>
              <w:spacing w:before="0" w:after="283"/>
              <w:jc w:val="left"/>
              <w:rPr/>
            </w:pPr>
            <w:r>
              <w:rPr/>
              <w:t>)</w:t>
            </w:r>
          </w:p>
        </w:tc>
        <w:tc>
          <w:tcPr>
            <w:tcW w:w="99"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tcMar>
              <w:bottom w:w="28" w:type="dxa"/>
            </w:tcMar>
            <w:vAlign w:val="center"/>
          </w:tcPr>
          <w:p>
            <w:pPr>
              <w:pStyle w:val="TableContents"/>
              <w:bidi w:val="0"/>
              <w:spacing w:before="0" w:after="283"/>
              <w:jc w:val="right"/>
              <w:rPr/>
            </w:pPr>
            <w:r>
              <w:rPr/>
              <w:t>(2,825</w:t>
            </w:r>
          </w:p>
        </w:tc>
        <w:tc>
          <w:tcPr>
            <w:tcW w:w="174" w:type="dxa"/>
            <w:tcBorders/>
            <w:vAlign w:val="center"/>
          </w:tcPr>
          <w:p>
            <w:pPr>
              <w:pStyle w:val="TableContents"/>
              <w:bidi w:val="0"/>
              <w:spacing w:before="0" w:after="283"/>
              <w:jc w:val="left"/>
              <w:rPr/>
            </w:pPr>
            <w:r>
              <w:rPr/>
              <w:t>)</w:t>
            </w:r>
          </w:p>
        </w:tc>
      </w:tr>
      <w:tr>
        <w:trPr/>
        <w:tc>
          <w:tcPr>
            <w:tcW w:w="7508" w:type="dxa"/>
            <w:tcBorders/>
            <w:shd w:fill="CCEEFF" w:val="clear"/>
            <w:vAlign w:val="center"/>
          </w:tcPr>
          <w:p>
            <w:pPr>
              <w:pStyle w:val="TableContents"/>
              <w:bidi w:val="0"/>
              <w:spacing w:before="0" w:after="283"/>
              <w:jc w:val="left"/>
              <w:rPr/>
            </w:pPr>
            <w:r>
              <w:rPr/>
              <w:t>Cash, cash equivalents, and restricted cash at beginning of period</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13,458</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17,219</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Cash, cash equivalents, and restricted cash at end of period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tcMar>
              <w:bottom w:w="28" w:type="dxa"/>
            </w:tcMar>
            <w:vAlign w:val="center"/>
          </w:tcPr>
          <w:p>
            <w:pPr>
              <w:pStyle w:val="TableContents"/>
              <w:bidi w:val="0"/>
              <w:spacing w:before="0" w:after="283"/>
              <w:jc w:val="right"/>
              <w:rPr/>
            </w:pPr>
            <w:r>
              <w:rPr/>
              <w:t>10,622</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924" w:type="dxa"/>
            <w:tcBorders>
              <w:bottom w:val="double" w:sz="10" w:space="0" w:color="000000"/>
            </w:tcBorders>
            <w:tcMar>
              <w:bottom w:w="28" w:type="dxa"/>
            </w:tcMar>
            <w:vAlign w:val="center"/>
          </w:tcPr>
          <w:p>
            <w:pPr>
              <w:pStyle w:val="TableContents"/>
              <w:bidi w:val="0"/>
              <w:spacing w:before="0" w:after="283"/>
              <w:jc w:val="right"/>
              <w:rPr/>
            </w:pPr>
            <w:r>
              <w:rPr/>
              <w:t>14,394</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Supplemental disclosures of cash flow information:</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Cash paid during the period for interest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5,263</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1,388</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Cash paid for income taxes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b/>
              </w:rPr>
            </w:pPr>
            <w:r>
              <w:rPr>
                <w:b/>
              </w:rPr>
              <w:t>Supplemental disclosure of noncash financing and investing activities: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Issuance of convertible note in exchange for investor deposit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2,000</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Conversion of 7% unsecured notes for shares of common stock</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2,646</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Issuance of common stock as partial consideration for acquisition</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3,333</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Deferred consideration recognized for acquisition of Cobalt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6,331</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7508" w:type="dxa"/>
            <w:tcBorders/>
            <w:shd w:fill="CCEEFF" w:val="clear"/>
            <w:vAlign w:val="center"/>
          </w:tcPr>
          <w:p>
            <w:pPr>
              <w:pStyle w:val="TableContents"/>
              <w:bidi w:val="0"/>
              <w:spacing w:before="0" w:after="283"/>
              <w:jc w:val="left"/>
              <w:rPr/>
            </w:pPr>
            <w:r>
              <w:rPr/>
              <w:t>Tax effect of Cobalt acquisition accounted for as Goodwill</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1,001</w:t>
            </w:r>
          </w:p>
        </w:tc>
        <w:tc>
          <w:tcPr>
            <w:tcW w:w="1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508" w:type="dxa"/>
            <w:tcBorders/>
            <w:vAlign w:val="center"/>
          </w:tcPr>
          <w:p>
            <w:pPr>
              <w:pStyle w:val="TableContents"/>
              <w:bidi w:val="0"/>
              <w:spacing w:before="0" w:after="283"/>
              <w:jc w:val="left"/>
              <w:rPr/>
            </w:pPr>
            <w:r>
              <w:rPr/>
              <w:t>Deferred consideration reclassified to Additional paid-in capital</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8,533</w:t>
            </w:r>
          </w:p>
        </w:tc>
        <w:tc>
          <w:tcPr>
            <w:tcW w:w="1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275"/>
        <w:gridCol w:w="7400"/>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the thirteen weeks ended March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gain on remeasurement of $7.5 million and $3.7 million in the thirteen 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amortization expense of $0.9 million and $0.7 million in the thirteen weeks ended March 29, 2026 and March 30,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275"/>
        <w:gridCol w:w="8180"/>
      </w:tblGrid>
      <w:tr>
        <w:trPr/>
        <w:tc>
          <w:tcPr>
            <w:tcW w:w="27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thirteen weeks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_005"/>
      <w:bookmarkEnd w:id="26"/>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 a 52-to-53-week fiscal year that ends on the Sunday closest to December 31. The Company’s first fiscal quarters for 2026 and 2025 in this report on Form 10-Q ended on March 29, 2026 (“Q1 2026”) and March 30, 2025 (“Q1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4505"/>
        <w:gridCol w:w="90"/>
        <w:gridCol w:w="212"/>
        <w:gridCol w:w="887"/>
        <w:gridCol w:w="90"/>
        <w:gridCol w:w="90"/>
        <w:gridCol w:w="278"/>
        <w:gridCol w:w="1166"/>
        <w:gridCol w:w="135"/>
      </w:tblGrid>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br/>
              <w:t>2025</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9,617</w:t>
            </w:r>
          </w:p>
        </w:tc>
        <w:tc>
          <w:tcPr>
            <w:tcW w:w="135" w:type="dxa"/>
            <w:tcBorders/>
            <w:shd w:fill="CCEEFF"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13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unaudited condensed consolidated financial statements requires management to make estimates and assumptions that affect reported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and December 28, 2025, deferred commissions were $8.1 million and $5.6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11" w:type="dxa"/>
        <w:jc w:val="left"/>
        <w:tblInd w:w="0" w:type="dxa"/>
        <w:tblLayout w:type="fixed"/>
        <w:tblCellMar>
          <w:top w:w="0" w:type="dxa"/>
          <w:left w:w="0" w:type="dxa"/>
          <w:bottom w:w="0" w:type="dxa"/>
          <w:right w:w="0" w:type="dxa"/>
        </w:tblCellMar>
      </w:tblPr>
      <w:tblGrid>
        <w:gridCol w:w="5780"/>
        <w:gridCol w:w="90"/>
        <w:gridCol w:w="223"/>
        <w:gridCol w:w="876"/>
        <w:gridCol w:w="159"/>
        <w:gridCol w:w="114"/>
        <w:gridCol w:w="223"/>
        <w:gridCol w:w="876"/>
        <w:gridCol w:w="170"/>
      </w:tblGrid>
      <w:tr>
        <w:trPr/>
        <w:tc>
          <w:tcPr>
            <w:tcW w:w="57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7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7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7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beginning of year</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charged to earnings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written off, net of recoveries and other adjustments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70"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end of period</w:t>
            </w:r>
          </w:p>
        </w:tc>
        <w:tc>
          <w:tcPr>
            <w:tcW w:w="90"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Cobalt Power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20"/>
        <w:gridCol w:w="90"/>
        <w:gridCol w:w="170"/>
        <w:gridCol w:w="590"/>
        <w:gridCol w:w="135"/>
      </w:tblGrid>
      <w:tr>
        <w:trPr/>
        <w:tc>
          <w:tcPr>
            <w:tcW w:w="9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shares of the Company’s common stock issued at Cobalt Closing (classified within 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35" w:type="dxa"/>
            <w:tcBorders/>
            <w:shd w:fill="CCEEFF" w:val="clear"/>
            <w:vAlign w:val="center"/>
          </w:tcPr>
          <w:p>
            <w:pPr>
              <w:pStyle w:val="TableContents"/>
              <w:bidi w:val="0"/>
              <w:spacing w:before="0" w:after="283"/>
              <w:jc w:val="left"/>
              <w:rPr/>
            </w:pPr>
            <w:r>
              <w:rPr/>
              <w:t> </w:t>
            </w:r>
          </w:p>
        </w:tc>
      </w:tr>
      <w:tr>
        <w:trPr/>
        <w:tc>
          <w:tcPr>
            <w:tcW w:w="9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Cobalt Consideration Shares (Classified within Deferred consideration, current and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35" w:type="dxa"/>
            <w:tcBorders/>
            <w:vAlign w:val="center"/>
          </w:tcPr>
          <w:p>
            <w:pPr>
              <w:pStyle w:val="TableContents"/>
              <w:bidi w:val="0"/>
              <w:spacing w:before="0" w:after="283"/>
              <w:jc w:val="left"/>
              <w:rPr/>
            </w:pPr>
            <w:r>
              <w:rPr/>
              <w:t> </w:t>
            </w:r>
          </w:p>
        </w:tc>
      </w:tr>
      <w:tr>
        <w:trPr/>
        <w:tc>
          <w:tcPr>
            <w:tcW w:w="9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144" w:type="dxa"/>
        <w:jc w:val="left"/>
        <w:tblInd w:w="0" w:type="dxa"/>
        <w:tblLayout w:type="fixed"/>
        <w:tblCellMar>
          <w:top w:w="0" w:type="dxa"/>
          <w:left w:w="0" w:type="dxa"/>
          <w:bottom w:w="0" w:type="dxa"/>
          <w:right w:w="0" w:type="dxa"/>
        </w:tblCellMar>
      </w:tblPr>
      <w:tblGrid>
        <w:gridCol w:w="6320"/>
        <w:gridCol w:w="90"/>
        <w:gridCol w:w="301"/>
        <w:gridCol w:w="1263"/>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Cobalt Closing</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b/>
              </w:rPr>
            </w:pPr>
            <w:r>
              <w:rPr>
                <w:b/>
              </w:rPr>
              <w:t>Net assets acquired:</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Cash and cash equivalents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63" w:type="dxa"/>
            <w:tcBorders/>
            <w:shd w:fill="CCEEFF" w:val="clear"/>
            <w:vAlign w:val="center"/>
          </w:tcPr>
          <w:p>
            <w:pPr>
              <w:pStyle w:val="TableContents"/>
              <w:bidi w:val="0"/>
              <w:spacing w:before="0" w:after="283"/>
              <w:jc w:val="right"/>
              <w:rPr/>
            </w:pPr>
            <w:r>
              <w:rPr/>
              <w:t>553</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Trade accounts receivable, net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3,642</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Inventories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1,739</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Prepaid expenses and other current assets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30</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Property and equipment, net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485</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Intangible assets, net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3,871</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Operating lease right-of-use assets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1,277</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Accounts payable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(3,864</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 xml:space="preserve">Accrued expenses and other current liabilities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(1,002</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xml:space="preserve">Short-term debt with third parties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(2,706</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both"/>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(1,099</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xml:space="preserve">Contract liabilities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263" w:type="dxa"/>
            <w:tcBorders/>
            <w:vAlign w:val="center"/>
          </w:tcPr>
          <w:p>
            <w:pPr>
              <w:pStyle w:val="TableContents"/>
              <w:bidi w:val="0"/>
              <w:spacing w:before="0" w:after="283"/>
              <w:jc w:val="right"/>
              <w:rPr/>
            </w:pPr>
            <w:r>
              <w:rPr/>
              <w:t>(5,238</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Deferred tax liability</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(1,001</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 xml:space="preserve">Fair value of the excess of liabilities assumed over assets acquired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(3,313</w:t>
            </w:r>
          </w:p>
        </w:tc>
        <w:tc>
          <w:tcPr>
            <w:tcW w:w="170" w:type="dxa"/>
            <w:tcBorders/>
            <w:vAlign w:val="center"/>
          </w:tcPr>
          <w:p>
            <w:pPr>
              <w:pStyle w:val="TableContents"/>
              <w:bidi w:val="0"/>
              <w:spacing w:before="0" w:after="283"/>
              <w:jc w:val="left"/>
              <w:rPr/>
            </w:pPr>
            <w:r>
              <w:rPr/>
              <w:t>)</w:t>
            </w:r>
          </w:p>
        </w:tc>
      </w:tr>
      <w:tr>
        <w:trPr/>
        <w:tc>
          <w:tcPr>
            <w:tcW w:w="6320" w:type="dxa"/>
            <w:tcBorders/>
            <w:shd w:fill="CCEEFF" w:val="clear"/>
            <w:vAlign w:val="center"/>
          </w:tcPr>
          <w:p>
            <w:pPr>
              <w:pStyle w:val="TableContents"/>
              <w:bidi w:val="0"/>
              <w:spacing w:before="0" w:after="283"/>
              <w:jc w:val="left"/>
              <w:rPr/>
            </w:pPr>
            <w:r>
              <w:rPr/>
              <w:t xml:space="preserve">Fair value of common stock issued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3,333</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Fair value of Deferred Cobalt Consideration Shares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tcMar>
              <w:bottom w:w="28" w:type="dxa"/>
            </w:tcMar>
            <w:vAlign w:val="center"/>
          </w:tcPr>
          <w:p>
            <w:pPr>
              <w:pStyle w:val="TableContents"/>
              <w:bidi w:val="0"/>
              <w:spacing w:before="0" w:after="283"/>
              <w:jc w:val="right"/>
              <w:rPr/>
            </w:pPr>
            <w:r>
              <w:rPr/>
              <w:t>6,331</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xml:space="preserve">Consideration transferred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9,664</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xml:space="preserve">Goodwill recognized </w:t>
            </w:r>
          </w:p>
        </w:tc>
        <w:tc>
          <w:tcPr>
            <w:tcW w:w="9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1263" w:type="dxa"/>
            <w:tcBorders>
              <w:bottom w:val="double" w:sz="10" w:space="0" w:color="000000"/>
            </w:tcBorders>
            <w:tcMar>
              <w:bottom w:w="28" w:type="dxa"/>
            </w:tcMar>
            <w:vAlign w:val="center"/>
          </w:tcPr>
          <w:p>
            <w:pPr>
              <w:pStyle w:val="TableContents"/>
              <w:bidi w:val="0"/>
              <w:spacing w:before="0" w:after="283"/>
              <w:jc w:val="right"/>
              <w:rPr/>
            </w:pPr>
            <w:r>
              <w:rPr/>
              <w:t>12,977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514" w:type="dxa"/>
        <w:jc w:val="left"/>
        <w:tblInd w:w="0" w:type="dxa"/>
        <w:tblLayout w:type="fixed"/>
        <w:tblCellMar>
          <w:top w:w="0" w:type="dxa"/>
          <w:left w:w="0" w:type="dxa"/>
          <w:bottom w:w="0" w:type="dxa"/>
          <w:right w:w="0" w:type="dxa"/>
        </w:tblCellMar>
      </w:tblPr>
      <w:tblGrid>
        <w:gridCol w:w="4565"/>
        <w:gridCol w:w="90"/>
        <w:gridCol w:w="1070"/>
        <w:gridCol w:w="90"/>
        <w:gridCol w:w="349"/>
        <w:gridCol w:w="1215"/>
        <w:gridCol w:w="135"/>
      </w:tblGrid>
      <w:tr>
        <w:trPr/>
        <w:tc>
          <w:tcPr>
            <w:tcW w:w="45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 xml:space="preserve">as of the </w:t>
              <w:br/>
              <w:t>Cobalt Closing</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months</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 – Cobalt</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9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3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Building lease intangible asset – favorable lease</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c>
          <w:tcPr>
            <w:tcW w:w="90" w:type="dxa"/>
            <w:tcBorders/>
            <w:shd w:fill="CCEEFF" w:val="clear"/>
            <w:vAlign w:val="center"/>
          </w:tcPr>
          <w:p>
            <w:pPr>
              <w:pStyle w:val="TableContents"/>
              <w:bidi w:val="0"/>
              <w:spacing w:before="0" w:after="283"/>
              <w:jc w:val="left"/>
              <w:rPr/>
            </w:pPr>
            <w:r>
              <w:rPr/>
              <w:t> </w:t>
            </w:r>
          </w:p>
        </w:tc>
        <w:tc>
          <w:tcPr>
            <w:tcW w:w="3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135"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4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contributed $5.0 million and $0.3 million in revenue and income before income taxes from operations, respectively, for the period from the acquisition date to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Sunder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since the sellers joined the Company and represent members of management, they have a level of influence that is not insignificant; therefore, they are related parties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initially paid and remaining payable as of the date of the Sunder Closing is summarized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0"/>
        <w:gridCol w:w="90"/>
        <w:gridCol w:w="287"/>
        <w:gridCol w:w="1203"/>
        <w:gridCol w:w="135"/>
      </w:tblGrid>
      <w:tr>
        <w:trPr/>
        <w:tc>
          <w:tcPr>
            <w:tcW w:w="849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Consideration</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 at Sunder Closing</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 note</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shd w:fill="CCEEFF" w:val="cle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3.3 million shares of the Company’s common stock</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subsequent to Sunder Closing</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8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Sunder Consideration Shares (fair value of 6.7 million shares of the Company’s common stock at Sunder Closing)</w:t>
            </w:r>
          </w:p>
        </w:tc>
        <w:tc>
          <w:tcPr>
            <w:tcW w:w="90" w:type="dxa"/>
            <w:tcBorders/>
            <w:shd w:fill="CCEEFF" w:val="clear"/>
            <w:vAlign w:val="center"/>
          </w:tcPr>
          <w:p>
            <w:pPr>
              <w:pStyle w:val="TableContents"/>
              <w:bidi w:val="0"/>
              <w:spacing w:before="0" w:after="283"/>
              <w:jc w:val="left"/>
              <w:rPr/>
            </w:pPr>
            <w:r>
              <w:rPr/>
              <w:t> </w:t>
            </w:r>
          </w:p>
        </w:tc>
        <w:tc>
          <w:tcPr>
            <w:tcW w:w="2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8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 at Sunder Closing</w:t>
            </w:r>
          </w:p>
        </w:tc>
        <w:tc>
          <w:tcPr>
            <w:tcW w:w="90" w:type="dxa"/>
            <w:tcBorders/>
            <w:vAlign w:val="center"/>
          </w:tcPr>
          <w:p>
            <w:pPr>
              <w:pStyle w:val="TableContents"/>
              <w:bidi w:val="0"/>
              <w:spacing w:before="0" w:after="283"/>
              <w:jc w:val="left"/>
              <w:rPr/>
            </w:pPr>
            <w:r>
              <w:rPr/>
              <w:t> </w:t>
            </w:r>
          </w:p>
        </w:tc>
        <w:tc>
          <w:tcPr>
            <w:tcW w:w="28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18 – Subsequent Events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provisional fair value of identifiable assets acquired and liabilities assumed. No measurement period adjustments were recorded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tbl>
      <w:tblPr>
        <w:tblW w:w="5864" w:type="dxa"/>
        <w:jc w:val="left"/>
        <w:tblInd w:w="0" w:type="dxa"/>
        <w:tblLayout w:type="fixed"/>
        <w:tblCellMar>
          <w:top w:w="0" w:type="dxa"/>
          <w:left w:w="0" w:type="dxa"/>
          <w:bottom w:w="28" w:type="dxa"/>
          <w:right w:w="0" w:type="dxa"/>
        </w:tblCellMar>
      </w:tblPr>
      <w:tblGrid>
        <w:gridCol w:w="4355"/>
        <w:gridCol w:w="90"/>
        <w:gridCol w:w="221"/>
        <w:gridCol w:w="1028"/>
        <w:gridCol w:w="170"/>
      </w:tblGrid>
      <w:tr>
        <w:trPr/>
        <w:tc>
          <w:tcPr>
            <w:tcW w:w="4355" w:type="dxa"/>
            <w:tcBorders>
              <w:bottom w:val="single" w:sz="12" w:space="0" w:color="000000"/>
            </w:tcBorders>
            <w:vAlign w:val="center"/>
          </w:tcPr>
          <w:p>
            <w:pPr>
              <w:pStyle w:val="TableContents"/>
              <w:bidi w:val="0"/>
              <w:jc w:val="both"/>
              <w:rPr/>
            </w:pPr>
            <w:r>
              <w:rPr/>
              <w:t xml:space="preserve">  </w:t>
            </w:r>
          </w:p>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w:t>
            </w:r>
            <w:r>
              <w:rPr>
                <w:rFonts w:ascii="Times New Roman;Times;Serif" w:hAnsi="Times New Roman;Times;Serif"/>
                <w:i/>
              </w:rPr>
              <w:t>in thousands</w:t>
            </w: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90" w:type="dxa"/>
            <w:tcBorders/>
            <w:tcMar>
              <w:bottom w:w="0" w:type="dxa"/>
            </w:tcMar>
            <w:vAlign w:val="center"/>
          </w:tcPr>
          <w:p>
            <w:pPr>
              <w:pStyle w:val="TableContents"/>
              <w:bidi w:val="0"/>
              <w:spacing w:before="0" w:after="283"/>
              <w:jc w:val="left"/>
              <w:rPr/>
            </w:pPr>
            <w:r>
              <w:rPr/>
              <w:t> </w:t>
            </w:r>
          </w:p>
        </w:tc>
        <w:tc>
          <w:tcPr>
            <w:tcW w:w="1249" w:type="dxa"/>
            <w:gridSpan w:val="2"/>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90" w:type="dxa"/>
            <w:tcBorders/>
            <w:tcMar>
              <w:bottom w:w="0" w:type="dxa"/>
            </w:tcMar>
            <w:vAlign w:val="center"/>
          </w:tcPr>
          <w:p>
            <w:pPr>
              <w:pStyle w:val="TableContents"/>
              <w:bidi w:val="0"/>
              <w:spacing w:before="0" w:after="283"/>
              <w:jc w:val="left"/>
              <w:rPr/>
            </w:pPr>
            <w:r>
              <w:rPr/>
              <w:t> </w:t>
            </w:r>
          </w:p>
        </w:tc>
        <w:tc>
          <w:tcPr>
            <w:tcW w:w="221" w:type="dxa"/>
            <w:tcBorders/>
            <w:tcMar>
              <w:bottom w:w="0" w:type="dxa"/>
            </w:tcMar>
            <w:vAlign w:val="center"/>
          </w:tcPr>
          <w:p>
            <w:pPr>
              <w:pStyle w:val="TableContents"/>
              <w:bidi w:val="0"/>
              <w:spacing w:before="0" w:after="283"/>
              <w:jc w:val="left"/>
              <w:rPr/>
            </w:pPr>
            <w:r>
              <w:rPr/>
              <w:t> </w:t>
            </w:r>
          </w:p>
        </w:tc>
        <w:tc>
          <w:tcPr>
            <w:tcW w:w="102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w:t>
            </w:r>
          </w:p>
        </w:tc>
        <w:tc>
          <w:tcPr>
            <w:tcW w:w="9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02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435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90" w:type="dxa"/>
            <w:tcBorders/>
            <w:tcMar>
              <w:bottom w:w="0" w:type="dxa"/>
            </w:tcMar>
            <w:vAlign w:val="center"/>
          </w:tcPr>
          <w:p>
            <w:pPr>
              <w:pStyle w:val="TableContents"/>
              <w:bidi w:val="0"/>
              <w:spacing w:before="0" w:after="283"/>
              <w:jc w:val="left"/>
              <w:rPr/>
            </w:pPr>
            <w:r>
              <w:rPr/>
              <w:t> </w:t>
            </w:r>
          </w:p>
        </w:tc>
        <w:tc>
          <w:tcPr>
            <w:tcW w:w="221" w:type="dxa"/>
            <w:tcBorders>
              <w:bottom w:val="single" w:sz="12" w:space="0" w:color="000000"/>
            </w:tcBorders>
            <w:vAlign w:val="center"/>
          </w:tcPr>
          <w:p>
            <w:pPr>
              <w:pStyle w:val="TableContents"/>
              <w:bidi w:val="0"/>
              <w:spacing w:before="0" w:after="283"/>
              <w:jc w:val="left"/>
              <w:rPr/>
            </w:pPr>
            <w:r>
              <w:rPr/>
              <w:t> </w:t>
            </w:r>
          </w:p>
        </w:tc>
        <w:tc>
          <w:tcPr>
            <w:tcW w:w="102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70" w:type="dxa"/>
            <w:tcBorders/>
            <w:tcMar>
              <w:bottom w:w="0" w:type="dxa"/>
            </w:tcMar>
            <w:vAlign w:val="center"/>
          </w:tcPr>
          <w:p>
            <w:pPr>
              <w:pStyle w:val="TableContents"/>
              <w:bidi w:val="0"/>
              <w:spacing w:before="0" w:after="283"/>
              <w:jc w:val="left"/>
              <w:rPr/>
            </w:pPr>
            <w:r>
              <w:rPr/>
              <w:t> </w:t>
            </w:r>
          </w:p>
        </w:tc>
      </w:tr>
      <w:tr>
        <w:trPr/>
        <w:tc>
          <w:tcPr>
            <w:tcW w:w="435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1"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31,822</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and estimated useful lives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804" w:type="dxa"/>
        <w:jc w:val="left"/>
        <w:tblInd w:w="0" w:type="dxa"/>
        <w:tblLayout w:type="fixed"/>
        <w:tblCellMar>
          <w:top w:w="0" w:type="dxa"/>
          <w:left w:w="0" w:type="dxa"/>
          <w:bottom w:w="0" w:type="dxa"/>
          <w:right w:w="0" w:type="dxa"/>
        </w:tblCellMar>
      </w:tblPr>
      <w:tblGrid>
        <w:gridCol w:w="3080"/>
        <w:gridCol w:w="90"/>
        <w:gridCol w:w="1070"/>
        <w:gridCol w:w="90"/>
        <w:gridCol w:w="90"/>
        <w:gridCol w:w="240"/>
        <w:gridCol w:w="1009"/>
        <w:gridCol w:w="135"/>
      </w:tblGrid>
      <w:tr>
        <w:trPr/>
        <w:tc>
          <w:tcPr>
            <w:tcW w:w="30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30,600</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 - Sunder</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 - Sunder</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Ambia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780" w:type="dxa"/>
        <w:jc w:val="left"/>
        <w:tblInd w:w="0" w:type="dxa"/>
        <w:tblLayout w:type="fixed"/>
        <w:tblCellMar>
          <w:top w:w="0" w:type="dxa"/>
          <w:left w:w="0" w:type="dxa"/>
          <w:bottom w:w="0" w:type="dxa"/>
          <w:right w:w="0" w:type="dxa"/>
        </w:tblCellMar>
      </w:tblPr>
      <w:tblGrid>
        <w:gridCol w:w="8675"/>
        <w:gridCol w:w="90"/>
        <w:gridCol w:w="170"/>
        <w:gridCol w:w="710"/>
        <w:gridCol w:w="135"/>
      </w:tblGrid>
      <w:tr>
        <w:trPr/>
        <w:tc>
          <w:tcPr>
            <w:tcW w:w="86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Fair value of 10,243,924 shares of the Company’s common stock issued at Ambia Closing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35" w:type="dxa"/>
            <w:tcBorders/>
            <w:shd w:fill="CCEEFF" w:val="clear"/>
            <w:vAlign w:val="center"/>
          </w:tcPr>
          <w:p>
            <w:pPr>
              <w:pStyle w:val="TableContents"/>
              <w:bidi w:val="0"/>
              <w:spacing w:before="0" w:after="283"/>
              <w:jc w:val="left"/>
              <w:rPr/>
            </w:pPr>
            <w:r>
              <w:rPr/>
              <w:t> </w:t>
            </w:r>
          </w:p>
        </w:tc>
      </w:tr>
      <w:tr>
        <w:trPr/>
        <w:tc>
          <w:tcPr>
            <w:tcW w:w="8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Deferred Ambia Consideration Shares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35"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measurement period adjustments since the Ambia Closing. 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49" w:type="dxa"/>
        <w:jc w:val="left"/>
        <w:tblInd w:w="0" w:type="dxa"/>
        <w:tblLayout w:type="fixed"/>
        <w:tblCellMar>
          <w:top w:w="0" w:type="dxa"/>
          <w:left w:w="0" w:type="dxa"/>
          <w:bottom w:w="0" w:type="dxa"/>
          <w:right w:w="0" w:type="dxa"/>
        </w:tblCellMar>
      </w:tblPr>
      <w:tblGrid>
        <w:gridCol w:w="4940"/>
        <w:gridCol w:w="90"/>
        <w:gridCol w:w="240"/>
        <w:gridCol w:w="1009"/>
        <w:gridCol w:w="170"/>
      </w:tblGrid>
      <w:tr>
        <w:trPr/>
        <w:tc>
          <w:tcPr>
            <w:tcW w:w="49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70"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assets - unbilled receivables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Finance lease liabilities</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common stock issued</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Deferred Ambia Consideration Shares</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7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70"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Ambia Closing,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864" w:type="dxa"/>
        <w:jc w:val="left"/>
        <w:tblInd w:w="0" w:type="dxa"/>
        <w:tblLayout w:type="fixed"/>
        <w:tblCellMar>
          <w:top w:w="0" w:type="dxa"/>
          <w:left w:w="0" w:type="dxa"/>
          <w:bottom w:w="0" w:type="dxa"/>
          <w:right w:w="0" w:type="dxa"/>
        </w:tblCellMar>
      </w:tblPr>
      <w:tblGrid>
        <w:gridCol w:w="3230"/>
        <w:gridCol w:w="90"/>
        <w:gridCol w:w="1070"/>
        <w:gridCol w:w="90"/>
        <w:gridCol w:w="279"/>
        <w:gridCol w:w="970"/>
        <w:gridCol w:w="135"/>
      </w:tblGrid>
      <w:tr>
        <w:trPr/>
        <w:tc>
          <w:tcPr>
            <w:tcW w:w="32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 - Ambia</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year</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320"/>
        <w:gridCol w:w="800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Useful life is based upon customer consumption, expected to occur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650"/>
        <w:gridCol w:w="90"/>
        <w:gridCol w:w="187"/>
        <w:gridCol w:w="913"/>
        <w:gridCol w:w="90"/>
        <w:gridCol w:w="90"/>
        <w:gridCol w:w="187"/>
        <w:gridCol w:w="913"/>
        <w:gridCol w:w="135"/>
      </w:tblGrid>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center"/>
              <w:rPr/>
            </w:pPr>
            <w:r>
              <w:rPr/>
              <w:t> </w:t>
            </w:r>
          </w:p>
        </w:tc>
      </w:tr>
      <w:tr>
        <w:trPr/>
        <w:tc>
          <w:tcPr>
            <w:tcW w:w="36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revenue</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101,190</w:t>
            </w:r>
          </w:p>
        </w:tc>
        <w:tc>
          <w:tcPr>
            <w:tcW w:w="135"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income from operations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6703" w:type="dxa"/>
        <w:jc w:val="left"/>
        <w:tblInd w:w="0" w:type="dxa"/>
        <w:tblLayout w:type="fixed"/>
        <w:tblCellMar>
          <w:top w:w="0" w:type="dxa"/>
          <w:left w:w="0" w:type="dxa"/>
          <w:bottom w:w="0" w:type="dxa"/>
          <w:right w:w="0" w:type="dxa"/>
        </w:tblCellMar>
      </w:tblPr>
      <w:tblGrid>
        <w:gridCol w:w="4100"/>
        <w:gridCol w:w="90"/>
        <w:gridCol w:w="212"/>
        <w:gridCol w:w="887"/>
        <w:gridCol w:w="90"/>
        <w:gridCol w:w="90"/>
        <w:gridCol w:w="212"/>
        <w:gridCol w:w="887"/>
        <w:gridCol w:w="135"/>
      </w:tblGrid>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br/>
              <w:t>2025</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Solar Installation</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Residential Solar Installation</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Homes Business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15,466</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New Homes Business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41,909</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Dealer</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Dealer</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78,413</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over time</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51,970</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863" w:type="dxa"/>
        <w:jc w:val="left"/>
        <w:tblInd w:w="0" w:type="dxa"/>
        <w:tblLayout w:type="fixed"/>
        <w:tblCellMar>
          <w:top w:w="0" w:type="dxa"/>
          <w:left w:w="0" w:type="dxa"/>
          <w:bottom w:w="0" w:type="dxa"/>
          <w:right w:w="0" w:type="dxa"/>
        </w:tblCellMar>
      </w:tblPr>
      <w:tblGrid>
        <w:gridCol w:w="2915"/>
        <w:gridCol w:w="90"/>
        <w:gridCol w:w="212"/>
        <w:gridCol w:w="887"/>
        <w:gridCol w:w="90"/>
        <w:gridCol w:w="90"/>
        <w:gridCol w:w="278"/>
        <w:gridCol w:w="1166"/>
        <w:gridCol w:w="135"/>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20,336</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noncurrent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liabilities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current period from contract liabilities as of December 28, 2025 was $18.5 million in the thirteen week period ended March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5060"/>
        <w:gridCol w:w="90"/>
        <w:gridCol w:w="175"/>
        <w:gridCol w:w="609"/>
        <w:gridCol w:w="90"/>
        <w:gridCol w:w="90"/>
        <w:gridCol w:w="289"/>
        <w:gridCol w:w="495"/>
        <w:gridCol w:w="90"/>
        <w:gridCol w:w="90"/>
        <w:gridCol w:w="170"/>
        <w:gridCol w:w="830"/>
        <w:gridCol w:w="90"/>
        <w:gridCol w:w="90"/>
        <w:gridCol w:w="170"/>
        <w:gridCol w:w="830"/>
        <w:gridCol w:w="135"/>
      </w:tblGrid>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Cobalt Consideration Shares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489" w:type="dxa"/>
        <w:jc w:val="left"/>
        <w:tblInd w:w="0" w:type="dxa"/>
        <w:tblLayout w:type="fixed"/>
        <w:tblCellMar>
          <w:top w:w="0" w:type="dxa"/>
          <w:left w:w="0" w:type="dxa"/>
          <w:bottom w:w="0" w:type="dxa"/>
          <w:right w:w="0" w:type="dxa"/>
        </w:tblCellMar>
      </w:tblPr>
      <w:tblGrid>
        <w:gridCol w:w="5060"/>
        <w:gridCol w:w="90"/>
        <w:gridCol w:w="170"/>
        <w:gridCol w:w="710"/>
        <w:gridCol w:w="90"/>
        <w:gridCol w:w="90"/>
        <w:gridCol w:w="289"/>
        <w:gridCol w:w="495"/>
        <w:gridCol w:w="90"/>
        <w:gridCol w:w="90"/>
        <w:gridCol w:w="170"/>
        <w:gridCol w:w="830"/>
        <w:gridCol w:w="90"/>
        <w:gridCol w:w="90"/>
        <w:gridCol w:w="170"/>
        <w:gridCol w:w="830"/>
        <w:gridCol w:w="135"/>
      </w:tblGrid>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Sunder Consideration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Times;Serif" w:hAnsi="Times New Roman;Times;Serif"/>
                <w:b/>
                <w:sz w:val="20"/>
              </w:rPr>
              <w:t>Note 9 – Borrowings and Derivative Liabilities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1055" w:type="dxa"/>
        <w:jc w:val="left"/>
        <w:tblInd w:w="0" w:type="dxa"/>
        <w:tblLayout w:type="fixed"/>
        <w:tblCellMar>
          <w:top w:w="0" w:type="dxa"/>
          <w:left w:w="0" w:type="dxa"/>
          <w:bottom w:w="0" w:type="dxa"/>
          <w:right w:w="0" w:type="dxa"/>
        </w:tblCellMar>
      </w:tblPr>
      <w:tblGrid>
        <w:gridCol w:w="1385"/>
        <w:gridCol w:w="90"/>
        <w:gridCol w:w="195"/>
        <w:gridCol w:w="905"/>
        <w:gridCol w:w="125"/>
        <w:gridCol w:w="90"/>
        <w:gridCol w:w="241"/>
        <w:gridCol w:w="1009"/>
        <w:gridCol w:w="90"/>
        <w:gridCol w:w="90"/>
        <w:gridCol w:w="269"/>
        <w:gridCol w:w="936"/>
        <w:gridCol w:w="90"/>
        <w:gridCol w:w="90"/>
        <w:gridCol w:w="370"/>
        <w:gridCol w:w="895"/>
        <w:gridCol w:w="90"/>
        <w:gridCol w:w="90"/>
        <w:gridCol w:w="212"/>
        <w:gridCol w:w="738"/>
        <w:gridCol w:w="125"/>
        <w:gridCol w:w="90"/>
        <w:gridCol w:w="287"/>
        <w:gridCol w:w="1203"/>
        <w:gridCol w:w="125"/>
        <w:gridCol w:w="90"/>
        <w:gridCol w:w="170"/>
        <w:gridCol w:w="830"/>
        <w:gridCol w:w="135"/>
      </w:tblGrid>
      <w:tr>
        <w:trPr/>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3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br/>
              <w:t>debt at fair</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Consideration</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19,338</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(28,255</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29, 2026</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1"/>
        <w:gridCol w:w="90"/>
        <w:gridCol w:w="195"/>
        <w:gridCol w:w="905"/>
        <w:gridCol w:w="125"/>
        <w:gridCol w:w="90"/>
        <w:gridCol w:w="269"/>
        <w:gridCol w:w="936"/>
        <w:gridCol w:w="125"/>
        <w:gridCol w:w="90"/>
        <w:gridCol w:w="370"/>
        <w:gridCol w:w="895"/>
        <w:gridCol w:w="90"/>
        <w:gridCol w:w="90"/>
        <w:gridCol w:w="212"/>
        <w:gridCol w:w="738"/>
        <w:gridCol w:w="90"/>
        <w:gridCol w:w="90"/>
        <w:gridCol w:w="170"/>
        <w:gridCol w:w="830"/>
        <w:gridCol w:w="144"/>
      </w:tblGrid>
      <w:tr>
        <w:trPr/>
        <w:tc>
          <w:tcPr>
            <w:tcW w:w="36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31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44" w:type="dxa"/>
            <w:tcBorders/>
            <w:vAlign w:val="center"/>
          </w:tcPr>
          <w:p>
            <w:pPr>
              <w:pStyle w:val="TableContents"/>
              <w:bidi w:val="0"/>
              <w:spacing w:before="0" w:after="283"/>
              <w:jc w:val="left"/>
              <w:rPr/>
            </w:pPr>
            <w:r>
              <w:rPr/>
              <w:t> </w:t>
            </w:r>
          </w:p>
        </w:tc>
      </w:tr>
      <w:tr>
        <w:trPr/>
        <w:tc>
          <w:tcPr>
            <w:tcW w:w="36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44" w:type="dxa"/>
            <w:tcBorders/>
            <w:vAlign w:val="center"/>
          </w:tcPr>
          <w:p>
            <w:pPr>
              <w:pStyle w:val="TableContents"/>
              <w:bidi w:val="0"/>
              <w:spacing w:before="0" w:after="283"/>
              <w:ind w:left="0" w:right="0" w:hanging="180"/>
              <w:jc w:val="left"/>
              <w:rPr/>
            </w:pPr>
            <w:r>
              <w:rPr/>
              <w:t> </w:t>
            </w:r>
          </w:p>
        </w:tc>
      </w:tr>
      <w:tr>
        <w:trPr/>
        <w:tc>
          <w:tcPr>
            <w:tcW w:w="36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101,699</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6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44" w:type="dxa"/>
            <w:tcBorders/>
            <w:vAlign w:val="center"/>
          </w:tcPr>
          <w:p>
            <w:pPr>
              <w:pStyle w:val="TableContents"/>
              <w:bidi w:val="0"/>
              <w:spacing w:before="0" w:after="283"/>
              <w:ind w:left="0" w:right="0" w:hanging="180"/>
              <w:jc w:val="left"/>
              <w:rPr/>
            </w:pPr>
            <w:r>
              <w:rPr/>
              <w:t> </w:t>
            </w:r>
          </w:p>
        </w:tc>
      </w:tr>
      <w:tr>
        <w:trPr/>
        <w:tc>
          <w:tcPr>
            <w:tcW w:w="36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6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69" w:type="dxa"/>
            <w:tcBorders>
              <w:bottom w:val="single" w:sz="12" w:space="0" w:color="000000"/>
            </w:tcBorders>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(14,887</w:t>
            </w:r>
          </w:p>
        </w:tc>
        <w:tc>
          <w:tcPr>
            <w:tcW w:w="144"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66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30, 2025</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86,812</w:t>
            </w:r>
          </w:p>
        </w:tc>
        <w:tc>
          <w:tcPr>
            <w:tcW w:w="14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(refer to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March 29, 2026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7"/>
        <w:gridCol w:w="90"/>
        <w:gridCol w:w="170"/>
        <w:gridCol w:w="710"/>
        <w:gridCol w:w="245"/>
        <w:gridCol w:w="90"/>
        <w:gridCol w:w="170"/>
        <w:gridCol w:w="710"/>
        <w:gridCol w:w="245"/>
        <w:gridCol w:w="90"/>
        <w:gridCol w:w="226"/>
        <w:gridCol w:w="949"/>
        <w:gridCol w:w="245"/>
        <w:gridCol w:w="90"/>
        <w:gridCol w:w="174"/>
        <w:gridCol w:w="731"/>
        <w:gridCol w:w="245"/>
        <w:gridCol w:w="90"/>
        <w:gridCol w:w="200"/>
        <w:gridCol w:w="832"/>
        <w:gridCol w:w="286"/>
        <w:gridCol w:w="104"/>
        <w:gridCol w:w="200"/>
        <w:gridCol w:w="832"/>
        <w:gridCol w:w="294"/>
      </w:tblGrid>
      <w:tr>
        <w:trPr/>
        <w:tc>
          <w:tcPr>
            <w:tcW w:w="21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45"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12.0% Senior Unsecured Convertible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94" w:type="dxa"/>
            <w:tcBorders/>
            <w:vAlign w:val="center"/>
          </w:tcPr>
          <w:p>
            <w:pPr>
              <w:pStyle w:val="TableContents"/>
              <w:bidi w:val="0"/>
              <w:spacing w:before="0" w:after="283"/>
              <w:jc w:val="left"/>
              <w:rPr/>
            </w:pPr>
            <w:r>
              <w:rPr/>
              <w:t> </w:t>
            </w:r>
          </w:p>
        </w:tc>
      </w:tr>
      <w:tr>
        <w:trPr/>
        <w:tc>
          <w:tcPr>
            <w:tcW w:w="21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w:t>
              <w:br/>
              <w:t>2024</w:t>
              <w:br/>
              <w:t>Notes</w:t>
            </w:r>
            <w:r>
              <w:rPr>
                <w:rFonts w:ascii="Times New Roman;Times;Serif" w:hAnsi="Times New Roman;Times;Serif"/>
                <w:b/>
                <w:position w:val="7"/>
                <w:sz w:val="16"/>
                <w:sz w:val="20"/>
              </w:rPr>
              <w:t>(1)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November</w:t>
              <w:br/>
              <w:t xml:space="preserve">2025 </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 xml:space="preserve">2026 </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86"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94" w:type="dxa"/>
            <w:tcBorders/>
            <w:vAlign w:val="center"/>
          </w:tcPr>
          <w:p>
            <w:pPr>
              <w:pStyle w:val="TableContents"/>
              <w:bidi w:val="0"/>
              <w:spacing w:before="0" w:after="283"/>
              <w:jc w:val="left"/>
              <w:rPr/>
            </w:pPr>
            <w:r>
              <w:rPr/>
              <w:t> </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86"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94" w:type="dxa"/>
            <w:tcBorders/>
            <w:vAlign w:val="center"/>
          </w:tcPr>
          <w:p>
            <w:pPr>
              <w:pStyle w:val="TableContents"/>
              <w:bidi w:val="0"/>
              <w:spacing w:before="0" w:after="283"/>
              <w:jc w:val="left"/>
              <w:rPr/>
            </w:pPr>
            <w:r>
              <w:rPr/>
              <w:t> </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86"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94" w:type="dxa"/>
            <w:tcBorders/>
            <w:shd w:fill="CCEEFF" w:val="clear"/>
            <w:vAlign w:val="center"/>
          </w:tcPr>
          <w:p>
            <w:pPr>
              <w:pStyle w:val="TableContents"/>
              <w:bidi w:val="0"/>
              <w:spacing w:before="0" w:after="283"/>
              <w:jc w:val="left"/>
              <w:rPr/>
            </w:pPr>
            <w:r>
              <w:rPr/>
              <w:t> </w:t>
            </w:r>
          </w:p>
        </w:tc>
      </w:tr>
      <w:tr>
        <w:trPr/>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86"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94" w:type="dxa"/>
            <w:tcBorders/>
            <w:vAlign w:val="center"/>
          </w:tcPr>
          <w:p>
            <w:pPr>
              <w:pStyle w:val="TableContents"/>
              <w:bidi w:val="0"/>
              <w:spacing w:before="0" w:after="283"/>
              <w:jc w:val="left"/>
              <w:rPr/>
            </w:pPr>
            <w:r>
              <w:rPr/>
              <w:t> </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9871" w:type="dxa"/>
        <w:jc w:val="left"/>
        <w:tblInd w:w="0" w:type="dxa"/>
        <w:tblLayout w:type="fixed"/>
        <w:tblCellMar>
          <w:top w:w="0" w:type="dxa"/>
          <w:left w:w="0" w:type="dxa"/>
          <w:bottom w:w="0" w:type="dxa"/>
          <w:right w:w="0" w:type="dxa"/>
        </w:tblCellMar>
      </w:tblPr>
      <w:tblGrid>
        <w:gridCol w:w="2225"/>
        <w:gridCol w:w="90"/>
        <w:gridCol w:w="229"/>
        <w:gridCol w:w="959"/>
        <w:gridCol w:w="331"/>
        <w:gridCol w:w="121"/>
        <w:gridCol w:w="229"/>
        <w:gridCol w:w="959"/>
        <w:gridCol w:w="331"/>
        <w:gridCol w:w="121"/>
        <w:gridCol w:w="229"/>
        <w:gridCol w:w="959"/>
        <w:gridCol w:w="245"/>
        <w:gridCol w:w="90"/>
        <w:gridCol w:w="200"/>
        <w:gridCol w:w="835"/>
        <w:gridCol w:w="288"/>
        <w:gridCol w:w="105"/>
        <w:gridCol w:w="200"/>
        <w:gridCol w:w="835"/>
        <w:gridCol w:w="290"/>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8"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12.0% Senior Unsecured Convertible Notes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9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July </w:t>
              <w:br/>
              <w:t>2024</w:t>
              <w:br/>
              <w:t>Notes</w:t>
            </w:r>
            <w:r>
              <w:rPr>
                <w:rFonts w:ascii="Times New Roman;Times;Serif" w:hAnsi="Times New Roman;Times;Serif"/>
                <w:b/>
                <w:position w:val="7"/>
                <w:sz w:val="16"/>
                <w:sz w:val="20"/>
              </w:rPr>
              <w:t>(1)</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November</w:t>
              <w:br/>
              <w:t>2025</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8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8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3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3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88"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9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3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8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9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3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3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7"/>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option is derived based upon the above assumptions plus a make-whole provision which is based upon changes in the Company’s stock price and the conversion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 Million Note and 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$1.9 Million Note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issued on January 27, 2026 in connection with the Standby Equity Purchase Agreement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and the March 2026 Bridge Note (as defined in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issued on March 6, 2026. The $1.9 Million Note and March 2026 Bridge Note were measured at fair value on a recurring basis and classified as a Level 3 liability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simulation include stock price, simulation period and volatility of the Company’s common stock and were as follows as of March 29, 2026:</w:t>
      </w:r>
    </w:p>
    <w:p>
      <w:pPr>
        <w:pStyle w:val="TextBody"/>
        <w:bidi w:val="0"/>
        <w:spacing w:before="0" w:after="0"/>
        <w:ind w:left="0" w:right="0" w:hanging="0"/>
        <w:jc w:val="both"/>
        <w:rPr>
          <w:caps w:val="false"/>
          <w:smallCaps w:val="false"/>
        </w:rPr>
      </w:pPr>
      <w:r>
        <w:rPr>
          <w:caps w:val="false"/>
          <w:smallCaps w:val="false"/>
        </w:rPr>
        <w:t> </w:t>
      </w:r>
    </w:p>
    <w:tbl>
      <w:tblPr>
        <w:tblW w:w="5558" w:type="dxa"/>
        <w:jc w:val="left"/>
        <w:tblInd w:w="0" w:type="dxa"/>
        <w:tblLayout w:type="fixed"/>
        <w:tblCellMar>
          <w:top w:w="0" w:type="dxa"/>
          <w:left w:w="0" w:type="dxa"/>
          <w:bottom w:w="0" w:type="dxa"/>
          <w:right w:w="0" w:type="dxa"/>
        </w:tblCellMar>
      </w:tblPr>
      <w:tblGrid>
        <w:gridCol w:w="2315"/>
        <w:gridCol w:w="90"/>
        <w:gridCol w:w="203"/>
        <w:gridCol w:w="1046"/>
        <w:gridCol w:w="245"/>
        <w:gridCol w:w="90"/>
        <w:gridCol w:w="208"/>
        <w:gridCol w:w="1071"/>
        <w:gridCol w:w="290"/>
      </w:tblGrid>
      <w:tr>
        <w:trPr/>
        <w:tc>
          <w:tcPr>
            <w:tcW w:w="231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 Million</w:t>
              <w:br/>
              <w:t>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2026</w:t>
              <w:br/>
              <w:t>Bridge Note</w:t>
            </w:r>
          </w:p>
        </w:tc>
        <w:tc>
          <w:tcPr>
            <w:tcW w:w="29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VWAP stock price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90"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Simulation period</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 years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 years</w:t>
            </w:r>
          </w:p>
        </w:tc>
        <w:tc>
          <w:tcPr>
            <w:tcW w:w="29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risk-adjusted rate</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2360"/>
        <w:gridCol w:w="90"/>
        <w:gridCol w:w="178"/>
        <w:gridCol w:w="921"/>
        <w:gridCol w:w="245"/>
        <w:gridCol w:w="90"/>
        <w:gridCol w:w="322"/>
        <w:gridCol w:w="1122"/>
        <w:gridCol w:w="290"/>
      </w:tblGrid>
      <w:tr>
        <w:trPr/>
        <w:tc>
          <w:tcPr>
            <w:tcW w:w="23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9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9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9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90"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9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price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90"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5123" w:type="dxa"/>
        <w:jc w:val="left"/>
        <w:tblInd w:w="0" w:type="dxa"/>
        <w:tblLayout w:type="fixed"/>
        <w:tblCellMar>
          <w:top w:w="0" w:type="dxa"/>
          <w:left w:w="0" w:type="dxa"/>
          <w:bottom w:w="0" w:type="dxa"/>
          <w:right w:w="0" w:type="dxa"/>
        </w:tblCellMar>
      </w:tblPr>
      <w:tblGrid>
        <w:gridCol w:w="1865"/>
        <w:gridCol w:w="90"/>
        <w:gridCol w:w="178"/>
        <w:gridCol w:w="921"/>
        <w:gridCol w:w="245"/>
        <w:gridCol w:w="90"/>
        <w:gridCol w:w="382"/>
        <w:gridCol w:w="1062"/>
        <w:gridCol w:w="290"/>
      </w:tblGrid>
      <w:tr>
        <w:trPr/>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9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VWAP stock price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period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 years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Ambia consideration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tables set forth the Company’s financial liabilities that are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46"/>
        <w:gridCol w:w="1139"/>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26,724</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17,086</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4,494</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45,830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18,793</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(85,157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125,314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46"/>
        <w:gridCol w:w="1139"/>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33,165</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21,204</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54,369</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5,641</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68,305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(88,528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9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154,902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$9.6 million and $10.8 million as of March 29, 2026, and December 28, 2025,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73" w:type="dxa"/>
        <w:jc w:val="left"/>
        <w:tblInd w:w="0" w:type="dxa"/>
        <w:tblLayout w:type="fixed"/>
        <w:tblCellMar>
          <w:top w:w="0" w:type="dxa"/>
          <w:left w:w="0" w:type="dxa"/>
          <w:bottom w:w="0" w:type="dxa"/>
          <w:right w:w="0" w:type="dxa"/>
        </w:tblCellMar>
      </w:tblPr>
      <w:tblGrid>
        <w:gridCol w:w="4625"/>
        <w:gridCol w:w="90"/>
        <w:gridCol w:w="212"/>
        <w:gridCol w:w="887"/>
        <w:gridCol w:w="90"/>
        <w:gridCol w:w="90"/>
        <w:gridCol w:w="278"/>
        <w:gridCol w:w="1166"/>
        <w:gridCol w:w="135"/>
      </w:tblGrid>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to obtain contracts and costs to fulfill contracts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13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83" w:type="dxa"/>
        <w:jc w:val="left"/>
        <w:tblInd w:w="0" w:type="dxa"/>
        <w:tblLayout w:type="fixed"/>
        <w:tblCellMar>
          <w:top w:w="0" w:type="dxa"/>
          <w:left w:w="0" w:type="dxa"/>
          <w:bottom w:w="0" w:type="dxa"/>
          <w:right w:w="0" w:type="dxa"/>
        </w:tblCellMar>
      </w:tblPr>
      <w:tblGrid>
        <w:gridCol w:w="4835"/>
        <w:gridCol w:w="90"/>
        <w:gridCol w:w="212"/>
        <w:gridCol w:w="887"/>
        <w:gridCol w:w="90"/>
        <w:gridCol w:w="90"/>
        <w:gridCol w:w="278"/>
        <w:gridCol w:w="1166"/>
        <w:gridCol w:w="135"/>
      </w:tblGrid>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 and benefits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7,202</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settlements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rebates and credits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7,564</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fees</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financing deposits with related parties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6,301</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19,194</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56,977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$2.2 million and $2.6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Goodwill and Other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Cobalt and assigned provisional goodwill of $9.3 million 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March 29, 2026 and December 28, 2025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4250"/>
        <w:gridCol w:w="90"/>
        <w:gridCol w:w="237"/>
        <w:gridCol w:w="997"/>
        <w:gridCol w:w="90"/>
        <w:gridCol w:w="90"/>
        <w:gridCol w:w="244"/>
        <w:gridCol w:w="1020"/>
        <w:gridCol w:w="90"/>
        <w:gridCol w:w="90"/>
        <w:gridCol w:w="170"/>
        <w:gridCol w:w="710"/>
        <w:gridCol w:w="90"/>
        <w:gridCol w:w="90"/>
        <w:gridCol w:w="170"/>
        <w:gridCol w:w="710"/>
        <w:gridCol w:w="135"/>
      </w:tblGrid>
      <w:tr>
        <w:trPr/>
        <w:tc>
          <w:tcPr>
            <w:tcW w:w="4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Residential </w:t>
              <w:br/>
              <w:t xml:space="preserve">Solar </w:t>
              <w:br/>
              <w:t>Installation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Balance as of December 28, 2025</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62,630</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Accumulated impairment losses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62,630</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Measurement period adjustments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Goodwill acquired in business combinations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12,977</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Balance as of March 29, 2026</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75,607</w:t>
            </w:r>
          </w:p>
        </w:tc>
        <w:tc>
          <w:tcPr>
            <w:tcW w:w="13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Accumulated impairment losses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7" w:type="dxa"/>
            <w:tcBorders>
              <w:bottom w:val="double" w:sz="10" w:space="0" w:color="000000"/>
            </w:tcBorders>
            <w:shd w:fill="CCEEFF" w:val="clear"/>
            <w:tcMar>
              <w:bottom w:w="28" w:type="dxa"/>
            </w:tcMar>
            <w:vAlign w:val="center"/>
          </w:tcPr>
          <w:p>
            <w:pPr>
              <w:pStyle w:val="TableContents"/>
              <w:bidi w:val="0"/>
              <w:spacing w:before="0" w:after="283"/>
              <w:jc w:val="right"/>
              <w:rPr/>
            </w:pPr>
            <w:r>
              <w:rPr/>
              <w:t>30,808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12,977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75,607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March 29, 2026 and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28" w:type="dxa"/>
          <w:right w:w="0" w:type="dxa"/>
        </w:tblCellMar>
      </w:tblPr>
      <w:tblGrid>
        <w:gridCol w:w="2750"/>
        <w:gridCol w:w="90"/>
        <w:gridCol w:w="180"/>
        <w:gridCol w:w="754"/>
        <w:gridCol w:w="90"/>
        <w:gridCol w:w="90"/>
        <w:gridCol w:w="285"/>
        <w:gridCol w:w="1115"/>
        <w:gridCol w:w="125"/>
        <w:gridCol w:w="90"/>
        <w:gridCol w:w="195"/>
        <w:gridCol w:w="814"/>
        <w:gridCol w:w="135"/>
      </w:tblGrid>
      <w:tr>
        <w:trPr/>
        <w:tc>
          <w:tcPr>
            <w:tcW w:w="275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March 29, 2026</w:t>
            </w:r>
          </w:p>
        </w:tc>
        <w:tc>
          <w:tcPr>
            <w:tcW w:w="9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90"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18,043</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intangible asset</w:t>
            </w:r>
          </w:p>
        </w:tc>
        <w:tc>
          <w:tcPr>
            <w:tcW w:w="90" w:type="dxa"/>
            <w:tcBorders/>
            <w:tcMar>
              <w:bottom w:w="0" w:type="dxa"/>
            </w:tcMar>
            <w:vAlign w:val="center"/>
          </w:tcPr>
          <w:p>
            <w:pPr>
              <w:pStyle w:val="TableContents"/>
              <w:bidi w:val="0"/>
              <w:spacing w:before="0" w:after="283"/>
              <w:jc w:val="left"/>
              <w:rPr/>
            </w:pPr>
            <w:r>
              <w:rPr/>
              <w:t> </w:t>
            </w:r>
          </w:p>
        </w:tc>
        <w:tc>
          <w:tcPr>
            <w:tcW w:w="180" w:type="dxa"/>
            <w:tcBorders>
              <w:bottom w:val="single" w:sz="12" w:space="0" w:color="000000"/>
            </w:tcBorders>
            <w:vAlign w:val="center"/>
          </w:tcPr>
          <w:p>
            <w:pPr>
              <w:pStyle w:val="TableContents"/>
              <w:bidi w:val="0"/>
              <w:spacing w:before="0" w:after="283"/>
              <w:jc w:val="left"/>
              <w:rPr/>
            </w:pPr>
            <w:r>
              <w:rPr/>
              <w:t> </w:t>
            </w:r>
          </w:p>
        </w:tc>
        <w:tc>
          <w:tcPr>
            <w:tcW w:w="754"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vAlign w:val="center"/>
          </w:tcPr>
          <w:p>
            <w:pPr>
              <w:pStyle w:val="TableContents"/>
              <w:bidi w:val="0"/>
              <w:spacing w:before="0" w:after="283"/>
              <w:jc w:val="left"/>
              <w:rPr/>
            </w:pPr>
            <w:r>
              <w:rPr/>
              <w:t> </w:t>
            </w:r>
          </w:p>
        </w:tc>
        <w:tc>
          <w:tcPr>
            <w:tcW w:w="814"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(9,749</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28" w:type="dxa"/>
          <w:right w:w="0" w:type="dxa"/>
        </w:tblCellMar>
      </w:tblPr>
      <w:tblGrid>
        <w:gridCol w:w="2750"/>
        <w:gridCol w:w="90"/>
        <w:gridCol w:w="180"/>
        <w:gridCol w:w="754"/>
        <w:gridCol w:w="90"/>
        <w:gridCol w:w="90"/>
        <w:gridCol w:w="285"/>
        <w:gridCol w:w="1115"/>
        <w:gridCol w:w="125"/>
        <w:gridCol w:w="90"/>
        <w:gridCol w:w="195"/>
        <w:gridCol w:w="814"/>
        <w:gridCol w:w="135"/>
      </w:tblGrid>
      <w:tr>
        <w:trPr/>
        <w:tc>
          <w:tcPr>
            <w:tcW w:w="275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December 28, 2025</w:t>
            </w:r>
          </w:p>
        </w:tc>
        <w:tc>
          <w:tcPr>
            <w:tcW w:w="9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90"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16,687</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bottom w:val="single" w:sz="12" w:space="0" w:color="000000"/>
            </w:tcBorders>
            <w:shd w:fill="CCEEFF" w:val="clear"/>
            <w:vAlign w:val="center"/>
          </w:tcPr>
          <w:p>
            <w:pPr>
              <w:pStyle w:val="TableContents"/>
              <w:bidi w:val="0"/>
              <w:spacing w:before="0" w:after="283"/>
              <w:jc w:val="left"/>
              <w:rPr/>
            </w:pPr>
            <w:r>
              <w:rPr/>
              <w:t> </w:t>
            </w:r>
          </w:p>
        </w:tc>
        <w:tc>
          <w:tcPr>
            <w:tcW w:w="75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90" w:type="dxa"/>
            <w:tcBorders/>
            <w:tcMar>
              <w:bottom w:w="0" w:type="dxa"/>
            </w:tcMar>
            <w:vAlign w:val="center"/>
          </w:tcPr>
          <w:p>
            <w:pPr>
              <w:pStyle w:val="TableContents"/>
              <w:bidi w:val="0"/>
              <w:spacing w:before="0" w:after="283"/>
              <w:jc w:val="left"/>
              <w:rPr/>
            </w:pPr>
            <w:r>
              <w:rPr/>
              <w:t> </w:t>
            </w:r>
          </w:p>
        </w:tc>
        <w:tc>
          <w:tcPr>
            <w:tcW w:w="18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4"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5"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4"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SAFE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Times;Serif" w:hAnsi="Times New Roman;Times;Serif"/>
          <w:b/>
          <w:i w:val="false"/>
          <w:caps w:val="false"/>
          <w:smallCaps w:val="false"/>
          <w:sz w:val="20"/>
        </w:rPr>
        <w:t xml:space="preserve">Note 5 – Fair Value Measurements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SAFE was converted and exchanged into $1.0 million principal amount of the Company’s 10.0% convertible secured notes due 2029.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3"/>
        <w:gridCol w:w="90"/>
        <w:gridCol w:w="182"/>
        <w:gridCol w:w="893"/>
        <w:gridCol w:w="125"/>
        <w:gridCol w:w="90"/>
        <w:gridCol w:w="242"/>
        <w:gridCol w:w="1187"/>
        <w:gridCol w:w="173"/>
      </w:tblGrid>
      <w:tr>
        <w:trPr/>
        <w:tc>
          <w:tcPr>
            <w:tcW w:w="722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1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3" w:type="dxa"/>
            <w:tcBorders/>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3" w:type="dxa"/>
            <w:tcBorders/>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3" w:type="dxa"/>
            <w:tcBorders/>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(including current portion of long-term debt):</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Cobalt Loan</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2,706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Total Short-term debt with third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13,736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and current portion of long-term debt</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with related parties: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Note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with related party</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with related parties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Long-term debt: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12.0% senior unsecured convertible notes and related derivative liabilities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32,969</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 related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 derivative liability</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32,219</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derivative liability – related party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12.0% senior unsecured convertible notes and derivative liabilities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79,487</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 related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 derivative liability</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43,800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 derivative liability</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78,588</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notes payable and derivative liabilities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current portion</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senior unsecured convertible notes payable and derivative liabilities, net of current portion</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classification of long-term debt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120,159</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with related parties</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35,130</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 including net of current portion</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73" w:type="dxa"/>
            <w:tcBorders/>
            <w:shd w:fill="CCEEFF" w:val="clear"/>
            <w:vAlign w:val="center"/>
          </w:tcPr>
          <w:p>
            <w:pPr>
              <w:pStyle w:val="TableContents"/>
              <w:bidi w:val="0"/>
              <w:spacing w:before="0" w:after="283"/>
              <w:jc w:val="left"/>
              <w:rPr/>
            </w:pPr>
            <w:r>
              <w:rPr/>
              <w:t> </w:t>
            </w:r>
          </w:p>
        </w:tc>
      </w:tr>
      <w:tr>
        <w:trPr/>
        <w:tc>
          <w:tcPr>
            <w:tcW w:w="72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73" w:type="dxa"/>
            <w:tcBorders/>
            <w:vAlign w:val="center"/>
          </w:tcPr>
          <w:p>
            <w:pPr>
              <w:pStyle w:val="TableContents"/>
              <w:bidi w:val="0"/>
              <w:spacing w:before="0" w:after="283"/>
              <w:jc w:val="left"/>
              <w:rPr/>
            </w:pPr>
            <w:r>
              <w:rPr/>
              <w:t> </w:t>
            </w:r>
          </w:p>
        </w:tc>
      </w:tr>
      <w:tr>
        <w:trPr/>
        <w:tc>
          <w:tcPr>
            <w:tcW w:w="72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also provides the Company the right, subject to certain conditions, to require YA to purchase up to $25.0 million of the Company’s common stock (“Commitment Amount”) through January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the Company paid YA total fees of $0.4 million consisting of $0.05 million of cash and 175,000 shares of the Company’s common stock, with a fair value of $0.3 million, as a due diligence, structuring and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due to the use of significant unobservable inputs in the valuation.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 description of the inputs and assumptions used in the valuation of the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additional information regarding the valuation of the March 2026 Bridge Note, including key assumptions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the A&amp;R Seller Note with a revised principal amount of $7.0 million.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$0.4 million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loan with a principal balance of $1.5 million owed to the Rodgers Revocable Trust, a related party. This loan has an annual interest rate equal to the greater of 7.75% or Prime plus 4.5%.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$0.1 million in each of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Cobalt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Cobalt Loan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Senior Unsecured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875"/>
        <w:gridCol w:w="90"/>
        <w:gridCol w:w="195"/>
        <w:gridCol w:w="904"/>
        <w:gridCol w:w="125"/>
        <w:gridCol w:w="90"/>
        <w:gridCol w:w="256"/>
        <w:gridCol w:w="1188"/>
        <w:gridCol w:w="170"/>
      </w:tblGrid>
      <w:tr>
        <w:trPr/>
        <w:tc>
          <w:tcPr>
            <w:tcW w:w="38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principal amount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56,801</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2024 Notes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capitalized coupon interest of $7.5 million and $8.6 million as of March 29, 2026 and December 28, 2025, respectively, and capitalized contingent interest of $2.0 million and $2.2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03" w:type="dxa"/>
        <w:jc w:val="left"/>
        <w:tblInd w:w="0" w:type="dxa"/>
        <w:tblLayout w:type="fixed"/>
        <w:tblCellMar>
          <w:top w:w="0" w:type="dxa"/>
          <w:left w:w="0" w:type="dxa"/>
          <w:bottom w:w="0" w:type="dxa"/>
          <w:right w:w="0" w:type="dxa"/>
        </w:tblCellMar>
      </w:tblPr>
      <w:tblGrid>
        <w:gridCol w:w="3785"/>
        <w:gridCol w:w="90"/>
        <w:gridCol w:w="223"/>
        <w:gridCol w:w="876"/>
        <w:gridCol w:w="125"/>
        <w:gridCol w:w="90"/>
        <w:gridCol w:w="293"/>
        <w:gridCol w:w="1151"/>
        <w:gridCol w:w="170"/>
      </w:tblGrid>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7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2025 Note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March 29, 2026, the total interest expense was $0.2 million with coupon interest expense $0.15 million and debt discount and issuance costs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4400"/>
        <w:gridCol w:w="90"/>
        <w:gridCol w:w="223"/>
        <w:gridCol w:w="876"/>
        <w:gridCol w:w="125"/>
        <w:gridCol w:w="90"/>
        <w:gridCol w:w="293"/>
        <w:gridCol w:w="1151"/>
        <w:gridCol w:w="170"/>
      </w:tblGrid>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November 2025 Note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less than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January 2026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January 2026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489" w:type="dxa"/>
        <w:jc w:val="left"/>
        <w:tblInd w:w="0" w:type="dxa"/>
        <w:tblLayout w:type="fixed"/>
        <w:tblCellMar>
          <w:top w:w="0" w:type="dxa"/>
          <w:left w:w="0" w:type="dxa"/>
          <w:bottom w:w="0" w:type="dxa"/>
          <w:right w:w="0" w:type="dxa"/>
        </w:tblCellMar>
      </w:tblPr>
      <w:tblGrid>
        <w:gridCol w:w="4130"/>
        <w:gridCol w:w="90"/>
        <w:gridCol w:w="223"/>
        <w:gridCol w:w="876"/>
        <w:gridCol w:w="170"/>
      </w:tblGrid>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29,</w:t>
            </w:r>
          </w:p>
        </w:tc>
        <w:tc>
          <w:tcPr>
            <w:tcW w:w="17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0"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both"/>
              <w:rPr/>
            </w:pPr>
            <w:r>
              <w:rPr/>
              <w:t>January 2026 Note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3,300</w:t>
            </w:r>
          </w:p>
        </w:tc>
        <w:tc>
          <w:tcPr>
            <w:tcW w:w="170"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tcMar>
              <w:bottom w:w="28" w:type="dxa"/>
            </w:tcMar>
            <w:vAlign w:val="center"/>
          </w:tcPr>
          <w:p>
            <w:pPr>
              <w:pStyle w:val="TableContents"/>
              <w:bidi w:val="0"/>
              <w:spacing w:before="0" w:after="283"/>
              <w:jc w:val="right"/>
              <w:rPr/>
            </w:pPr>
            <w:r>
              <w:rPr/>
              <w:t>(2,262</w:t>
            </w:r>
          </w:p>
        </w:tc>
        <w:tc>
          <w:tcPr>
            <w:tcW w:w="170" w:type="dxa"/>
            <w:tcBorders/>
            <w:vAlign w:val="center"/>
          </w:tcPr>
          <w:p>
            <w:pPr>
              <w:pStyle w:val="TableContents"/>
              <w:bidi w:val="0"/>
              <w:spacing w:before="0" w:after="283"/>
              <w:jc w:val="left"/>
              <w:rPr/>
            </w:pPr>
            <w:r>
              <w:rPr/>
              <w:t>)</w:t>
            </w:r>
          </w:p>
        </w:tc>
      </w:tr>
      <w:tr>
        <w:trPr/>
        <w:tc>
          <w:tcPr>
            <w:tcW w:w="4130" w:type="dxa"/>
            <w:tcBorders/>
            <w:shd w:fill="CCEEFF" w:val="clear"/>
            <w:vAlign w:val="center"/>
          </w:tcPr>
          <w:p>
            <w:pPr>
              <w:pStyle w:val="TableContents"/>
              <w:bidi w:val="0"/>
              <w:spacing w:before="0" w:after="283"/>
              <w:jc w:val="both"/>
              <w:rPr/>
            </w:pPr>
            <w:r>
              <w:rPr/>
              <w:t>Net carrying amount of January 2026 Note</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1,038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490"/>
        <w:gridCol w:w="90"/>
        <w:gridCol w:w="195"/>
        <w:gridCol w:w="904"/>
        <w:gridCol w:w="125"/>
        <w:gridCol w:w="90"/>
        <w:gridCol w:w="256"/>
        <w:gridCol w:w="1188"/>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490"/>
        <w:gridCol w:w="90"/>
        <w:gridCol w:w="195"/>
        <w:gridCol w:w="904"/>
        <w:gridCol w:w="125"/>
        <w:gridCol w:w="90"/>
        <w:gridCol w:w="256"/>
        <w:gridCol w:w="1188"/>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total interest expense was $0.6 million with coupon interest expense of $0.4 million and debt discount and issuance costs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payments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contingent interest in connection with the July 2024 Notes, is as follows:</w:t>
      </w:r>
    </w:p>
    <w:p>
      <w:pPr>
        <w:pStyle w:val="TextBody"/>
        <w:bidi w:val="0"/>
        <w:spacing w:before="0" w:after="0"/>
        <w:ind w:left="0" w:right="0" w:hanging="0"/>
        <w:jc w:val="left"/>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2450"/>
        <w:gridCol w:w="90"/>
        <w:gridCol w:w="170"/>
        <w:gridCol w:w="830"/>
        <w:gridCol w:w="135"/>
      </w:tblGrid>
      <w:tr>
        <w:trPr/>
        <w:tc>
          <w:tcPr>
            <w:tcW w:w="24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w:t>
              <w:br/>
              <w:t>payment</w:t>
            </w:r>
          </w:p>
        </w:tc>
        <w:tc>
          <w:tcPr>
            <w:tcW w:w="13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 ending</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35,284</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w:t>
            </w:r>
          </w:p>
        </w:tc>
        <w:tc>
          <w:tcPr>
            <w:tcW w:w="135" w:type="dxa"/>
            <w:tcBorders/>
            <w:shd w:fill="CCEEFF" w:val="cle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141,894</w:t>
            </w:r>
          </w:p>
        </w:tc>
        <w:tc>
          <w:tcPr>
            <w:tcW w:w="13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184,468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2"/>
        <w:gridCol w:w="90"/>
        <w:gridCol w:w="211"/>
        <w:gridCol w:w="881"/>
        <w:gridCol w:w="149"/>
        <w:gridCol w:w="107"/>
        <w:gridCol w:w="211"/>
        <w:gridCol w:w="881"/>
        <w:gridCol w:w="173"/>
      </w:tblGrid>
      <w:tr>
        <w:trPr/>
        <w:tc>
          <w:tcPr>
            <w:tcW w:w="75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3" w:type="dxa"/>
            <w:tcBorders/>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center"/>
              <w:rPr>
                <w:b/>
              </w:rPr>
            </w:pPr>
            <w:r>
              <w:rPr>
                <w:b/>
              </w:rPr>
              <w:t>March 29,</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center"/>
              <w:rPr>
                <w:b/>
              </w:rPr>
            </w:pPr>
            <w:r>
              <w:rPr>
                <w:b/>
              </w:rPr>
              <w:t>March 30,</w:t>
            </w:r>
          </w:p>
        </w:tc>
        <w:tc>
          <w:tcPr>
            <w:tcW w:w="173" w:type="dxa"/>
            <w:tcBorders/>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remeasurement of derivative liabilities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26,608</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15,127</w:t>
            </w:r>
          </w:p>
        </w:tc>
        <w:tc>
          <w:tcPr>
            <w:tcW w:w="173" w:type="dxa"/>
            <w:tcBorders/>
            <w:shd w:fill="CCEEFF" w:val="clear"/>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(1,142</w:t>
            </w:r>
          </w:p>
        </w:tc>
        <w:tc>
          <w:tcPr>
            <w:tcW w:w="149"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269</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pPr>
            <w:r>
              <w:rPr/>
              <w:t>Change in fair value of SAFE Agreement with related party</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(44</w:t>
            </w:r>
          </w:p>
        </w:tc>
        <w:tc>
          <w:tcPr>
            <w:tcW w:w="14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(20</w:t>
            </w:r>
          </w:p>
        </w:tc>
        <w:tc>
          <w:tcPr>
            <w:tcW w:w="173" w:type="dxa"/>
            <w:tcBorders/>
            <w:shd w:fill="CCEEFF" w:val="clear"/>
            <w:vAlign w:val="center"/>
          </w:tcPr>
          <w:p>
            <w:pPr>
              <w:pStyle w:val="TableContents"/>
              <w:bidi w:val="0"/>
              <w:spacing w:before="0" w:after="283"/>
              <w:jc w:val="left"/>
              <w:rPr/>
            </w:pPr>
            <w:r>
              <w:rPr/>
              <w:t>)</w:t>
            </w:r>
          </w:p>
        </w:tc>
      </w:tr>
      <w:tr>
        <w:trPr/>
        <w:tc>
          <w:tcPr>
            <w:tcW w:w="7502" w:type="dxa"/>
            <w:tcBorders/>
            <w:vAlign w:val="center"/>
          </w:tcPr>
          <w:p>
            <w:pPr>
              <w:pStyle w:val="TableContents"/>
              <w:bidi w:val="0"/>
              <w:spacing w:before="0" w:after="283"/>
              <w:jc w:val="both"/>
              <w:rPr/>
            </w:pPr>
            <w:r>
              <w:rPr/>
              <w:t>Change in fair value of FACT public, private placement and working capital warrants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615</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(1,092</w:t>
            </w:r>
          </w:p>
        </w:tc>
        <w:tc>
          <w:tcPr>
            <w:tcW w:w="173" w:type="dxa"/>
            <w:tcBorders/>
            <w:vAlign w:val="center"/>
          </w:tcPr>
          <w:p>
            <w:pPr>
              <w:pStyle w:val="TableContents"/>
              <w:bidi w:val="0"/>
              <w:spacing w:before="0" w:after="283"/>
              <w:jc w:val="left"/>
              <w:rPr/>
            </w:pPr>
            <w:r>
              <w:rPr/>
              <w:t>)</w:t>
            </w:r>
          </w:p>
        </w:tc>
      </w:tr>
      <w:tr>
        <w:trPr/>
        <w:tc>
          <w:tcPr>
            <w:tcW w:w="7502" w:type="dxa"/>
            <w:tcBorders/>
            <w:shd w:fill="CCEEFF" w:val="clear"/>
            <w:vAlign w:val="center"/>
          </w:tcPr>
          <w:p>
            <w:pPr>
              <w:pStyle w:val="TableContents"/>
              <w:bidi w:val="0"/>
              <w:spacing w:before="0" w:after="283"/>
              <w:jc w:val="both"/>
              <w:rPr/>
            </w:pPr>
            <w:r>
              <w:rPr/>
              <w:t>Change in fair value of Notes valued at fair value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(320</w:t>
            </w:r>
          </w:p>
        </w:tc>
        <w:tc>
          <w:tcPr>
            <w:tcW w:w="14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both"/>
              <w:rPr/>
            </w:pPr>
            <w:r>
              <w:rPr/>
              <w:t>Change in fair value of Deferred Sunder Consideration with related party</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2,306</w:t>
            </w:r>
          </w:p>
        </w:tc>
        <w:tc>
          <w:tcPr>
            <w:tcW w:w="14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pPr>
            <w:r>
              <w:rPr/>
              <w:t>Change in fair value of Deferred Ambia Consideration</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2,943</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tcMar>
              <w:bottom w:w="28" w:type="dxa"/>
            </w:tcMar>
            <w:vAlign w:val="center"/>
          </w:tcPr>
          <w:p>
            <w:pPr>
              <w:pStyle w:val="TableContents"/>
              <w:bidi w:val="0"/>
              <w:spacing w:before="0" w:after="283"/>
              <w:jc w:val="right"/>
              <w:rPr/>
            </w:pPr>
            <w:r>
              <w:rPr/>
              <w:t>(205</w:t>
            </w:r>
          </w:p>
        </w:tc>
        <w:tc>
          <w:tcPr>
            <w:tcW w:w="149"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1" w:type="dxa"/>
            <w:tcBorders>
              <w:bottom w:val="single" w:sz="12" w:space="0" w:color="000000"/>
            </w:tcBorders>
            <w:tcMar>
              <w:bottom w:w="28" w:type="dxa"/>
            </w:tcMar>
            <w:vAlign w:val="center"/>
          </w:tcPr>
          <w:p>
            <w:pPr>
              <w:pStyle w:val="TableContents"/>
              <w:bidi w:val="0"/>
              <w:spacing w:before="0" w:after="283"/>
              <w:jc w:val="right"/>
              <w:rPr/>
            </w:pPr>
            <w:r>
              <w:rPr/>
              <w:t>292</w:t>
            </w:r>
          </w:p>
        </w:tc>
        <w:tc>
          <w:tcPr>
            <w:tcW w:w="173" w:type="dxa"/>
            <w:tcBorders/>
            <w:vAlign w:val="center"/>
          </w:tcPr>
          <w:p>
            <w:pPr>
              <w:pStyle w:val="TableContents"/>
              <w:bidi w:val="0"/>
              <w:spacing w:before="0" w:after="283"/>
              <w:jc w:val="left"/>
              <w:rPr/>
            </w:pPr>
            <w:r>
              <w:rPr/>
              <w:t> </w:t>
            </w:r>
          </w:p>
        </w:tc>
      </w:tr>
      <w:tr>
        <w:trPr/>
        <w:tc>
          <w:tcPr>
            <w:tcW w:w="7502" w:type="dxa"/>
            <w:tcBorders/>
            <w:shd w:fill="CCEEFF" w:val="clear"/>
            <w:vAlign w:val="center"/>
          </w:tcPr>
          <w:p>
            <w:pPr>
              <w:pStyle w:val="TableContents"/>
              <w:bidi w:val="0"/>
              <w:spacing w:before="0" w:after="283"/>
              <w:jc w:val="both"/>
              <w:rPr/>
            </w:pPr>
            <w:r>
              <w:rPr/>
              <w:t>Total Other non-operating income, net</w:t>
            </w:r>
          </w:p>
        </w:tc>
        <w:tc>
          <w:tcPr>
            <w:tcW w:w="9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double" w:sz="10" w:space="0" w:color="000000"/>
            </w:tcBorders>
            <w:shd w:fill="CCEEFF" w:val="clear"/>
            <w:tcMar>
              <w:bottom w:w="28" w:type="dxa"/>
            </w:tcMar>
            <w:vAlign w:val="center"/>
          </w:tcPr>
          <w:p>
            <w:pPr>
              <w:pStyle w:val="TableContents"/>
              <w:bidi w:val="0"/>
              <w:spacing w:before="0" w:after="283"/>
              <w:jc w:val="right"/>
              <w:rPr/>
            </w:pPr>
            <w:r>
              <w:rPr/>
              <w:t>30,761</w:t>
            </w:r>
          </w:p>
        </w:tc>
        <w:tc>
          <w:tcPr>
            <w:tcW w:w="14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1" w:type="dxa"/>
            <w:tcBorders>
              <w:bottom w:val="double" w:sz="10" w:space="0" w:color="000000"/>
            </w:tcBorders>
            <w:shd w:fill="CCEEFF" w:val="clear"/>
            <w:tcMar>
              <w:bottom w:w="28" w:type="dxa"/>
            </w:tcMar>
            <w:vAlign w:val="center"/>
          </w:tcPr>
          <w:p>
            <w:pPr>
              <w:pStyle w:val="TableContents"/>
              <w:bidi w:val="0"/>
              <w:spacing w:before="0" w:after="283"/>
              <w:jc w:val="right"/>
              <w:rPr/>
            </w:pPr>
            <w:r>
              <w:rPr/>
              <w:t>14,576</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$7.5 million and $3.7 million on the change in the fair value of derivative liabilities with related parties in the thirteen weeks ended March 29, 2026 and March 30, 2025, respectively. Refer to </w:t>
            </w:r>
            <w:r>
              <w:rPr>
                <w:rFonts w:ascii="Times New Roman;Times;Serif" w:hAnsi="Times New Roman;Times;Serif"/>
                <w:b/>
                <w:sz w:val="20"/>
              </w:rPr>
              <w:t>Note 9 – Borrowings and Derivative Liabilities</w:t>
            </w:r>
            <w:r>
              <w:rPr>
                <w:rFonts w:ascii="Times New Roman;Times;Serif" w:hAnsi="Times New Roman;Times;Serif"/>
                <w:sz w:val="20"/>
              </w:rPr>
              <w:t xml:space="preserve"> for details.</w:t>
            </w:r>
          </w:p>
        </w:tc>
      </w:tr>
    </w:tbl>
    <w:p>
      <w:pPr>
        <w:pStyle w:val="TextBody"/>
        <w:bidi w:val="0"/>
        <w:spacing w:before="0" w:after="0"/>
        <w:ind w:left="36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290"/>
        <w:gridCol w:w="863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income of $0.1 million due to related parties for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290"/>
        <w:gridCol w:w="836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$0.1 million income due to related parties in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4"/>
        <w:gridCol w:w="90"/>
        <w:gridCol w:w="237"/>
        <w:gridCol w:w="828"/>
        <w:gridCol w:w="123"/>
        <w:gridCol w:w="123"/>
        <w:gridCol w:w="237"/>
        <w:gridCol w:w="828"/>
        <w:gridCol w:w="175"/>
      </w:tblGrid>
      <w:tr>
        <w:trPr/>
        <w:tc>
          <w:tcPr>
            <w:tcW w:w="7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5" w:type="dxa"/>
            <w:tcBorders/>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bidi w:val="0"/>
              <w:spacing w:before="0" w:after="283"/>
              <w:jc w:val="center"/>
              <w:rPr>
                <w:b/>
              </w:rPr>
            </w:pPr>
            <w:r>
              <w:rPr>
                <w:b/>
              </w:rPr>
              <w:t>March 29,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65" w:type="dxa"/>
            <w:gridSpan w:val="2"/>
            <w:tcBorders/>
            <w:vAlign w:val="center"/>
          </w:tcPr>
          <w:p>
            <w:pPr>
              <w:pStyle w:val="TableContents"/>
              <w:bidi w:val="0"/>
              <w:spacing w:before="0" w:after="283"/>
              <w:jc w:val="center"/>
              <w:rPr>
                <w:b/>
              </w:rPr>
            </w:pPr>
            <w:r>
              <w:rPr>
                <w:b/>
              </w:rPr>
              <w:t>March 30,</w:t>
            </w:r>
          </w:p>
        </w:tc>
        <w:tc>
          <w:tcPr>
            <w:tcW w:w="175" w:type="dxa"/>
            <w:tcBorders/>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Warranty provision, beginning of period</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4,653</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828" w:type="dxa"/>
            <w:tcBorders/>
            <w:shd w:fill="CCEEFF" w:val="clear"/>
            <w:vAlign w:val="center"/>
          </w:tcPr>
          <w:p>
            <w:pPr>
              <w:pStyle w:val="TableContents"/>
              <w:bidi w:val="0"/>
              <w:spacing w:before="0" w:after="283"/>
              <w:jc w:val="right"/>
              <w:rPr/>
            </w:pPr>
            <w:r>
              <w:rPr/>
              <w:t>5,968</w:t>
            </w:r>
          </w:p>
        </w:tc>
        <w:tc>
          <w:tcPr>
            <w:tcW w:w="175" w:type="dxa"/>
            <w:tcBorders/>
            <w:shd w:fill="CCEEFF" w:val="clear"/>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Accruals for new warranties issued</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236</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526</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Settlements and other</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75" w:type="dxa"/>
            <w:tcBorders/>
            <w:shd w:fill="CCEEFF" w:val="clear"/>
            <w:vAlign w:val="center"/>
          </w:tcPr>
          <w:p>
            <w:pPr>
              <w:pStyle w:val="TableContents"/>
              <w:bidi w:val="0"/>
              <w:spacing w:before="0" w:after="283"/>
              <w:jc w:val="left"/>
              <w:rPr/>
            </w:pPr>
            <w:r>
              <w:rPr/>
              <w:t>)</w:t>
            </w:r>
          </w:p>
        </w:tc>
      </w:tr>
      <w:tr>
        <w:trPr/>
        <w:tc>
          <w:tcPr>
            <w:tcW w:w="7564" w:type="dxa"/>
            <w:tcBorders/>
            <w:vAlign w:val="center"/>
          </w:tcPr>
          <w:p>
            <w:pPr>
              <w:pStyle w:val="TableContents"/>
              <w:bidi w:val="0"/>
              <w:spacing w:before="0" w:after="283"/>
              <w:jc w:val="left"/>
              <w:rPr/>
            </w:pPr>
            <w:r>
              <w:rPr/>
              <w:t>Warranty provision, end of period</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4,889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6,456</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Balance sheet classification</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Accrued warranty current (Classified in Accrued expenses and other current liabilities)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1,830</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828" w:type="dxa"/>
            <w:tcBorders/>
            <w:vAlign w:val="center"/>
          </w:tcPr>
          <w:p>
            <w:pPr>
              <w:pStyle w:val="TableContents"/>
              <w:bidi w:val="0"/>
              <w:spacing w:before="0" w:after="283"/>
              <w:jc w:val="right"/>
              <w:rPr/>
            </w:pPr>
            <w:r>
              <w:rPr/>
              <w:t>3,019</w:t>
            </w:r>
          </w:p>
        </w:tc>
        <w:tc>
          <w:tcPr>
            <w:tcW w:w="175" w:type="dxa"/>
            <w:tcBorders/>
            <w:vAlign w:val="center"/>
          </w:tcPr>
          <w:p>
            <w:pPr>
              <w:pStyle w:val="TableContents"/>
              <w:bidi w:val="0"/>
              <w:spacing w:before="0" w:after="283"/>
              <w:jc w:val="left"/>
              <w:rPr/>
            </w:pPr>
            <w:r>
              <w:rPr/>
              <w:t> </w:t>
            </w:r>
          </w:p>
        </w:tc>
      </w:tr>
      <w:tr>
        <w:trPr/>
        <w:tc>
          <w:tcPr>
            <w:tcW w:w="7564" w:type="dxa"/>
            <w:tcBorders/>
            <w:shd w:fill="CCEEFF" w:val="clear"/>
            <w:vAlign w:val="center"/>
          </w:tcPr>
          <w:p>
            <w:pPr>
              <w:pStyle w:val="TableContents"/>
              <w:bidi w:val="0"/>
              <w:spacing w:before="0" w:after="283"/>
              <w:jc w:val="left"/>
              <w:rPr/>
            </w:pPr>
            <w:r>
              <w:rPr/>
              <w:t>Warranty provision, noncurrent</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283"/>
              <w:jc w:val="right"/>
              <w:rPr/>
            </w:pPr>
            <w:r>
              <w:rPr/>
              <w:t>3,059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75" w:type="dxa"/>
            <w:tcBorders/>
            <w:shd w:fill="CCEEFF" w:val="clear"/>
            <w:vAlign w:val="center"/>
          </w:tcPr>
          <w:p>
            <w:pPr>
              <w:pStyle w:val="TableContents"/>
              <w:bidi w:val="0"/>
              <w:spacing w:before="0" w:after="283"/>
              <w:jc w:val="left"/>
              <w:rPr/>
            </w:pPr>
            <w:r>
              <w:rPr/>
              <w:t> </w:t>
            </w:r>
          </w:p>
        </w:tc>
      </w:tr>
      <w:tr>
        <w:trPr/>
        <w:tc>
          <w:tcPr>
            <w:tcW w:w="7564" w:type="dxa"/>
            <w:tcBorders/>
            <w:vAlign w:val="center"/>
          </w:tcPr>
          <w:p>
            <w:pPr>
              <w:pStyle w:val="TableContents"/>
              <w:bidi w:val="0"/>
              <w:spacing w:before="0" w:after="283"/>
              <w:jc w:val="left"/>
              <w:rPr/>
            </w:pPr>
            <w:r>
              <w:rPr/>
              <w:t>Total warranty liability</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4,889</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828" w:type="dxa"/>
            <w:tcBorders>
              <w:bottom w:val="double" w:sz="10" w:space="0" w:color="000000"/>
            </w:tcBorders>
            <w:tcMar>
              <w:bottom w:w="28" w:type="dxa"/>
            </w:tcMar>
            <w:vAlign w:val="center"/>
          </w:tcPr>
          <w:p>
            <w:pPr>
              <w:pStyle w:val="TableContents"/>
              <w:bidi w:val="0"/>
              <w:spacing w:before="0" w:after="283"/>
              <w:jc w:val="right"/>
              <w:rPr/>
            </w:pPr>
            <w:r>
              <w:rPr/>
              <w:t>6,456</w:t>
            </w:r>
          </w:p>
        </w:tc>
        <w:tc>
          <w:tcPr>
            <w:tcW w:w="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$1.1 million and $3.8 million at each of March 29, 2026 and December 28,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for interim periods is computed using an estimated annual effective tax rate applied to year-to-date ordinary income or loss, adjusted for the tax effects of discrete items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$0.6 million and nil in the thirteen week periods ended March 29, 2026, and March 30,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thirteen week periods ended March 29, 2026 and March 30, 2025, the Company had no unrecognized tax benefits. The Company recognizes interest and penalties related to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Common Stock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March 29, 2026. No preferred stock has been issued and none are outstanding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489" w:type="dxa"/>
        <w:jc w:val="left"/>
        <w:tblInd w:w="0" w:type="dxa"/>
        <w:tblLayout w:type="fixed"/>
        <w:tblCellMar>
          <w:top w:w="0" w:type="dxa"/>
          <w:left w:w="0" w:type="dxa"/>
          <w:bottom w:w="0" w:type="dxa"/>
          <w:right w:w="0" w:type="dxa"/>
        </w:tblCellMar>
      </w:tblPr>
      <w:tblGrid>
        <w:gridCol w:w="5300"/>
        <w:gridCol w:w="90"/>
        <w:gridCol w:w="90"/>
        <w:gridCol w:w="1250"/>
        <w:gridCol w:w="90"/>
        <w:gridCol w:w="90"/>
        <w:gridCol w:w="97"/>
        <w:gridCol w:w="1347"/>
        <w:gridCol w:w="135"/>
      </w:tblGrid>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96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stock purchase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19,164,660</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authorized for future issuance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82,635,442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82,460,428</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purchase price consideration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11,640,506</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reserved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155,827,049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163,183,801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97"/>
        <w:gridCol w:w="90"/>
        <w:gridCol w:w="94"/>
        <w:gridCol w:w="1193"/>
        <w:gridCol w:w="94"/>
        <w:gridCol w:w="94"/>
        <w:gridCol w:w="94"/>
        <w:gridCol w:w="1193"/>
        <w:gridCol w:w="90"/>
        <w:gridCol w:w="90"/>
        <w:gridCol w:w="210"/>
        <w:gridCol w:w="734"/>
        <w:gridCol w:w="90"/>
        <w:gridCol w:w="90"/>
        <w:gridCol w:w="1510"/>
        <w:gridCol w:w="142"/>
      </w:tblGrid>
      <w:tr>
        <w:trPr/>
        <w:tc>
          <w:tcPr>
            <w:tcW w:w="43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Potential shares of common</w:t>
              <w:br/>
              <w:t>stock as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w:t>
              <w:br/>
              <w:t xml:space="preserve">2026 </w:t>
            </w:r>
            <w:r>
              <w:rPr>
                <w:rFonts w:ascii="Times New Roman;Times;Serif" w:hAnsi="Times New Roman;Times;Serif"/>
                <w:b/>
                <w:position w:val="7"/>
                <w:sz w:val="16"/>
                <w:sz w:val="20"/>
              </w:rPr>
              <w:t>(1)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142" w:type="dxa"/>
            <w:tcBorders/>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Liability classified warrants</w:t>
            </w:r>
          </w:p>
        </w:tc>
        <w:tc>
          <w:tcPr>
            <w:tcW w:w="90"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142"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liability classified warrants</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classified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pPr>
            <w:r>
              <w:rPr/>
              <w:t> </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Warrants (converted to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Warrants (converted to common stock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C-1 Warrants (converted to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Promissory Note Common Stock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2023 Common Stock Warrants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142" w:type="dxa"/>
            <w:tcBorders/>
            <w:vAlign w:val="center"/>
          </w:tcPr>
          <w:p>
            <w:pPr>
              <w:pStyle w:val="TableContents"/>
              <w:bidi w:val="0"/>
              <w:spacing w:before="0" w:after="283"/>
              <w:ind w:left="0" w:right="0" w:hanging="180"/>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 Issued in 2023 (“Merger Warrants”)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Cantor Warrant</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142" w:type="dxa"/>
            <w:tcBorders/>
            <w:vAlign w:val="center"/>
          </w:tcPr>
          <w:p>
            <w:pPr>
              <w:pStyle w:val="TableContents"/>
              <w:bidi w:val="0"/>
              <w:spacing w:before="0" w:after="283"/>
              <w:jc w:val="left"/>
              <w:rPr/>
            </w:pPr>
            <w:r>
              <w:rPr/>
              <w:t> </w:t>
            </w:r>
          </w:p>
        </w:tc>
      </w:tr>
      <w:tr>
        <w:trPr/>
        <w:tc>
          <w:tcPr>
            <w:tcW w:w="4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equity classified warrants</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43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potential shares of common stock</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which was not issued as of March 29, 2026.</w:t>
            </w:r>
          </w:p>
        </w:tc>
      </w:tr>
      <w:tr>
        <w:trPr/>
        <w:tc>
          <w:tcPr>
            <w:tcW w:w="266" w:type="dxa"/>
            <w:tcBorders/>
            <w:vAlign w:val="center"/>
          </w:tcPr>
          <w:p>
            <w:pPr>
              <w:pStyle w:val="TableContents"/>
              <w:bidi w:val="0"/>
              <w:spacing w:before="0" w:after="283"/>
              <w:jc w:val="left"/>
              <w:rPr/>
            </w:pPr>
            <w:r>
              <w:rPr/>
              <w:t> </w:t>
            </w:r>
          </w:p>
        </w:tc>
        <w:tc>
          <w:tcPr>
            <w:tcW w:w="9939" w:type="dxa"/>
            <w:tcBorders/>
            <w:vAlign w:val="center"/>
          </w:tcPr>
          <w:p>
            <w:pPr>
              <w:pStyle w:val="TableContents"/>
              <w:bidi w:val="0"/>
              <w:spacing w:before="0" w:after="283"/>
              <w:jc w:val="both"/>
              <w:rPr/>
            </w:pPr>
            <w:r>
              <w:rPr/>
              <w:t> </w:t>
            </w:r>
          </w:p>
        </w:tc>
      </w:tr>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4580"/>
        <w:gridCol w:w="90"/>
        <w:gridCol w:w="94"/>
        <w:gridCol w:w="1065"/>
        <w:gridCol w:w="90"/>
        <w:gridCol w:w="90"/>
        <w:gridCol w:w="272"/>
        <w:gridCol w:w="753"/>
        <w:gridCol w:w="90"/>
        <w:gridCol w:w="90"/>
        <w:gridCol w:w="205"/>
        <w:gridCol w:w="1075"/>
        <w:gridCol w:w="90"/>
        <w:gridCol w:w="90"/>
        <w:gridCol w:w="272"/>
        <w:gridCol w:w="947"/>
        <w:gridCol w:w="135"/>
      </w:tblGrid>
      <w:tr>
        <w:trPr/>
        <w:tc>
          <w:tcPr>
            <w:tcW w:w="4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Outstanding—December 28, 2025</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4,930,300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1,903</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pPr>
            <w:r>
              <w:rPr/>
              <w:t>Options exercised</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Outstanding—March 29, 2026</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1,376</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both"/>
              <w:rPr/>
            </w:pPr>
            <w:r>
              <w:rPr/>
              <w:t>Vested and expected to vest — March 29, 2026</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tcMar>
              <w:bottom w:w="28" w:type="dxa"/>
            </w:tcMar>
            <w:vAlign w:val="center"/>
          </w:tcPr>
          <w:p>
            <w:pPr>
              <w:pStyle w:val="TableContents"/>
              <w:bidi w:val="0"/>
              <w:spacing w:before="0" w:after="283"/>
              <w:jc w:val="right"/>
              <w:rPr/>
            </w:pPr>
            <w:r>
              <w:rPr/>
              <w:t>4,930,300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4.62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1,376</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Vested and exercisable — March 29, 2026</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1,781,378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5.39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472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in the thirteen week periods ended March 29, 2026, and March 30, 2025 were $1.3 million and $3.8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6049" w:type="dxa"/>
        <w:jc w:val="left"/>
        <w:tblInd w:w="0" w:type="dxa"/>
        <w:tblLayout w:type="fixed"/>
        <w:tblCellMar>
          <w:top w:w="0" w:type="dxa"/>
          <w:left w:w="0" w:type="dxa"/>
          <w:bottom w:w="0" w:type="dxa"/>
          <w:right w:w="0" w:type="dxa"/>
        </w:tblCellMar>
      </w:tblPr>
      <w:tblGrid>
        <w:gridCol w:w="3125"/>
        <w:gridCol w:w="90"/>
        <w:gridCol w:w="90"/>
        <w:gridCol w:w="1130"/>
        <w:gridCol w:w="125"/>
        <w:gridCol w:w="90"/>
        <w:gridCol w:w="335"/>
        <w:gridCol w:w="929"/>
        <w:gridCol w:w="135"/>
      </w:tblGrid>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Grant Date </w:t>
              <w:br/>
              <w:t>Fair Value</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14,234,360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released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 or forfeited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March 29, 2026</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13,369,260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in the thirteen week periods ended March 29, 2026 and March 30, 2025 were $1.5 million and $0.5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29" w:type="dxa"/>
        <w:jc w:val="left"/>
        <w:tblInd w:w="0" w:type="dxa"/>
        <w:tblLayout w:type="fixed"/>
        <w:tblCellMar>
          <w:top w:w="0" w:type="dxa"/>
          <w:left w:w="0" w:type="dxa"/>
          <w:bottom w:w="0" w:type="dxa"/>
          <w:right w:w="0" w:type="dxa"/>
        </w:tblCellMar>
      </w:tblPr>
      <w:tblGrid>
        <w:gridCol w:w="3920"/>
        <w:gridCol w:w="90"/>
        <w:gridCol w:w="268"/>
        <w:gridCol w:w="933"/>
        <w:gridCol w:w="142"/>
        <w:gridCol w:w="142"/>
        <w:gridCol w:w="321"/>
        <w:gridCol w:w="778"/>
        <w:gridCol w:w="135"/>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90" w:type="dxa"/>
            <w:tcBorders/>
            <w:vAlign w:val="center"/>
          </w:tcPr>
          <w:p>
            <w:pPr>
              <w:pStyle w:val="TableContents"/>
              <w:bidi w:val="0"/>
              <w:spacing w:before="0" w:after="283"/>
              <w:jc w:val="left"/>
              <w:rPr/>
            </w:pPr>
            <w:r>
              <w:rPr/>
              <w:t> </w:t>
            </w:r>
          </w:p>
        </w:tc>
        <w:tc>
          <w:tcPr>
            <w:tcW w:w="26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2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income per share. No dividends were declared or paid in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income per share attributable to common stockholders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6335"/>
        <w:gridCol w:w="90"/>
        <w:gridCol w:w="170"/>
        <w:gridCol w:w="1250"/>
        <w:gridCol w:w="125"/>
        <w:gridCol w:w="90"/>
        <w:gridCol w:w="170"/>
        <w:gridCol w:w="1250"/>
        <w:gridCol w:w="170"/>
      </w:tblGrid>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March 30,</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b/>
              </w:rPr>
            </w:pPr>
            <w:r>
              <w:rPr>
                <w:b/>
              </w:rPr>
              <w:t>Numerator for basic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income - basic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4,812</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b/>
              </w:rPr>
            </w:pPr>
            <w:r>
              <w:rPr>
                <w:b/>
              </w:rPr>
              <w:t>Numerator for diluted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July 2024 Notes derivative liability and interest expense, net of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(3,138</w:t>
            </w:r>
          </w:p>
        </w:tc>
        <w:tc>
          <w:tcPr>
            <w:tcW w:w="170" w:type="dxa"/>
            <w:tcBorders/>
            <w:vAlign w:val="center"/>
          </w:tcPr>
          <w:p>
            <w:pPr>
              <w:pStyle w:val="TableContents"/>
              <w:bidi w:val="0"/>
              <w:spacing w:before="0" w:after="283"/>
              <w:jc w:val="left"/>
              <w:rPr/>
            </w:pPr>
            <w:r>
              <w:rPr/>
              <w:t>)</w:t>
            </w:r>
          </w:p>
        </w:tc>
      </w:tr>
      <w:tr>
        <w:trPr/>
        <w:tc>
          <w:tcPr>
            <w:tcW w:w="6335" w:type="dxa"/>
            <w:tcBorders/>
            <w:shd w:fill="CCEEFF" w:val="clear"/>
            <w:vAlign w:val="center"/>
          </w:tcPr>
          <w:p>
            <w:pPr>
              <w:pStyle w:val="TableContents"/>
              <w:bidi w:val="0"/>
              <w:spacing w:before="0" w:after="283"/>
              <w:jc w:val="both"/>
              <w:rPr/>
            </w:pPr>
            <w:r>
              <w:rPr/>
              <w:t>Third SAFE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Net income -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319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1,694</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b/>
              </w:rPr>
            </w:pPr>
            <w:r>
              <w:rPr>
                <w:b/>
              </w:rPr>
              <w:t>Denominator: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Weighted average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Denominator for basic income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124,279,055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80,209,585</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Effect of dilutive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16,912,704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July 2024 Notes derivative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27,364,717</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Third SAFE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2,750,000</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Stock options and RSUs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14,705,403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1,489,794</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166,460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487,794</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Deferred consideration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4,973,840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Denominator for diluted income per share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163,787,462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112,302,063</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b/>
              </w:rPr>
            </w:pPr>
            <w:r>
              <w:rPr>
                <w:b/>
              </w:rPr>
              <w:t>Net income per share: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income - basic</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70" w:type="dxa"/>
            <w:tcBorders/>
            <w:shd w:fill="CCEEFF" w:val="clear"/>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283"/>
              <w:jc w:val="both"/>
              <w:rPr/>
            </w:pPr>
            <w:r>
              <w:rPr/>
              <w:t>Net income–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6770"/>
        <w:gridCol w:w="90"/>
        <w:gridCol w:w="90"/>
        <w:gridCol w:w="1130"/>
        <w:gridCol w:w="90"/>
        <w:gridCol w:w="90"/>
        <w:gridCol w:w="90"/>
        <w:gridCol w:w="1130"/>
        <w:gridCol w:w="135"/>
      </w:tblGrid>
      <w:tr>
        <w:trPr/>
        <w:tc>
          <w:tcPr>
            <w:tcW w:w="6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35"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135"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65,722,738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37,333,318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770" w:type="dxa"/>
            <w:tcBorders/>
            <w:vAlign w:val="center"/>
          </w:tcPr>
          <w:p>
            <w:pPr>
              <w:pStyle w:val="TableContents"/>
              <w:bidi w:val="0"/>
              <w:spacing w:before="0" w:after="283"/>
              <w:jc w:val="left"/>
              <w:rPr/>
            </w:pPr>
            <w:r>
              <w:rPr/>
              <w:t>Total potential common shares excluded from diluted net loss per share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65,722,738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37,333,318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by segment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90"/>
        <w:gridCol w:w="90"/>
        <w:gridCol w:w="211"/>
        <w:gridCol w:w="979"/>
        <w:gridCol w:w="125"/>
        <w:gridCol w:w="90"/>
        <w:gridCol w:w="177"/>
        <w:gridCol w:w="743"/>
        <w:gridCol w:w="125"/>
        <w:gridCol w:w="90"/>
        <w:gridCol w:w="170"/>
        <w:gridCol w:w="710"/>
        <w:gridCol w:w="90"/>
        <w:gridCol w:w="90"/>
        <w:gridCol w:w="170"/>
        <w:gridCol w:w="785"/>
        <w:gridCol w:w="170"/>
      </w:tblGrid>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70" w:type="dxa"/>
            <w:tcBorders/>
            <w:vAlign w:val="center"/>
          </w:tcPr>
          <w:p>
            <w:pPr>
              <w:pStyle w:val="TableContents"/>
              <w:bidi w:val="0"/>
              <w:spacing w:before="0" w:after="283"/>
              <w:jc w:val="left"/>
              <w:rPr/>
            </w:pPr>
            <w:r>
              <w:rPr/>
              <w:t> </w:t>
            </w:r>
          </w:p>
        </w:tc>
      </w:tr>
      <w:tr>
        <w:trPr/>
        <w:tc>
          <w:tcPr>
            <w:tcW w:w="5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New </w:t>
              <w:br/>
              <w:t xml:space="preserve">Homes </w:t>
              <w:br/>
              <w:t>Business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revenues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operating income (loss)</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of segment income (loss) from operations before income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amounts: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income, net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before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275"/>
        <w:gridCol w:w="9665"/>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29, 2026 was as follows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4145"/>
        <w:gridCol w:w="90"/>
        <w:gridCol w:w="389"/>
        <w:gridCol w:w="801"/>
        <w:gridCol w:w="90"/>
        <w:gridCol w:w="90"/>
        <w:gridCol w:w="300"/>
        <w:gridCol w:w="620"/>
        <w:gridCol w:w="90"/>
        <w:gridCol w:w="90"/>
        <w:gridCol w:w="237"/>
        <w:gridCol w:w="488"/>
        <w:gridCol w:w="90"/>
        <w:gridCol w:w="90"/>
        <w:gridCol w:w="192"/>
        <w:gridCol w:w="398"/>
        <w:gridCol w:w="135"/>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tcMar>
              <w:bottom w:w="0" w:type="dxa"/>
            </w:tcMar>
            <w:vAlign w:val="center"/>
          </w:tcPr>
          <w:p>
            <w:pPr>
              <w:pStyle w:val="TableContents"/>
              <w:bidi w:val="0"/>
              <w:spacing w:before="0" w:after="283"/>
              <w:jc w:val="left"/>
              <w:rPr/>
            </w:pPr>
            <w:r>
              <w:rPr/>
              <w:t> </w:t>
            </w:r>
          </w:p>
        </w:tc>
        <w:tc>
          <w:tcPr>
            <w:tcW w:w="389" w:type="dxa"/>
            <w:tcBorders>
              <w:bottom w:val="single" w:sz="12" w:space="0" w:color="000000"/>
            </w:tcBorders>
            <w:vAlign w:val="center"/>
          </w:tcPr>
          <w:p>
            <w:pPr>
              <w:pStyle w:val="TableContents"/>
              <w:bidi w:val="0"/>
              <w:spacing w:before="0" w:after="283"/>
              <w:jc w:val="left"/>
              <w:rPr/>
            </w:pPr>
            <w:r>
              <w:rPr/>
              <w:t> </w:t>
            </w:r>
          </w:p>
        </w:tc>
        <w:tc>
          <w:tcPr>
            <w:tcW w:w="80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7" w:type="dxa"/>
            <w:tcBorders>
              <w:bottom w:val="single" w:sz="12" w:space="0" w:color="000000"/>
            </w:tcBorders>
            <w:vAlign w:val="center"/>
          </w:tcPr>
          <w:p>
            <w:pPr>
              <w:pStyle w:val="TableContents"/>
              <w:bidi w:val="0"/>
              <w:spacing w:before="0" w:after="283"/>
              <w:jc w:val="left"/>
              <w:rPr/>
            </w:pPr>
            <w:r>
              <w:rPr/>
              <w:t> </w:t>
            </w:r>
          </w:p>
        </w:tc>
        <w:tc>
          <w:tcPr>
            <w:tcW w:w="48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39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55"/>
        <w:gridCol w:w="90"/>
        <w:gridCol w:w="211"/>
        <w:gridCol w:w="979"/>
        <w:gridCol w:w="131"/>
        <w:gridCol w:w="94"/>
        <w:gridCol w:w="183"/>
        <w:gridCol w:w="757"/>
        <w:gridCol w:w="94"/>
        <w:gridCol w:w="94"/>
        <w:gridCol w:w="267"/>
        <w:gridCol w:w="458"/>
        <w:gridCol w:w="94"/>
        <w:gridCol w:w="94"/>
        <w:gridCol w:w="178"/>
        <w:gridCol w:w="749"/>
        <w:gridCol w:w="177"/>
      </w:tblGrid>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Thirteen Weeks Ended March 30, 2025</w:t>
            </w:r>
          </w:p>
        </w:tc>
        <w:tc>
          <w:tcPr>
            <w:tcW w:w="177" w:type="dxa"/>
            <w:tcBorders/>
            <w:vAlign w:val="center"/>
          </w:tcPr>
          <w:p>
            <w:pPr>
              <w:pStyle w:val="TableContents"/>
              <w:bidi w:val="0"/>
              <w:spacing w:before="0" w:after="283"/>
              <w:jc w:val="left"/>
              <w:rPr/>
            </w:pPr>
            <w:r>
              <w:rPr/>
              <w:t> </w:t>
            </w:r>
          </w:p>
        </w:tc>
      </w:tr>
      <w:tr>
        <w:trPr/>
        <w:tc>
          <w:tcPr>
            <w:tcW w:w="5555"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w:t>
              <w:br/>
              <w:t xml:space="preserve">Homes </w:t>
              <w:br/>
              <w:t>Business</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36,504</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41,909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458" w:type="dxa"/>
            <w:tcBorders/>
            <w:shd w:fill="CCEEFF" w:val="clear"/>
            <w:vAlign w:val="center"/>
          </w:tcPr>
          <w:p>
            <w:pPr>
              <w:pStyle w:val="TableContents"/>
              <w:bidi w:val="0"/>
              <w:spacing w:before="0" w:after="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78,413</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22,615</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28,422</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6,667</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1,017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8,522</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5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10,440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4,456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Segment operating income (loss)</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(11,740</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tcMar>
              <w:bottom w:w="28" w:type="dxa"/>
            </w:tcMar>
            <w:vAlign w:val="center"/>
          </w:tcPr>
          <w:p>
            <w:pPr>
              <w:pStyle w:val="TableContents"/>
              <w:bidi w:val="0"/>
              <w:spacing w:before="0" w:after="283"/>
              <w:jc w:val="right"/>
              <w:rPr/>
            </w:pPr>
            <w:r>
              <w:rPr/>
              <w:t>8,014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458" w:type="dxa"/>
            <w:tcBorders>
              <w:bottom w:val="single" w:sz="12" w:space="0" w:color="000000"/>
            </w:tcBorders>
            <w:tcMar>
              <w:bottom w:w="28" w:type="dxa"/>
            </w:tcMar>
            <w:vAlign w:val="center"/>
          </w:tcPr>
          <w:p>
            <w:pPr>
              <w:pStyle w:val="TableContents"/>
              <w:bidi w:val="0"/>
              <w:spacing w:before="0" w:after="0"/>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(3,726</w:t>
            </w:r>
          </w:p>
        </w:tc>
        <w:tc>
          <w:tcPr>
            <w:tcW w:w="177" w:type="dxa"/>
            <w:tcBorders/>
            <w:vAlign w:val="center"/>
          </w:tcPr>
          <w:p>
            <w:pPr>
              <w:pStyle w:val="TableContents"/>
              <w:bidi w:val="0"/>
              <w:spacing w:before="0" w:after="283"/>
              <w:jc w:val="left"/>
              <w:rPr/>
            </w:pPr>
            <w:r>
              <w:rPr/>
              <w:t>)</w:t>
            </w:r>
          </w:p>
        </w:tc>
      </w:tr>
      <w:tr>
        <w:trPr/>
        <w:tc>
          <w:tcPr>
            <w:tcW w:w="55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ind w:left="0" w:right="0" w:hanging="180"/>
              <w:jc w:val="left"/>
              <w:rPr/>
            </w:pPr>
            <w:r>
              <w:rPr/>
              <w:t> </w:t>
            </w:r>
          </w:p>
        </w:tc>
      </w:tr>
      <w:tr>
        <w:trPr/>
        <w:tc>
          <w:tcPr>
            <w:tcW w:w="5555" w:type="dxa"/>
            <w:tcBorders/>
            <w:vAlign w:val="center"/>
          </w:tcPr>
          <w:p>
            <w:pPr>
              <w:pStyle w:val="TableContents"/>
              <w:bidi w:val="0"/>
              <w:spacing w:before="0" w:after="283"/>
              <w:jc w:val="left"/>
              <w:rPr>
                <w:i/>
              </w:rPr>
            </w:pPr>
            <w:r>
              <w:rPr>
                <w:i/>
              </w:rPr>
              <w:t>Reconciliation of segment income (loss) from operations before income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ind w:left="0" w:right="0" w:hanging="180"/>
              <w:jc w:val="left"/>
              <w:rPr/>
            </w:pPr>
            <w:r>
              <w:rPr/>
              <w:t> </w:t>
            </w:r>
          </w:p>
        </w:tc>
      </w:tr>
      <w:tr>
        <w:trPr/>
        <w:tc>
          <w:tcPr>
            <w:tcW w:w="5555" w:type="dxa"/>
            <w:tcBorders/>
            <w:shd w:fill="CCEEFF" w:val="clear"/>
            <w:vAlign w:val="center"/>
          </w:tcPr>
          <w:p>
            <w:pPr>
              <w:pStyle w:val="TableContents"/>
              <w:bidi w:val="0"/>
              <w:spacing w:before="0" w:after="283"/>
              <w:jc w:val="left"/>
              <w:rPr/>
            </w:pPr>
            <w:r>
              <w:rPr/>
              <w:t>Unallocated amounts: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(6,041</w:t>
            </w:r>
          </w:p>
        </w:tc>
        <w:tc>
          <w:tcPr>
            <w:tcW w:w="177" w:type="dxa"/>
            <w:tcBorders/>
            <w:vAlign w:val="center"/>
          </w:tcPr>
          <w:p>
            <w:pPr>
              <w:pStyle w:val="TableContents"/>
              <w:bidi w:val="0"/>
              <w:spacing w:before="0" w:after="283"/>
              <w:jc w:val="left"/>
              <w:rPr/>
            </w:pPr>
            <w:r>
              <w:rPr/>
              <w:t>)</w:t>
            </w:r>
          </w:p>
        </w:tc>
      </w:tr>
      <w:tr>
        <w:trPr/>
        <w:tc>
          <w:tcPr>
            <w:tcW w:w="555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3</w:t>
            </w:r>
          </w:p>
        </w:tc>
        <w:tc>
          <w:tcPr>
            <w:tcW w:w="177" w:type="dxa"/>
            <w:tcBorders/>
            <w:shd w:fill="CCEEFF" w:val="clear"/>
            <w:vAlign w:val="center"/>
          </w:tcPr>
          <w:p>
            <w:pPr>
              <w:pStyle w:val="TableContents"/>
              <w:bidi w:val="0"/>
              <w:spacing w:before="0" w:after="283"/>
              <w:jc w:val="left"/>
              <w:rPr/>
            </w:pPr>
            <w:r>
              <w:rPr/>
              <w:t> </w:t>
            </w:r>
          </w:p>
        </w:tc>
      </w:tr>
      <w:tr>
        <w:trPr/>
        <w:tc>
          <w:tcPr>
            <w:tcW w:w="5555"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tcMar>
              <w:bottom w:w="28" w:type="dxa"/>
            </w:tcMar>
            <w:vAlign w:val="center"/>
          </w:tcPr>
          <w:p>
            <w:pPr>
              <w:pStyle w:val="TableContents"/>
              <w:bidi w:val="0"/>
              <w:spacing w:before="0" w:after="283"/>
              <w:jc w:val="right"/>
              <w:rPr/>
            </w:pPr>
            <w:r>
              <w:rPr/>
              <w:t>14,576</w:t>
            </w:r>
          </w:p>
        </w:tc>
        <w:tc>
          <w:tcPr>
            <w:tcW w:w="177" w:type="dxa"/>
            <w:tcBorders/>
            <w:vAlign w:val="center"/>
          </w:tcPr>
          <w:p>
            <w:pPr>
              <w:pStyle w:val="TableContents"/>
              <w:bidi w:val="0"/>
              <w:spacing w:before="0" w:after="283"/>
              <w:ind w:left="0" w:right="0" w:hanging="180"/>
              <w:jc w:val="left"/>
              <w:rPr/>
            </w:pPr>
            <w:r>
              <w:rPr/>
              <w:t> </w:t>
            </w:r>
          </w:p>
        </w:tc>
      </w:tr>
      <w:tr>
        <w:trPr/>
        <w:tc>
          <w:tcPr>
            <w:tcW w:w="5555" w:type="dxa"/>
            <w:tcBorders/>
            <w:shd w:fill="CCEEFF" w:val="clear"/>
            <w:vAlign w:val="center"/>
          </w:tcPr>
          <w:p>
            <w:pPr>
              <w:pStyle w:val="TableContents"/>
              <w:bidi w:val="0"/>
              <w:spacing w:before="0" w:after="283"/>
              <w:jc w:val="left"/>
              <w:rPr/>
            </w:pPr>
            <w:r>
              <w:rPr/>
              <w:t>Loss from operations before taxes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9" w:type="dxa"/>
            <w:tcBorders>
              <w:bottom w:val="double" w:sz="10" w:space="0" w:color="000000"/>
            </w:tcBorders>
            <w:shd w:fill="CCEEFF" w:val="clear"/>
            <w:tcMar>
              <w:bottom w:w="28" w:type="dxa"/>
            </w:tcMar>
            <w:vAlign w:val="center"/>
          </w:tcPr>
          <w:p>
            <w:pPr>
              <w:pStyle w:val="TableContents"/>
              <w:bidi w:val="0"/>
              <w:spacing w:before="0" w:after="283"/>
              <w:jc w:val="right"/>
              <w:rPr/>
            </w:pPr>
            <w:r>
              <w:rPr/>
              <w:t>4,812</w:t>
            </w:r>
          </w:p>
        </w:tc>
        <w:tc>
          <w:tcPr>
            <w:tcW w:w="1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275"/>
        <w:gridCol w:w="9710"/>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30, 2025 was as follows (</w:t>
            </w:r>
            <w:r>
              <w:rPr>
                <w:rFonts w:ascii="Times New Roman;Times;Serif" w:hAnsi="Times New Roman;Times;Serif"/>
                <w:i/>
                <w:sz w:val="20"/>
              </w:rPr>
              <w:t>in millions</w:t>
            </w:r>
            <w:r>
              <w:rPr>
                <w:rFonts w:ascii="Times New Roman;Times;Serif" w:hAnsi="Times New Roman;Times;Serif"/>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28" w:type="dxa"/>
          <w:right w:w="0" w:type="dxa"/>
        </w:tblCellMar>
      </w:tblPr>
      <w:tblGrid>
        <w:gridCol w:w="4145"/>
        <w:gridCol w:w="90"/>
        <w:gridCol w:w="389"/>
        <w:gridCol w:w="801"/>
        <w:gridCol w:w="90"/>
        <w:gridCol w:w="90"/>
        <w:gridCol w:w="300"/>
        <w:gridCol w:w="620"/>
        <w:gridCol w:w="90"/>
        <w:gridCol w:w="90"/>
        <w:gridCol w:w="267"/>
        <w:gridCol w:w="458"/>
        <w:gridCol w:w="90"/>
        <w:gridCol w:w="90"/>
        <w:gridCol w:w="192"/>
        <w:gridCol w:w="398"/>
        <w:gridCol w:w="135"/>
      </w:tblGrid>
      <w:tr>
        <w:trPr/>
        <w:tc>
          <w:tcPr>
            <w:tcW w:w="4145" w:type="dxa"/>
            <w:tcBorders>
              <w:bottom w:val="single" w:sz="1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90" w:type="dxa"/>
            <w:tcBorders/>
            <w:tcMar>
              <w:bottom w:w="0" w:type="dxa"/>
            </w:tcMar>
            <w:vAlign w:val="center"/>
          </w:tcPr>
          <w:p>
            <w:pPr>
              <w:pStyle w:val="TableContents"/>
              <w:bidi w:val="0"/>
              <w:spacing w:before="0" w:after="283"/>
              <w:jc w:val="left"/>
              <w:rPr/>
            </w:pPr>
            <w:r>
              <w:rPr/>
              <w:t> </w:t>
            </w:r>
          </w:p>
        </w:tc>
        <w:tc>
          <w:tcPr>
            <w:tcW w:w="389" w:type="dxa"/>
            <w:tcBorders>
              <w:bottom w:val="single" w:sz="12" w:space="0" w:color="000000"/>
            </w:tcBorders>
            <w:vAlign w:val="center"/>
          </w:tcPr>
          <w:p>
            <w:pPr>
              <w:pStyle w:val="TableContents"/>
              <w:bidi w:val="0"/>
              <w:spacing w:before="0" w:after="283"/>
              <w:jc w:val="left"/>
              <w:rPr/>
            </w:pPr>
            <w:r>
              <w:rPr/>
              <w:t> </w:t>
            </w:r>
          </w:p>
        </w:tc>
        <w:tc>
          <w:tcPr>
            <w:tcW w:w="801"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0" w:type="dxa"/>
            <w:tcBorders>
              <w:bottom w:val="single" w:sz="12" w:space="0" w:color="000000"/>
            </w:tcBorders>
            <w:vAlign w:val="center"/>
          </w:tcPr>
          <w:p>
            <w:pPr>
              <w:pStyle w:val="TableContents"/>
              <w:bidi w:val="0"/>
              <w:spacing w:before="0" w:after="283"/>
              <w:jc w:val="left"/>
              <w:rPr/>
            </w:pPr>
            <w:r>
              <w:rPr/>
              <w:t> </w:t>
            </w:r>
          </w:p>
        </w:tc>
        <w:tc>
          <w:tcPr>
            <w:tcW w:w="62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7" w:type="dxa"/>
            <w:tcBorders>
              <w:bottom w:val="single" w:sz="12" w:space="0" w:color="000000"/>
            </w:tcBorders>
            <w:vAlign w:val="center"/>
          </w:tcPr>
          <w:p>
            <w:pPr>
              <w:pStyle w:val="TableContents"/>
              <w:bidi w:val="0"/>
              <w:spacing w:before="0" w:after="283"/>
              <w:jc w:val="left"/>
              <w:rPr/>
            </w:pPr>
            <w:r>
              <w:rPr/>
              <w:t> </w:t>
            </w:r>
          </w:p>
        </w:tc>
        <w:tc>
          <w:tcPr>
            <w:tcW w:w="458"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398"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3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8" w:type="dxa"/>
            <w:tcBorders>
              <w:bottom w:val="double" w:sz="10"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6 Supplemental Balance Sheet Information; Note 8 – SAFE Agreements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with SameDay Solar was $0.5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Wendell Laidley Resignation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Wendell Laidley resigned from his position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Deposit by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Convertible Senior Secured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offering of the 10% Senior Secured Notes, the Company and YA entered into a letter agreement (the “YA Letter”). Pursuant to the YA Letter, the Company agreed to voluntary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CPP Note Purchase Agreement and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 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29, 2026 $1.0 million of the September 2024 Notes were converted by holders into approximately 0.6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 in Filing of Form 10Q as of and for the thirteen week period ended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00"/>
        <w:gridCol w:w="90"/>
        <w:gridCol w:w="515"/>
      </w:tblGrid>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pPr>
            <w:r>
              <w:rPr/>
              <w:t> </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sz w:val="20"/>
                </w:rPr>
                <w:t xml:space="preserve">Report of Independent Registered Public Accounting Firm </w:t>
              </w:r>
            </w:hyperlink>
            <w:hyperlink w:anchor="C_001">
              <w:r>
                <w:rPr>
                  <w:rStyle w:val="InternetLink"/>
                  <w:rFonts w:ascii="Times New Roman;Times;Serif" w:hAnsi="Times New Roman;Times;Serif"/>
                  <w:i/>
                  <w:sz w:val="20"/>
                </w:rPr>
                <w:t>(PCAOB ID 243)</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F-50</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sz w:val="20"/>
                </w:rPr>
                <w:t>Consolidated Balance Sheets as of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F-51</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ind w:left="0" w:right="0" w:hanging="180"/>
              <w:jc w:val="center"/>
              <w:rPr/>
            </w:pPr>
            <w:r>
              <w:rPr/>
              <w:t> </w:t>
            </w:r>
          </w:p>
        </w:tc>
      </w:tr>
      <w:tr>
        <w:trPr/>
        <w:tc>
          <w:tcPr>
            <w:tcW w:w="9600"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sz w:val="20"/>
                </w:rPr>
                <w:t>Consolidated Statements of Operations and Comprehensive Loss for the Fiscal Years Ended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F-52</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ind w:left="0" w:right="0" w:hanging="180"/>
              <w:jc w:val="center"/>
              <w:rPr/>
            </w:pPr>
            <w:r>
              <w:rPr/>
              <w:t> </w:t>
            </w:r>
          </w:p>
        </w:tc>
      </w:tr>
      <w:tr>
        <w:trPr/>
        <w:tc>
          <w:tcPr>
            <w:tcW w:w="9600"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sz w:val="20"/>
                </w:rPr>
                <w:t>Consolidated Statements of Stockholders’ Deficit for the Fiscal Years Ended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F-53</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ind w:left="0" w:right="0" w:hanging="180"/>
              <w:jc w:val="center"/>
              <w:rPr/>
            </w:pPr>
            <w:r>
              <w:rPr/>
              <w:t> </w:t>
            </w:r>
          </w:p>
        </w:tc>
      </w:tr>
      <w:tr>
        <w:trPr/>
        <w:tc>
          <w:tcPr>
            <w:tcW w:w="9600"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sz w:val="20"/>
                </w:rPr>
                <w:t>Consolidated Statements of Cash Flows for the for the Fiscal Years Ended December 28, 2025 and December 29, 2024</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r>
        <w:trPr/>
        <w:tc>
          <w:tcPr>
            <w:tcW w:w="9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600"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sz w:val="20"/>
                </w:rPr>
                <w:t>Notes to Consolidated Financial Statements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_001"/>
      <w:bookmarkEnd w:id="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_002"/>
      <w:bookmarkEnd w:id="28"/>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88"/>
        <w:gridCol w:w="90"/>
        <w:gridCol w:w="220"/>
        <w:gridCol w:w="1177"/>
        <w:gridCol w:w="125"/>
        <w:gridCol w:w="90"/>
        <w:gridCol w:w="220"/>
        <w:gridCol w:w="1177"/>
        <w:gridCol w:w="318"/>
      </w:tblGrid>
      <w:tr>
        <w:trPr/>
        <w:tc>
          <w:tcPr>
            <w:tcW w:w="67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b/>
              </w:rPr>
            </w:pPr>
            <w:r>
              <w:rPr>
                <w:b/>
              </w:rPr>
              <w:t>December 29,</w:t>
            </w:r>
          </w:p>
        </w:tc>
        <w:tc>
          <w:tcPr>
            <w:tcW w:w="318" w:type="dxa"/>
            <w:tcBorders/>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18" w:type="dxa"/>
            <w:tcBorders/>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9,617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13,378</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Trade accounts receivable, net of allowance for credit losses of $5,206 and $1,701 as of December 28, 2025 and December 29, 2024, respectively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67,824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25,842</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4,375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22,110</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16,913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8,206</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Contract assets, current portion</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318" w:type="dxa"/>
            <w:tcBorders/>
            <w:shd w:fill="CCEEFF" w:val="clear"/>
            <w:vAlign w:val="center"/>
          </w:tcPr>
          <w:p>
            <w:pPr>
              <w:pStyle w:val="TableContents"/>
              <w:bidi w:val="0"/>
              <w:spacing w:before="0" w:after="283"/>
              <w:ind w:left="0" w:right="0" w:firstLine="180"/>
              <w:jc w:val="left"/>
              <w:rPr/>
            </w:pPr>
            <w:r>
              <w:rPr/>
              <w:t> </w:t>
            </w:r>
          </w:p>
        </w:tc>
      </w:tr>
      <w:tr>
        <w:trPr/>
        <w:tc>
          <w:tcPr>
            <w:tcW w:w="6788"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112,851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95,602</w:t>
            </w:r>
          </w:p>
        </w:tc>
        <w:tc>
          <w:tcPr>
            <w:tcW w:w="318" w:type="dxa"/>
            <w:tcBorders/>
            <w:vAlign w:val="center"/>
          </w:tcPr>
          <w:p>
            <w:pPr>
              <w:pStyle w:val="TableContents"/>
              <w:bidi w:val="0"/>
              <w:spacing w:before="0" w:after="283"/>
              <w:ind w:left="0" w:right="0" w:hanging="360"/>
              <w:jc w:val="left"/>
              <w:rPr/>
            </w:pPr>
            <w:r>
              <w:rPr/>
              <w:t> </w:t>
            </w:r>
          </w:p>
        </w:tc>
      </w:tr>
      <w:tr>
        <w:trPr/>
        <w:tc>
          <w:tcPr>
            <w:tcW w:w="6788"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3,841</w:t>
            </w:r>
          </w:p>
        </w:tc>
        <w:tc>
          <w:tcPr>
            <w:tcW w:w="318" w:type="dxa"/>
            <w:tcBorders/>
            <w:shd w:fill="CCEEFF" w:val="clear"/>
            <w:vAlign w:val="center"/>
          </w:tcPr>
          <w:p>
            <w:pPr>
              <w:pStyle w:val="TableContents"/>
              <w:bidi w:val="0"/>
              <w:spacing w:before="0" w:after="283"/>
              <w:ind w:left="0" w:right="0" w:hanging="360"/>
              <w:jc w:val="left"/>
              <w:rPr/>
            </w:pPr>
            <w:r>
              <w:rPr/>
              <w:t> </w:t>
            </w:r>
          </w:p>
        </w:tc>
      </w:tr>
      <w:tr>
        <w:trPr/>
        <w:tc>
          <w:tcPr>
            <w:tcW w:w="6788"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4,890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5,493</w:t>
            </w:r>
          </w:p>
        </w:tc>
        <w:tc>
          <w:tcPr>
            <w:tcW w:w="318" w:type="dxa"/>
            <w:tcBorders/>
            <w:vAlign w:val="center"/>
          </w:tcPr>
          <w:p>
            <w:pPr>
              <w:pStyle w:val="TableContents"/>
              <w:bidi w:val="0"/>
              <w:spacing w:before="0" w:after="283"/>
              <w:ind w:left="0" w:right="0" w:hanging="360"/>
              <w:jc w:val="left"/>
              <w:rPr/>
            </w:pPr>
            <w:r>
              <w:rPr/>
              <w:t> </w:t>
            </w:r>
          </w:p>
        </w:tc>
      </w:tr>
      <w:tr>
        <w:trPr/>
        <w:tc>
          <w:tcPr>
            <w:tcW w:w="6788"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4,552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3,041</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1,609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628</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62,630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18,476</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50,814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17,385</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pPr>
            <w:r>
              <w:rPr/>
              <w:t>241,187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pPr>
            <w:r>
              <w:rPr/>
              <w:t>144,466</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b/>
              </w:rPr>
            </w:pPr>
            <w:r>
              <w:rPr>
                <w:b/>
              </w:rPr>
              <w:t>LIABILITIES AND STOCKHOLDERS’ DEFICIT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26,240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7,980</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sz w:val="20"/>
              </w:rPr>
            </w:pPr>
            <w:r>
              <w:rPr>
                <w:sz w:val="20"/>
              </w:rPr>
              <w:t xml:space="preserve">Accrued expenses and other current liabilities </w:t>
            </w:r>
            <w:r>
              <w:rPr>
                <w:position w:val="7"/>
                <w:sz w:val="16"/>
                <w:sz w:val="20"/>
              </w:rPr>
              <w:t>(1)</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56,977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56,081</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Short-term debt with related parties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1,500</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Current portion of long-term notes payable</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Deferred consideration, current with related party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Deferred consideration, current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Contract liabilities, current portion</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20,336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10,003</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SAFE Agreement with related party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384</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Forward purchase agreement liabilities with related parties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1,274</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Forward purchase agreement liabilities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3,965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2,220</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154,638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79,442</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Warranty provision, noncurrent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3,059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3,437</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Warrant liability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4,361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1,561</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Contract liabilities, noncurrent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918</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Notes payable and derivative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120,159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92,638</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Notes payable and derivative liabilities with related parties, net of current portion</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35,130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53,193</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Deferred income taxes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0"/>
              <w:jc w:val="right"/>
              <w:rPr/>
            </w:pPr>
            <w:r>
              <w:rPr/>
              <w:t>—</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Deferred consideration, noncurrent with related party</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5,420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Other long-term liabilities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10,816</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331,331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242,005</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ind w:left="0" w:right="0" w:hanging="180"/>
              <w:jc w:val="left"/>
              <w:rPr/>
            </w:pPr>
            <w:r>
              <w:rPr/>
              <w:t> </w:t>
            </w:r>
          </w:p>
        </w:tc>
      </w:tr>
      <w:tr>
        <w:trPr/>
        <w:tc>
          <w:tcPr>
            <w:tcW w:w="6788" w:type="dxa"/>
            <w:tcBorders/>
            <w:vAlign w:val="center"/>
          </w:tcPr>
          <w:p>
            <w:pPr>
              <w:pStyle w:val="TableContents"/>
              <w:bidi w:val="0"/>
              <w:spacing w:before="0" w:after="283"/>
              <w:jc w:val="left"/>
              <w:rPr/>
            </w:pPr>
            <w:r>
              <w:rPr/>
              <w:t>Commitments and contingencies (Note 12)</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0"/>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b/>
              </w:rPr>
            </w:pPr>
            <w:r>
              <w:rPr>
                <w:b/>
              </w:rPr>
              <w:t>Stockholders’ (deficit):</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318" w:type="dxa"/>
            <w:tcBorders/>
            <w:vAlign w:val="center"/>
          </w:tcPr>
          <w:p>
            <w:pPr>
              <w:pStyle w:val="TableContents"/>
              <w:bidi w:val="0"/>
              <w:spacing w:before="0" w:after="283"/>
              <w:ind w:left="0" w:right="0" w:hanging="180"/>
              <w:jc w:val="left"/>
              <w:rPr/>
            </w:pPr>
            <w:r>
              <w:rPr/>
              <w:t> </w:t>
            </w:r>
          </w:p>
        </w:tc>
      </w:tr>
      <w:tr>
        <w:trPr/>
        <w:tc>
          <w:tcPr>
            <w:tcW w:w="6788" w:type="dxa"/>
            <w:tcBorders/>
            <w:shd w:fill="CCEEFF" w:val="clear"/>
            <w:vAlign w:val="center"/>
          </w:tcPr>
          <w:p>
            <w:pPr>
              <w:pStyle w:val="TableContents"/>
              <w:bidi w:val="0"/>
              <w:spacing w:before="0" w:after="283"/>
              <w:jc w:val="left"/>
              <w:rPr/>
            </w:pPr>
            <w:r>
              <w:rPr/>
              <w:t>Common stock, $0.0001 par value; Authorized 1,000,000,000 shares as of December 28, 2025 and December 29, 2024; issued and outstanding 111,334,959 and 73,784,645 shares as of December 28, 2025 and December 29, 2024, respectively</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14</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366,408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313,661</w:t>
            </w:r>
          </w:p>
        </w:tc>
        <w:tc>
          <w:tcPr>
            <w:tcW w:w="318" w:type="dxa"/>
            <w:tcBorders/>
            <w:vAlign w:val="center"/>
          </w:tcPr>
          <w:p>
            <w:pPr>
              <w:pStyle w:val="TableContents"/>
              <w:bidi w:val="0"/>
              <w:spacing w:before="0" w:after="283"/>
              <w:jc w:val="left"/>
              <w:rPr/>
            </w:pPr>
            <w:r>
              <w:rPr/>
              <w:t> </w:t>
            </w:r>
          </w:p>
        </w:tc>
      </w:tr>
      <w:tr>
        <w:trPr/>
        <w:tc>
          <w:tcPr>
            <w:tcW w:w="6788"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165</w:t>
            </w:r>
          </w:p>
        </w:tc>
        <w:tc>
          <w:tcPr>
            <w:tcW w:w="318" w:type="dxa"/>
            <w:tcBorders/>
            <w:shd w:fill="CCEEFF" w:val="clear"/>
            <w:vAlign w:val="center"/>
          </w:tcPr>
          <w:p>
            <w:pPr>
              <w:pStyle w:val="TableContents"/>
              <w:bidi w:val="0"/>
              <w:spacing w:before="0" w:after="283"/>
              <w:jc w:val="left"/>
              <w:rPr/>
            </w:pPr>
            <w:r>
              <w:rPr/>
              <w:t> </w:t>
            </w:r>
          </w:p>
        </w:tc>
      </w:tr>
      <w:tr>
        <w:trPr/>
        <w:tc>
          <w:tcPr>
            <w:tcW w:w="6788"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(456,733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tcMar>
              <w:bottom w:w="28" w:type="dxa"/>
            </w:tcMar>
            <w:vAlign w:val="center"/>
          </w:tcPr>
          <w:p>
            <w:pPr>
              <w:pStyle w:val="TableContents"/>
              <w:bidi w:val="0"/>
              <w:spacing w:before="0" w:after="283"/>
              <w:jc w:val="right"/>
              <w:rPr/>
            </w:pPr>
            <w:r>
              <w:rPr/>
              <w:t>(411,379</w:t>
            </w:r>
          </w:p>
        </w:tc>
        <w:tc>
          <w:tcPr>
            <w:tcW w:w="318" w:type="dxa"/>
            <w:tcBorders/>
            <w:vAlign w:val="center"/>
          </w:tcPr>
          <w:p>
            <w:pPr>
              <w:pStyle w:val="TableContents"/>
              <w:bidi w:val="0"/>
              <w:spacing w:before="0" w:after="283"/>
              <w:ind w:left="0" w:right="0" w:hanging="180"/>
              <w:jc w:val="left"/>
              <w:rPr/>
            </w:pPr>
            <w:r>
              <w:rPr/>
              <w:t>)</w:t>
            </w:r>
          </w:p>
        </w:tc>
      </w:tr>
      <w:tr>
        <w:trPr/>
        <w:tc>
          <w:tcPr>
            <w:tcW w:w="6788" w:type="dxa"/>
            <w:tcBorders/>
            <w:shd w:fill="CCEEFF" w:val="clear"/>
            <w:vAlign w:val="center"/>
          </w:tcPr>
          <w:p>
            <w:pPr>
              <w:pStyle w:val="TableContents"/>
              <w:bidi w:val="0"/>
              <w:spacing w:before="0" w:after="283"/>
              <w:jc w:val="left"/>
              <w:rPr/>
            </w:pPr>
            <w:r>
              <w:rPr/>
              <w:t>Total stockholders’ (deficit)</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(97,539</w:t>
            </w:r>
          </w:p>
        </w:tc>
        <w:tc>
          <w:tcPr>
            <w:tcW w:w="318" w:type="dxa"/>
            <w:tcBorders/>
            <w:shd w:fill="CCEEFF" w:val="clear"/>
            <w:vAlign w:val="center"/>
          </w:tcPr>
          <w:p>
            <w:pPr>
              <w:pStyle w:val="TableContents"/>
              <w:bidi w:val="0"/>
              <w:spacing w:before="0" w:after="283"/>
              <w:ind w:left="0" w:right="0" w:hanging="180"/>
              <w:jc w:val="left"/>
              <w:rPr/>
            </w:pPr>
            <w:r>
              <w:rPr/>
              <w:t>)</w:t>
            </w:r>
          </w:p>
        </w:tc>
      </w:tr>
      <w:tr>
        <w:trPr/>
        <w:tc>
          <w:tcPr>
            <w:tcW w:w="6788" w:type="dxa"/>
            <w:tcBorders/>
            <w:vAlign w:val="center"/>
          </w:tcPr>
          <w:p>
            <w:pPr>
              <w:pStyle w:val="TableContents"/>
              <w:bidi w:val="0"/>
              <w:spacing w:before="0" w:after="283"/>
              <w:jc w:val="left"/>
              <w:rPr/>
            </w:pPr>
            <w:r>
              <w:rPr/>
              <w:t>Total liabilities and stockholders’ (deficit)</w:t>
            </w:r>
          </w:p>
        </w:tc>
        <w:tc>
          <w:tcPr>
            <w:tcW w:w="9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tcMar>
              <w:bottom w:w="28" w:type="dxa"/>
            </w:tcMar>
            <w:vAlign w:val="center"/>
          </w:tcPr>
          <w:p>
            <w:pPr>
              <w:pStyle w:val="TableContents"/>
              <w:bidi w:val="0"/>
              <w:spacing w:before="0" w:after="283"/>
              <w:jc w:val="right"/>
              <w:rPr/>
            </w:pPr>
            <w:r>
              <w:rPr/>
              <w:t>241,187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bottom w:val="double" w:sz="10" w:space="0" w:color="000000"/>
            </w:tcBorders>
            <w:tcMar>
              <w:bottom w:w="28" w:type="dxa"/>
            </w:tcMar>
            <w:vAlign w:val="center"/>
          </w:tcPr>
          <w:p>
            <w:pPr>
              <w:pStyle w:val="TableContents"/>
              <w:bidi w:val="0"/>
              <w:spacing w:before="0" w:after="283"/>
              <w:jc w:val="left"/>
              <w:rPr/>
            </w:pPr>
            <w:r>
              <w:rPr/>
              <w:t>$</w:t>
            </w:r>
          </w:p>
        </w:tc>
        <w:tc>
          <w:tcPr>
            <w:tcW w:w="1177" w:type="dxa"/>
            <w:tcBorders>
              <w:bottom w:val="double" w:sz="10" w:space="0" w:color="000000"/>
            </w:tcBorders>
            <w:tcMar>
              <w:bottom w:w="28" w:type="dxa"/>
            </w:tcMar>
            <w:vAlign w:val="center"/>
          </w:tcPr>
          <w:p>
            <w:pPr>
              <w:pStyle w:val="TableContents"/>
              <w:bidi w:val="0"/>
              <w:spacing w:before="0" w:after="283"/>
              <w:jc w:val="right"/>
              <w:rPr/>
            </w:pPr>
            <w:r>
              <w:rPr/>
              <w:t>144,466</w:t>
            </w:r>
          </w:p>
        </w:tc>
        <w:tc>
          <w:tcPr>
            <w:tcW w:w="31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6" w:type="dxa"/>
            <w:tcBorders/>
            <w:vAlign w:val="center"/>
          </w:tcPr>
          <w:p>
            <w:pPr>
              <w:pStyle w:val="TableContents"/>
              <w:bidi w:val="0"/>
              <w:spacing w:before="0" w:after="283"/>
              <w:jc w:val="both"/>
              <w:rPr/>
            </w:pPr>
            <w:r>
              <w:rPr/>
              <w:t>Includes accrued interest due to related parties of $2.6 million and $2.5 million as of December 28, 2025 and December 29, 2024, respectively, and includes investor financing deposit with related party of $2.0 million as of December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_003"/>
      <w:bookmarkEnd w:id="29"/>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94"/>
        <w:gridCol w:w="90"/>
        <w:gridCol w:w="184"/>
        <w:gridCol w:w="1232"/>
        <w:gridCol w:w="125"/>
        <w:gridCol w:w="90"/>
        <w:gridCol w:w="184"/>
        <w:gridCol w:w="1232"/>
        <w:gridCol w:w="174"/>
      </w:tblGrid>
      <w:tr>
        <w:trPr/>
        <w:tc>
          <w:tcPr>
            <w:tcW w:w="68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4"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vAlign w:val="center"/>
          </w:tcPr>
          <w:p>
            <w:pPr>
              <w:pStyle w:val="TableContents"/>
              <w:bidi w:val="0"/>
              <w:spacing w:before="0" w:after="283"/>
              <w:jc w:val="center"/>
              <w:rPr>
                <w:b/>
              </w:rPr>
            </w:pPr>
            <w:r>
              <w:rPr>
                <w:b/>
              </w:rPr>
              <w:t>December 29,</w:t>
            </w:r>
          </w:p>
        </w:tc>
        <w:tc>
          <w:tcPr>
            <w:tcW w:w="174"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sz w:val="20"/>
              </w:rPr>
            </w:pPr>
            <w:r>
              <w:rPr>
                <w:sz w:val="20"/>
              </w:rPr>
              <w:t>Revenues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300,000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108,742</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 xml:space="preserve">Cost of revenues </w:t>
            </w:r>
            <w:r>
              <w:rPr>
                <w:position w:val="8"/>
                <w:sz w:val="19"/>
              </w:rPr>
              <w:t>(1)</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170,788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69,240</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37,009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24,590</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29,030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6,827</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90,104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76,594</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156,143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108,011</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(68,509</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sz w:val="20"/>
              </w:rPr>
            </w:pPr>
            <w:r>
              <w:rPr>
                <w:sz w:val="20"/>
              </w:rPr>
              <w:t xml:space="preserve">Interest expense </w:t>
            </w:r>
            <w:r>
              <w:rPr>
                <w:position w:val="7"/>
                <w:sz w:val="16"/>
                <w:sz w:val="20"/>
              </w:rPr>
              <w:t>(2)</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(25,095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(16,223</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19</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sz w:val="20"/>
              </w:rPr>
            </w:pPr>
            <w:r>
              <w:rPr>
                <w:sz w:val="20"/>
              </w:rPr>
              <w:t xml:space="preserve">Other non-operating income, net </w:t>
            </w:r>
            <w:r>
              <w:rPr>
                <w:position w:val="7"/>
                <w:sz w:val="16"/>
                <w:sz w:val="20"/>
              </w:rPr>
              <w:t>(3)</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9,347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7,932</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74" w:type="dxa"/>
            <w:tcBorders/>
            <w:shd w:fill="CCEEFF" w:val="clear"/>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left"/>
              <w:rPr/>
            </w:pPr>
            <w:r>
              <w:rPr/>
              <w:t>Total Other (expense) income, net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(15,745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14,065</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Income tax (provision)</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(1,578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0"/>
              <w:jc w:val="right"/>
              <w:rPr/>
            </w:pPr>
            <w:r>
              <w:rPr/>
              <w:t>—</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Net loss from discontinued operations, net of taxes</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Comprehensive loss (net of tax)</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(45,354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(56,451</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 from continuing operations per share attributable to common stockholders, basic</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(0.82</w:t>
            </w:r>
          </w:p>
        </w:tc>
        <w:tc>
          <w:tcPr>
            <w:tcW w:w="174" w:type="dxa"/>
            <w:tcBorders/>
            <w:shd w:fill="CCEEFF" w:val="clear"/>
            <w:vAlign w:val="center"/>
          </w:tcPr>
          <w:p>
            <w:pPr>
              <w:pStyle w:val="TableContents"/>
              <w:bidi w:val="0"/>
              <w:spacing w:before="0" w:after="283"/>
              <w:jc w:val="left"/>
              <w:rPr/>
            </w:pPr>
            <w:r>
              <w:rPr/>
              <w:t>)</w:t>
            </w:r>
          </w:p>
        </w:tc>
      </w:tr>
      <w:tr>
        <w:trPr/>
        <w:tc>
          <w:tcPr>
            <w:tcW w:w="6894" w:type="dxa"/>
            <w:tcBorders/>
            <w:vAlign w:val="center"/>
          </w:tcPr>
          <w:p>
            <w:pPr>
              <w:pStyle w:val="TableContents"/>
              <w:bidi w:val="0"/>
              <w:spacing w:before="0" w:after="283"/>
              <w:jc w:val="left"/>
              <w:rPr/>
            </w:pPr>
            <w:r>
              <w:rPr/>
              <w:t>Net loss from discontinued operations per share attributable to common stockholders, basic</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 per share attributable to common stockholders, basic</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74" w:type="dxa"/>
            <w:tcBorders/>
            <w:shd w:fill="CCEEFF" w:val="clear"/>
            <w:vAlign w:val="center"/>
          </w:tcPr>
          <w:p>
            <w:pPr>
              <w:pStyle w:val="TableContents"/>
              <w:bidi w:val="0"/>
              <w:spacing w:before="0" w:after="283"/>
              <w:ind w:left="0" w:right="0" w:hanging="180"/>
              <w:jc w:val="left"/>
              <w:rPr/>
            </w:pPr>
            <w:r>
              <w:rPr/>
              <w:t>)</w:t>
            </w:r>
          </w:p>
        </w:tc>
      </w:tr>
      <w:tr>
        <w:trPr/>
        <w:tc>
          <w:tcPr>
            <w:tcW w:w="6894" w:type="dxa"/>
            <w:tcBorders/>
            <w:vAlign w:val="center"/>
          </w:tcPr>
          <w:p>
            <w:pPr>
              <w:pStyle w:val="TableContents"/>
              <w:bidi w:val="0"/>
              <w:spacing w:before="0" w:after="283"/>
              <w:jc w:val="left"/>
              <w:rPr/>
            </w:pPr>
            <w:r>
              <w:rPr/>
              <w:t>Weighted-average shares used to compute net loss per share attributable to common stockholders, basic</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87,108,928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66,655,837</w:t>
            </w:r>
          </w:p>
        </w:tc>
        <w:tc>
          <w:tcPr>
            <w:tcW w:w="174"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Net loss from continuing operations per share attributable to common stockholders, diluted</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(1.19</w:t>
            </w:r>
          </w:p>
        </w:tc>
        <w:tc>
          <w:tcPr>
            <w:tcW w:w="174" w:type="dxa"/>
            <w:tcBorders/>
            <w:shd w:fill="CCEEFF" w:val="clear"/>
            <w:vAlign w:val="center"/>
          </w:tcPr>
          <w:p>
            <w:pPr>
              <w:pStyle w:val="TableContents"/>
              <w:bidi w:val="0"/>
              <w:spacing w:before="0" w:after="283"/>
              <w:ind w:left="0" w:right="0" w:hanging="180"/>
              <w:jc w:val="left"/>
              <w:rPr/>
            </w:pPr>
            <w:r>
              <w:rPr/>
              <w:t>)</w:t>
            </w:r>
          </w:p>
        </w:tc>
      </w:tr>
      <w:tr>
        <w:trPr/>
        <w:tc>
          <w:tcPr>
            <w:tcW w:w="6894" w:type="dxa"/>
            <w:tcBorders/>
            <w:vAlign w:val="center"/>
          </w:tcPr>
          <w:p>
            <w:pPr>
              <w:pStyle w:val="TableContents"/>
              <w:bidi w:val="0"/>
              <w:spacing w:before="0" w:after="283"/>
              <w:jc w:val="left"/>
              <w:rPr/>
            </w:pPr>
            <w:r>
              <w:rPr/>
              <w:t>Net loss from discontinued operations per share attributable to common stockholders, diluted</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4" w:type="dxa"/>
            <w:tcBorders/>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Net loss per share attributable to common stockholders, diluted</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74" w:type="dxa"/>
            <w:tcBorders/>
            <w:shd w:fill="CCEEFF" w:val="clear"/>
            <w:vAlign w:val="center"/>
          </w:tcPr>
          <w:p>
            <w:pPr>
              <w:pStyle w:val="TableContents"/>
              <w:bidi w:val="0"/>
              <w:spacing w:before="0" w:after="283"/>
              <w:ind w:left="0" w:right="0" w:hanging="180"/>
              <w:jc w:val="left"/>
              <w:rPr/>
            </w:pPr>
            <w:r>
              <w:rPr/>
              <w:t>)</w:t>
            </w:r>
          </w:p>
        </w:tc>
      </w:tr>
      <w:tr>
        <w:trPr/>
        <w:tc>
          <w:tcPr>
            <w:tcW w:w="6894" w:type="dxa"/>
            <w:tcBorders/>
            <w:vAlign w:val="center"/>
          </w:tcPr>
          <w:p>
            <w:pPr>
              <w:pStyle w:val="TableContents"/>
              <w:bidi w:val="0"/>
              <w:spacing w:before="0" w:after="283"/>
              <w:jc w:val="left"/>
              <w:rPr/>
            </w:pPr>
            <w:r>
              <w:rPr/>
              <w:t>Weighted-average shares used to compute 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87,108,928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75,793,548</w:t>
            </w:r>
          </w:p>
        </w:tc>
        <w:tc>
          <w:tcPr>
            <w:tcW w:w="17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Times;Serif" w:hAnsi="Times New Roman;Times;Serif"/>
                <w:b/>
                <w:sz w:val="20"/>
              </w:rPr>
              <w:t>Note 19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0" w:type="dxa"/>
            <w:tcBorders/>
            <w:vAlign w:val="center"/>
          </w:tcPr>
          <w:p>
            <w:pPr>
              <w:pStyle w:val="TableContents"/>
              <w:bidi w:val="0"/>
              <w:spacing w:before="0" w:after="283"/>
              <w:jc w:val="both"/>
              <w:rPr/>
            </w:pPr>
            <w:r>
              <w:rPr/>
              <w:t xml:space="preserve">Includes interest expense and amortization of debt issuance costs due to related parties of $5.7 million and $7.6 million in the fiscal years ended December 28, 2025 and December 29, 2024, respectively. Refer to </w:t>
            </w:r>
            <w:r>
              <w:rPr>
                <w:b/>
              </w:rPr>
              <w:t>Note 10 – Borrowings and Derivative Liabilities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75"/>
        <w:gridCol w:w="5105"/>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4"/>
        <w:gridCol w:w="90"/>
        <w:gridCol w:w="359"/>
        <w:gridCol w:w="846"/>
        <w:gridCol w:w="132"/>
        <w:gridCol w:w="108"/>
        <w:gridCol w:w="359"/>
        <w:gridCol w:w="846"/>
        <w:gridCol w:w="151"/>
      </w:tblGrid>
      <w:tr>
        <w:trPr/>
        <w:tc>
          <w:tcPr>
            <w:tcW w:w="73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1" w:type="dxa"/>
            <w:tcBorders/>
            <w:vAlign w:val="center"/>
          </w:tcPr>
          <w:p>
            <w:pPr>
              <w:pStyle w:val="TableContents"/>
              <w:bidi w:val="0"/>
              <w:spacing w:before="0" w:after="283"/>
              <w:jc w:val="left"/>
              <w:rPr/>
            </w:pPr>
            <w:r>
              <w:rPr/>
              <w:t> </w:t>
            </w:r>
          </w:p>
        </w:tc>
      </w:tr>
      <w:tr>
        <w:trPr/>
        <w:tc>
          <w:tcPr>
            <w:tcW w:w="73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151" w:type="dxa"/>
            <w:tcBorders/>
            <w:vAlign w:val="center"/>
          </w:tcPr>
          <w:p>
            <w:pPr>
              <w:pStyle w:val="TableContents"/>
              <w:bidi w:val="0"/>
              <w:spacing w:before="0" w:after="283"/>
              <w:ind w:left="0" w:right="0" w:hanging="180"/>
              <w:jc w:val="left"/>
              <w:rPr/>
            </w:pPr>
            <w:r>
              <w:rPr/>
              <w:t> </w:t>
            </w:r>
          </w:p>
        </w:tc>
      </w:tr>
      <w:tr>
        <w:trPr/>
        <w:tc>
          <w:tcPr>
            <w:tcW w:w="7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5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Gain on remeasurement of derivative liabilities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51" w:type="dxa"/>
            <w:tcBorders/>
            <w:vAlign w:val="center"/>
          </w:tcPr>
          <w:p>
            <w:pPr>
              <w:pStyle w:val="TableContents"/>
              <w:bidi w:val="0"/>
              <w:spacing w:before="0" w:after="283"/>
              <w:ind w:left="0" w:right="0" w:hanging="180"/>
              <w:jc w:val="left"/>
              <w:rPr/>
            </w:pPr>
            <w:r>
              <w:rPr/>
              <w:t> </w:t>
            </w:r>
          </w:p>
        </w:tc>
      </w:tr>
      <w:tr>
        <w:trPr/>
        <w:tc>
          <w:tcPr>
            <w:tcW w:w="7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3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151"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3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ind w:left="0" w:right="0" w:hanging="180"/>
              <w:jc w:val="left"/>
              <w:rPr/>
            </w:pPr>
            <w:r>
              <w:rPr/>
              <w:t> </w:t>
            </w:r>
          </w:p>
        </w:tc>
      </w:tr>
      <w:tr>
        <w:trPr/>
        <w:tc>
          <w:tcPr>
            <w:tcW w:w="7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due to change in fair value of Carlyle warrants</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15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the fiscal year ended December 29, 2024.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_004"/>
      <w:bookmarkEnd w:id="30"/>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490" w:type="dxa"/>
        <w:jc w:val="left"/>
        <w:tblInd w:w="0" w:type="dxa"/>
        <w:tblLayout w:type="fixed"/>
        <w:tblCellMar>
          <w:top w:w="0" w:type="dxa"/>
          <w:left w:w="0" w:type="dxa"/>
          <w:bottom w:w="0" w:type="dxa"/>
          <w:right w:w="0" w:type="dxa"/>
        </w:tblCellMar>
      </w:tblPr>
      <w:tblGrid>
        <w:gridCol w:w="1490"/>
        <w:gridCol w:w="90"/>
        <w:gridCol w:w="90"/>
        <w:gridCol w:w="1250"/>
        <w:gridCol w:w="90"/>
        <w:gridCol w:w="90"/>
        <w:gridCol w:w="328"/>
        <w:gridCol w:w="562"/>
        <w:gridCol w:w="90"/>
        <w:gridCol w:w="90"/>
        <w:gridCol w:w="192"/>
        <w:gridCol w:w="938"/>
        <w:gridCol w:w="125"/>
        <w:gridCol w:w="90"/>
        <w:gridCol w:w="221"/>
        <w:gridCol w:w="1179"/>
        <w:gridCol w:w="125"/>
        <w:gridCol w:w="90"/>
        <w:gridCol w:w="480"/>
        <w:gridCol w:w="1160"/>
        <w:gridCol w:w="90"/>
        <w:gridCol w:w="90"/>
        <w:gridCol w:w="243"/>
        <w:gridCol w:w="1127"/>
        <w:gridCol w:w="170"/>
      </w:tblGrid>
      <w:tr>
        <w:trPr/>
        <w:tc>
          <w:tcPr>
            <w:tcW w:w="149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Equity</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49,065,361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b/>
              </w:rPr>
            </w:pPr>
            <w:r>
              <w:rPr>
                <w:b/>
              </w:rPr>
              <w:t>$</w:t>
            </w:r>
          </w:p>
        </w:tc>
        <w:tc>
          <w:tcPr>
            <w:tcW w:w="562" w:type="dxa"/>
            <w:tcBorders/>
            <w:shd w:fill="CCEEFF" w:val="clear"/>
            <w:vAlign w:val="center"/>
          </w:tcPr>
          <w:p>
            <w:pPr>
              <w:pStyle w:val="TableContents"/>
              <w:bidi w:val="0"/>
              <w:spacing w:before="0" w:after="283"/>
              <w:jc w:val="right"/>
              <w:rPr>
                <w:b/>
              </w:rPr>
            </w:pPr>
            <w:r>
              <w:rPr>
                <w:b/>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b/>
              </w:rPr>
            </w:pPr>
            <w:r>
              <w:rPr>
                <w:b/>
              </w:rPr>
              <w:t>$</w:t>
            </w:r>
          </w:p>
        </w:tc>
        <w:tc>
          <w:tcPr>
            <w:tcW w:w="938" w:type="dxa"/>
            <w:tcBorders/>
            <w:shd w:fill="CCEEFF" w:val="clear"/>
            <w:vAlign w:val="center"/>
          </w:tcPr>
          <w:p>
            <w:pPr>
              <w:pStyle w:val="TableContents"/>
              <w:bidi w:val="0"/>
              <w:spacing w:before="0" w:after="283"/>
              <w:jc w:val="right"/>
              <w:rPr>
                <w:b/>
              </w:rPr>
            </w:pPr>
            <w:r>
              <w:rPr>
                <w:b/>
              </w:rPr>
              <w:t>277,965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b/>
              </w:rPr>
            </w:pPr>
            <w:r>
              <w:rPr>
                <w:b/>
              </w:rPr>
              <w:t>$</w:t>
            </w:r>
          </w:p>
        </w:tc>
        <w:tc>
          <w:tcPr>
            <w:tcW w:w="1179" w:type="dxa"/>
            <w:tcBorders/>
            <w:shd w:fill="CCEEFF" w:val="clear"/>
            <w:vAlign w:val="center"/>
          </w:tcPr>
          <w:p>
            <w:pPr>
              <w:pStyle w:val="TableContents"/>
              <w:bidi w:val="0"/>
              <w:spacing w:before="0" w:after="283"/>
              <w:jc w:val="right"/>
              <w:rPr>
                <w:b/>
              </w:rPr>
            </w:pPr>
            <w:r>
              <w:rPr>
                <w:b/>
              </w:rPr>
              <w:t>(354,928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b/>
              </w:rPr>
            </w:pPr>
            <w:r>
              <w:rPr>
                <w:b/>
              </w:rPr>
              <w:t>$</w:t>
            </w:r>
          </w:p>
        </w:tc>
        <w:tc>
          <w:tcPr>
            <w:tcW w:w="1127" w:type="dxa"/>
            <w:tcBorders/>
            <w:shd w:fill="CCEEFF" w:val="clear"/>
            <w:vAlign w:val="center"/>
          </w:tcPr>
          <w:p>
            <w:pPr>
              <w:pStyle w:val="TableContents"/>
              <w:bidi w:val="0"/>
              <w:spacing w:before="0" w:after="283"/>
              <w:jc w:val="right"/>
              <w:rPr>
                <w:b/>
              </w:rPr>
            </w:pPr>
            <w:r>
              <w:rPr>
                <w:b/>
              </w:rPr>
              <w:t>(76,813</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149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398,883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532</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669,059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3,067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3,067</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1,400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common stock warrants for 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9,179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9,179</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upon conversion of SAFEs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13,888,889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6,244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6,250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5,343,616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for exchange of debt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2,220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2,220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2,918,837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7,144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7,144</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Modification of Warrant Agreement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7,306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Offering costs of reverse recapitalization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(1,396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(1,396</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(56,451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(56,451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49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b/>
              </w:rPr>
            </w:pPr>
            <w:r>
              <w:rPr>
                <w:b/>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73,784,645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313,661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(411,379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(97,539</w:t>
            </w:r>
          </w:p>
        </w:tc>
        <w:tc>
          <w:tcPr>
            <w:tcW w:w="170" w:type="dxa"/>
            <w:tcBorders/>
            <w:shd w:fill="CCEEFF" w:val="clear"/>
            <w:vAlign w:val="center"/>
          </w:tcPr>
          <w:p>
            <w:pPr>
              <w:pStyle w:val="TableContents"/>
              <w:bidi w:val="0"/>
              <w:spacing w:before="0" w:after="283"/>
              <w:ind w:left="0" w:right="0" w:hanging="180"/>
              <w:jc w:val="left"/>
              <w:rPr>
                <w:b/>
              </w:rPr>
            </w:pPr>
            <w:r>
              <w:rPr>
                <w:b/>
              </w:rPr>
              <w:t>)</w:t>
            </w:r>
          </w:p>
        </w:tc>
      </w:tr>
      <w:tr>
        <w:trPr/>
        <w:tc>
          <w:tcPr>
            <w:tcW w:w="1490" w:type="dxa"/>
            <w:tcBorders/>
            <w:vAlign w:val="center"/>
          </w:tcPr>
          <w:p>
            <w:pPr>
              <w:pStyle w:val="TableContents"/>
              <w:bidi w:val="0"/>
              <w:spacing w:before="0" w:after="283"/>
              <w:jc w:val="left"/>
              <w:rPr/>
            </w:pPr>
            <w:r>
              <w:rPr/>
              <w:t>Exercise of common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730,265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480</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10,488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10,488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Taxes paid related to net share settlements of equity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(1,898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(1,898</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Vesting of 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4,632,211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Exercise of common stock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common stock as consideration for acquisition of businesses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13,577,258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22,192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22,193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4,010,000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6,741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6,741</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Conversion of 7.0% senior unsecured convertible notes for shares of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8,600,580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14,684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14,685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 w:type="dxa"/>
            <w:tcBorders>
              <w:bottom w:val="single" w:sz="12" w:space="0" w:color="000000"/>
            </w:tcBorders>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283"/>
              <w:jc w:val="right"/>
              <w:rPr/>
            </w:pPr>
            <w:r>
              <w:rPr/>
              <w:t>(45,354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7" w:type="dxa"/>
            <w:tcBorders>
              <w:bottom w:val="single" w:sz="12" w:space="0" w:color="000000"/>
            </w:tcBorders>
            <w:tcMar>
              <w:bottom w:w="28" w:type="dxa"/>
            </w:tcMar>
            <w:vAlign w:val="center"/>
          </w:tcPr>
          <w:p>
            <w:pPr>
              <w:pStyle w:val="TableContents"/>
              <w:bidi w:val="0"/>
              <w:spacing w:before="0" w:after="283"/>
              <w:jc w:val="right"/>
              <w:rPr/>
            </w:pPr>
            <w:r>
              <w:rPr/>
              <w:t>(45,354</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b/>
              </w:rPr>
            </w:pPr>
            <w:r>
              <w:rPr>
                <w:b/>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111,334,959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(456,733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(90,144</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_005"/>
      <w:bookmarkEnd w:id="31"/>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95"/>
        <w:gridCol w:w="90"/>
        <w:gridCol w:w="252"/>
        <w:gridCol w:w="1171"/>
        <w:gridCol w:w="125"/>
        <w:gridCol w:w="90"/>
        <w:gridCol w:w="241"/>
        <w:gridCol w:w="1182"/>
        <w:gridCol w:w="159"/>
      </w:tblGrid>
      <w:tr>
        <w:trPr/>
        <w:tc>
          <w:tcPr>
            <w:tcW w:w="6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59" w:type="dxa"/>
            <w:tcBorders/>
            <w:vAlign w:val="center"/>
          </w:tcPr>
          <w:p>
            <w:pPr>
              <w:pStyle w:val="TableContents"/>
              <w:bidi w:val="0"/>
              <w:spacing w:before="0" w:after="283"/>
              <w:jc w:val="left"/>
              <w:rPr/>
            </w:pPr>
            <w:r>
              <w:rPr/>
              <w:t> </w:t>
            </w:r>
          </w:p>
        </w:tc>
      </w:tr>
      <w:tr>
        <w:trPr/>
        <w:tc>
          <w:tcPr>
            <w:tcW w:w="68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December 29,</w:t>
            </w:r>
          </w:p>
        </w:tc>
        <w:tc>
          <w:tcPr>
            <w:tcW w:w="159" w:type="dxa"/>
            <w:tcBorders/>
            <w:vAlign w:val="center"/>
          </w:tcPr>
          <w:p>
            <w:pPr>
              <w:pStyle w:val="TableContents"/>
              <w:bidi w:val="0"/>
              <w:spacing w:before="0" w:after="283"/>
              <w:jc w:val="left"/>
              <w:rPr/>
            </w:pPr>
            <w:r>
              <w:rPr/>
              <w:t> </w:t>
            </w:r>
          </w:p>
        </w:tc>
      </w:tr>
      <w:tr>
        <w:trPr/>
        <w:tc>
          <w:tcPr>
            <w:tcW w:w="68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9" w:type="dxa"/>
            <w:tcBorders/>
            <w:vAlign w:val="center"/>
          </w:tcPr>
          <w:p>
            <w:pPr>
              <w:pStyle w:val="TableContents"/>
              <w:bidi w:val="0"/>
              <w:spacing w:before="0" w:after="283"/>
              <w:jc w:val="left"/>
              <w:rPr/>
            </w:pPr>
            <w:r>
              <w:rPr/>
              <w:t> </w:t>
            </w:r>
          </w:p>
        </w:tc>
      </w:tr>
      <w:tr>
        <w:trPr/>
        <w:tc>
          <w:tcPr>
            <w:tcW w:w="6895" w:type="dxa"/>
            <w:tcBorders/>
            <w:vAlign w:val="center"/>
          </w:tcPr>
          <w:p>
            <w:pPr>
              <w:pStyle w:val="TableContents"/>
              <w:bidi w:val="0"/>
              <w:spacing w:before="0" w:after="283"/>
              <w:jc w:val="left"/>
              <w:rPr>
                <w:b/>
              </w:rPr>
            </w:pPr>
            <w:r>
              <w:rPr>
                <w:b/>
              </w:rPr>
              <w:t>Cash flows from operating activities from continuing operations</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(45,354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(56,451</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Loss from discontinued operations, net of income taxes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pPr>
            <w:r>
              <w:rPr/>
              <w:t>Net loss from continuing operations, net of tax</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Adjustments to reconcile net loss from continuing operations to net cash used in operating activities: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3,067</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1,365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816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9,126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2,736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Amortization of debt issuance costs</w:t>
            </w:r>
            <w:r>
              <w:rPr>
                <w:position w:val="7"/>
                <w:sz w:val="16"/>
                <w:sz w:val="20"/>
              </w:rPr>
              <w:t>(1)</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15,341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5,842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Deferred income tax provision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3,554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9,132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Change in fair value of SAFE Agreements with related party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(616</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Loss on conversion of SAFE Agreements to shares of common stock with related party</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1,250</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Change in fair value of deferred consideration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(560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Loss on issuance of derivative liability</w:t>
            </w:r>
            <w:r>
              <w:rPr>
                <w:position w:val="7"/>
                <w:sz w:val="16"/>
                <w:sz w:val="20"/>
              </w:rPr>
              <w:t>(2)</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24,688</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sz w:val="20"/>
              </w:rPr>
            </w:pPr>
            <w:r>
              <w:rPr>
                <w:sz w:val="20"/>
              </w:rPr>
              <w:t>Change in fair value of derivative liabilities</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(11,490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(33,986</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Change in fair value of warrant liabilities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(2,921</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sz w:val="20"/>
              </w:rPr>
            </w:pPr>
            <w:r>
              <w:rPr>
                <w:sz w:val="20"/>
              </w:rPr>
              <w:t>Change in fair value of forward purchase agreement liabilities</w:t>
            </w:r>
            <w:r>
              <w:rPr>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(337</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Non-cash expense in connection with warrants issued for vendor services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9,179</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Loss on impairments and disposals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3,827</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Non-cash income</w:t>
            </w:r>
            <w:r>
              <w:rPr>
                <w:position w:val="7"/>
                <w:sz w:val="16"/>
                <w:sz w:val="20"/>
              </w:rPr>
              <w:t>(5)</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1,757</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 xml:space="preserve">Gain on troubled debt restructuring </w:t>
            </w:r>
            <w:r>
              <w:rPr>
                <w:position w:val="7"/>
                <w:sz w:val="16"/>
                <w:sz w:val="20"/>
              </w:rPr>
              <w:t>(6)</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(22,337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sz w:val="20"/>
              </w:rPr>
            </w:pPr>
            <w:r>
              <w:rPr>
                <w:sz w:val="20"/>
              </w:rPr>
              <w:t>Accretion of debt in CS Solis</w:t>
            </w:r>
            <w:r>
              <w:rPr>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3,872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Other financing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450</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Changes in operating assets and liabilities, net of acquisitions: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(38,756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3,306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Contract assets, current portion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8,472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(21,451</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38,417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8,654</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(4,871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(170</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111</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15,251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(10,412</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(15,913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14,071</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(1,523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(849</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Warranty provision, noncurrent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(378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21</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(3,139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Net cash used in operating activities from continuing operations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(15,327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(54,662</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Capitalization of internal-use-software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(1,157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pPr>
            <w:r>
              <w:rPr/>
              <w:t>Cash paid for acquisitions; net of cash acquired</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(19,339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(53,500</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Net cash used in investing activities from continuing operations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(19,339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(54,657</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b/>
              </w:rPr>
            </w:pPr>
            <w:r>
              <w:rPr>
                <w:b/>
              </w:rPr>
              <w:t>Cash flows from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Proceeds from issuance of convertible notes, net of issuance cost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81,725</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Proceeds from issuance of convertible notes to related parties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26,000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Payment of debt issuance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Proceeds from issuance of SAFE agreements with related party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6,000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Proceeds from issuance of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6,694</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Proceeds from exercise of common stock options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532</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Proceeds from exercise of warrant for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Investor financing deposit – related party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Taxes paid related to net share settlement of equity awards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(727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Principal repayment of notes payable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(300</w:t>
            </w:r>
          </w:p>
        </w:tc>
        <w:tc>
          <w:tcPr>
            <w:tcW w:w="159" w:type="dxa"/>
            <w:tcBorders/>
            <w:shd w:fill="CCEEFF" w:val="clear"/>
            <w:vAlign w:val="center"/>
          </w:tcPr>
          <w:p>
            <w:pPr>
              <w:pStyle w:val="TableContents"/>
              <w:bidi w:val="0"/>
              <w:spacing w:before="0" w:after="283"/>
              <w:ind w:left="0" w:right="0" w:hanging="180"/>
              <w:jc w:val="left"/>
              <w:rPr/>
            </w:pPr>
            <w:r>
              <w:rPr/>
              <w:t>)</w:t>
            </w:r>
          </w:p>
        </w:tc>
      </w:tr>
      <w:tr>
        <w:trPr/>
        <w:tc>
          <w:tcPr>
            <w:tcW w:w="6895" w:type="dxa"/>
            <w:tcBorders/>
            <w:vAlign w:val="center"/>
          </w:tcPr>
          <w:p>
            <w:pPr>
              <w:pStyle w:val="TableContents"/>
              <w:bidi w:val="0"/>
              <w:spacing w:before="0" w:after="283"/>
              <w:jc w:val="left"/>
              <w:rPr/>
            </w:pPr>
            <w:r>
              <w:rPr/>
              <w:t>Financing lease payments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(2,292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(551</w:t>
            </w:r>
          </w:p>
        </w:tc>
        <w:tc>
          <w:tcPr>
            <w:tcW w:w="159" w:type="dxa"/>
            <w:tcBorders/>
            <w:vAlign w:val="center"/>
          </w:tcPr>
          <w:p>
            <w:pPr>
              <w:pStyle w:val="TableContents"/>
              <w:bidi w:val="0"/>
              <w:spacing w:before="0" w:after="283"/>
              <w:ind w:left="0" w:right="0" w:hanging="180"/>
              <w:jc w:val="left"/>
              <w:rPr/>
            </w:pPr>
            <w:r>
              <w:rPr/>
              <w:t>)</w:t>
            </w:r>
          </w:p>
        </w:tc>
      </w:tr>
      <w:tr>
        <w:trPr/>
        <w:tc>
          <w:tcPr>
            <w:tcW w:w="6895" w:type="dxa"/>
            <w:tcBorders/>
            <w:shd w:fill="CCEEFF" w:val="clear"/>
            <w:vAlign w:val="center"/>
          </w:tcPr>
          <w:p>
            <w:pPr>
              <w:pStyle w:val="TableContents"/>
              <w:bidi w:val="0"/>
              <w:spacing w:before="0" w:after="283"/>
              <w:jc w:val="left"/>
              <w:rPr/>
            </w:pPr>
            <w:r>
              <w:rPr/>
              <w:t>Net cash provided by financing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30,905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120,100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Effect of exchange rate changes on cash</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22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Net increase (decrease)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(3,761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10,803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Cash, cash equivalents, and restricted cash at beginning of period</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1" w:type="dxa"/>
            <w:tcBorders>
              <w:bottom w:val="single" w:sz="12" w:space="0" w:color="000000"/>
            </w:tcBorders>
            <w:tcMar>
              <w:bottom w:w="28" w:type="dxa"/>
            </w:tcMar>
            <w:vAlign w:val="center"/>
          </w:tcPr>
          <w:p>
            <w:pPr>
              <w:pStyle w:val="TableContents"/>
              <w:bidi w:val="0"/>
              <w:spacing w:before="0" w:after="283"/>
              <w:jc w:val="right"/>
              <w:rPr/>
            </w:pPr>
            <w:r>
              <w:rPr/>
              <w:t>17,219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6,416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Cash, cash equivalents, and restricted cash at end of period</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10" w:space="0" w:color="000000"/>
            </w:tcBorders>
            <w:shd w:fill="CCEEFF" w:val="clear"/>
            <w:tcMar>
              <w:bottom w:w="28" w:type="dxa"/>
            </w:tcMar>
            <w:vAlign w:val="center"/>
          </w:tcPr>
          <w:p>
            <w:pPr>
              <w:pStyle w:val="TableContents"/>
              <w:bidi w:val="0"/>
              <w:spacing w:before="0" w:after="283"/>
              <w:jc w:val="right"/>
              <w:rPr/>
            </w:pPr>
            <w:r>
              <w:rPr/>
              <w:t>13,458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b/>
              </w:rPr>
            </w:pPr>
            <w:r>
              <w:rPr>
                <w:b/>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Cash paid during the year for interest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before="0" w:after="283"/>
              <w:jc w:val="right"/>
              <w:rPr/>
            </w:pPr>
            <w:r>
              <w:rPr/>
              <w:t>7,733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77</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Cash paid during the year for income taxes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b/>
              </w:rPr>
            </w:pPr>
            <w:r>
              <w:rPr>
                <w:b/>
              </w:rPr>
              <w:t>Supplemental schedule of noncash investing and financing activities: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sz w:val="20"/>
              </w:rPr>
            </w:pPr>
            <w:r>
              <w:rPr>
                <w:sz w:val="20"/>
              </w:rPr>
              <w:t>Issuance of Seller Note as partial purchase consideration for acquisition of Sunder</w:t>
            </w:r>
            <w:r>
              <w:rPr>
                <w:position w:val="7"/>
                <w:sz w:val="16"/>
                <w:sz w:val="20"/>
              </w:rPr>
              <w:t>(8)</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Issuance of common stock as partial consideration for acquisition of Sunder</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5,700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Deferred consideration recognized for acquisition of Sunder</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11,400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Issuance of common stock as partial purchase consideration for acquisition of Ambia</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16,493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Deferred consideration recognized for acquisition of Ambia</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Conversion of September 2024 Notes to shares of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September 2024 Notes and related derivative liability, net of unamortized debt discount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Accrued interest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14,684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0"/>
              <w:jc w:val="right"/>
              <w:rPr/>
            </w:pPr>
            <w:r>
              <w:rPr/>
              <w:t>—</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0"/>
              <w:jc w:val="right"/>
              <w:rPr/>
            </w:pPr>
            <w:r>
              <w:rPr/>
              <w:t>—</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Taxes accrued but unpaid related to net share settlement of equity awards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1,171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sz w:val="20"/>
              </w:rPr>
            </w:pPr>
            <w:r>
              <w:rPr>
                <w:sz w:val="20"/>
              </w:rPr>
              <w:t>Cancellation of existing indebtedness in Exchange Agreement</w:t>
            </w:r>
            <w:r>
              <w:rPr>
                <w:position w:val="7"/>
                <w:sz w:val="16"/>
                <w:sz w:val="20"/>
              </w:rPr>
              <w:t>(9)</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65,873</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sz w:val="20"/>
              </w:rPr>
            </w:pPr>
            <w:r>
              <w:rPr>
                <w:sz w:val="20"/>
              </w:rPr>
              <w:t>Issuance of convertible notes in Exchange Agreement</w:t>
            </w:r>
            <w:r>
              <w:rPr>
                <w:position w:val="7"/>
                <w:sz w:val="16"/>
                <w:sz w:val="20"/>
              </w:rPr>
              <w:t>(10)</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42,662</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Issuance of common stock in Exchange Agreement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2,220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Conversion of SAFE Agreements to shares of common stock – related party</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5,000</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116</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Offering costs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1,396</w:t>
            </w:r>
          </w:p>
        </w:tc>
        <w:tc>
          <w:tcPr>
            <w:tcW w:w="159" w:type="dxa"/>
            <w:tcBorders/>
            <w:vAlign w:val="center"/>
          </w:tcPr>
          <w:p>
            <w:pPr>
              <w:pStyle w:val="TableContents"/>
              <w:bidi w:val="0"/>
              <w:spacing w:before="0" w:after="283"/>
              <w:ind w:left="0" w:right="0" w:hanging="180"/>
              <w:jc w:val="left"/>
              <w:rPr/>
            </w:pPr>
            <w:r>
              <w:rPr/>
              <w:t> </w:t>
            </w:r>
          </w:p>
        </w:tc>
      </w:tr>
      <w:tr>
        <w:trPr/>
        <w:tc>
          <w:tcPr>
            <w:tcW w:w="6895" w:type="dxa"/>
            <w:tcBorders/>
            <w:shd w:fill="CCEEFF" w:val="clear"/>
            <w:vAlign w:val="center"/>
          </w:tcPr>
          <w:p>
            <w:pPr>
              <w:pStyle w:val="TableContents"/>
              <w:bidi w:val="0"/>
              <w:spacing w:before="0" w:after="283"/>
              <w:jc w:val="left"/>
              <w:rPr/>
            </w:pPr>
            <w:r>
              <w:rPr/>
              <w:t>Warrants issued in debt issuance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860</w:t>
            </w:r>
          </w:p>
        </w:tc>
        <w:tc>
          <w:tcPr>
            <w:tcW w:w="159" w:type="dxa"/>
            <w:tcBorders/>
            <w:shd w:fill="CCEEFF" w:val="clear"/>
            <w:vAlign w:val="center"/>
          </w:tcPr>
          <w:p>
            <w:pPr>
              <w:pStyle w:val="TableContents"/>
              <w:bidi w:val="0"/>
              <w:spacing w:before="0" w:after="283"/>
              <w:ind w:left="0" w:right="0" w:hanging="180"/>
              <w:jc w:val="left"/>
              <w:rPr/>
            </w:pPr>
            <w:r>
              <w:rPr/>
              <w:t> </w:t>
            </w:r>
          </w:p>
        </w:tc>
      </w:tr>
      <w:tr>
        <w:trPr/>
        <w:tc>
          <w:tcPr>
            <w:tcW w:w="6895" w:type="dxa"/>
            <w:tcBorders/>
            <w:vAlign w:val="center"/>
          </w:tcPr>
          <w:p>
            <w:pPr>
              <w:pStyle w:val="TableContents"/>
              <w:bidi w:val="0"/>
              <w:spacing w:before="0" w:after="283"/>
              <w:jc w:val="left"/>
              <w:rPr/>
            </w:pPr>
            <w:r>
              <w:rPr/>
              <w:t>Carlyle Warrant modification – related party</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7,306</w:t>
            </w:r>
          </w:p>
        </w:tc>
        <w:tc>
          <w:tcPr>
            <w:tcW w:w="15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debt issuance costs includes $2.6 million and $1.6 million with related parties in 2025 and 2024, respectively.</w:t>
            </w:r>
          </w:p>
        </w:tc>
      </w:tr>
    </w:tbl>
    <w:p>
      <w:pPr>
        <w:pStyle w:val="TextBody"/>
        <w:bidi w:val="0"/>
        <w:spacing w:before="0" w:after="0"/>
        <w:ind w:left="13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$3.0 million loss in 2024 with the Massey Trust (as later defined in </w:t>
            </w:r>
            <w:r>
              <w:rPr>
                <w:rFonts w:ascii="Times New Roman;Times;Serif" w:hAnsi="Times New Roman;Times;Serif"/>
                <w:b/>
                <w:sz w:val="20"/>
              </w:rPr>
              <w:t>Note 10 – Borrowings and Derivative Liabilities</w:t>
            </w:r>
            <w:r>
              <w:rPr>
                <w:rFonts w:ascii="Times New Roman;Times;Serif" w:hAnsi="Times New Roman;Times;Serif"/>
                <w:sz w:val="20"/>
              </w:rPr>
              <w:t>), a related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$3.5 gain and $0.3 million gain in 2025 and 2024, respectively, in connection with the change in the fair value of derivative liabilities with related parties, the Massey Trust and Carlyle (as later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with related parties was income of $0.1 million in each of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290"/>
        <w:gridCol w:w="52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90"/>
        <w:gridCol w:w="396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Identified as a related party transaction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290"/>
        <w:gridCol w:w="471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debt cancellation of $37.2 million.</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395"/>
        <w:gridCol w:w="597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$23.7 million issuance of convertible notes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_006"/>
      <w:bookmarkEnd w:id="3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years ended on December 28, 2025 (“2025”) and December 29, 2024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reclassified long-term operating lease liabilities of $2.3 million from Operating lease liabilities, net of current portion to Other long-term liabilities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installations for new home builders. This segment was new in fiscal year 2024 as a result of the acquisition of the SunPower Businesses in the fourth quarter of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Dealer – </w:t>
      </w:r>
      <w:r>
        <w:rPr>
          <w:rFonts w:ascii="Times New Roman;Times;Serif" w:hAnsi="Times New Roman;Times;Serif"/>
          <w:b w:val="false"/>
          <w:i w:val="false"/>
          <w:caps w:val="false"/>
          <w:smallCaps w:val="false"/>
          <w:sz w:val="20"/>
        </w:rPr>
        <w:t>This segment provides a third-party solar energy sales force to initiate and execute contracts with customers throughout the United States. This segment’s sales force works with solar installation companies and acts as the agent for each transaction entered. This segment is new in fiscal year 2025 as a result of the acquisition of Sunder.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3935"/>
        <w:gridCol w:w="90"/>
        <w:gridCol w:w="241"/>
        <w:gridCol w:w="964"/>
        <w:gridCol w:w="90"/>
        <w:gridCol w:w="90"/>
        <w:gridCol w:w="241"/>
        <w:gridCol w:w="964"/>
        <w:gridCol w:w="13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13,378</w:t>
            </w:r>
          </w:p>
        </w:tc>
        <w:tc>
          <w:tcPr>
            <w:tcW w:w="13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13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 homeowners and financiers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incentives to its customers, such as discounts and rebates which are recorded net against the revenue that the Company has recognized related to the solar energy system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represent revenue that has been recognized in advance of the Company’s right to bill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prior to transferring control of goods or services to the customer under the terms of a sales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 The Company’s performance obligations associated with long-term service contracts are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Estimated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under which it assumes that current conditions at the balance-sheet date remain unchanged for the remaining life of the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losses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4940"/>
        <w:gridCol w:w="90"/>
        <w:gridCol w:w="255"/>
        <w:gridCol w:w="949"/>
        <w:gridCol w:w="160"/>
        <w:gridCol w:w="130"/>
        <w:gridCol w:w="240"/>
        <w:gridCol w:w="964"/>
        <w:gridCol w:w="155"/>
      </w:tblGrid>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and for the Year Ended</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beginning of period</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charged to earnings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(3,554</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(9,132</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17,277</w:t>
            </w:r>
          </w:p>
        </w:tc>
        <w:tc>
          <w:tcPr>
            <w:tcW w:w="15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period</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(5,206</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the Company identified customer accounts receivable balances that were deemed to be uncollectible, which were reserved and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pStyle w:val="TextBody"/>
        <w:bidi w:val="0"/>
        <w:spacing w:before="0" w:after="0"/>
        <w:ind w:left="36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105"/>
        <w:gridCol w:w="90"/>
        <w:gridCol w:w="4730"/>
      </w:tblGrid>
      <w:tr>
        <w:trPr/>
        <w:tc>
          <w:tcPr>
            <w:tcW w:w="2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3 years</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9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equipment</w:t>
            </w:r>
          </w:p>
        </w:tc>
        <w:tc>
          <w:tcPr>
            <w:tcW w:w="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9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210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shd w:fill="CFEEFF" w:val="clear"/>
            <w:vAlign w:val="center"/>
          </w:tcPr>
          <w:p>
            <w:pPr>
              <w:pStyle w:val="TableContents"/>
              <w:bidi w:val="0"/>
              <w:spacing w:before="0" w:after="283"/>
              <w:jc w:val="left"/>
              <w:rPr/>
            </w:pPr>
            <w:r>
              <w:rPr/>
              <w:t> </w:t>
            </w:r>
          </w:p>
        </w:tc>
        <w:tc>
          <w:tcPr>
            <w:tcW w:w="473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Shorter of 3 to 5 years of the asset or the term of the lease.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pStyle w:val="TextBody"/>
        <w:bidi w:val="0"/>
        <w:spacing w:before="0" w:after="0"/>
        <w:ind w:left="36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405"/>
        <w:gridCol w:w="90"/>
        <w:gridCol w:w="1130"/>
      </w:tblGrid>
      <w:tr>
        <w:trPr/>
        <w:tc>
          <w:tcPr>
            <w:tcW w:w="2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related intangibles</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40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90" w:type="dxa"/>
            <w:tcBorders/>
            <w:shd w:fill="CFEEFF" w:val="clear"/>
            <w:vAlign w:val="center"/>
          </w:tcPr>
          <w:p>
            <w:pPr>
              <w:pStyle w:val="TableContents"/>
              <w:bidi w:val="0"/>
              <w:spacing w:before="0" w:after="283"/>
              <w:jc w:val="left"/>
              <w:rPr/>
            </w:pPr>
            <w:r>
              <w:rPr/>
              <w:t> </w:t>
            </w:r>
          </w:p>
        </w:tc>
        <w:tc>
          <w:tcPr>
            <w:tcW w:w="113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an impairment loss of zero and $3.8 million in the fiscal years ended December 28, 2025 and December 29, 2024, respectively, as disclosed in </w:t>
      </w:r>
      <w:r>
        <w:rPr>
          <w:rFonts w:ascii="Times New Roman;Times;Serif" w:hAnsi="Times New Roman;Times;Serif"/>
          <w:b/>
          <w:i w:val="false"/>
          <w:caps w:val="false"/>
          <w:smallCaps w:val="false"/>
          <w:sz w:val="20"/>
        </w:rPr>
        <w:t>Note 6 – Supplemental Balance Sheet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goodwill impairment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records the respective adjustment to the fair value within Other non-operating income, net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with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borrowings with embedded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The fair value of a derivative liability is measured using a Monte Carlo simulation that incorporates a binomial lattice model.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10 – Borrowings and Derivative Liabilities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FPAs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8 – Forward Purchase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14 – Common Stock and Common Stock Warrants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SAFEs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SAFEs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9 – SAFE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leases following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for all classes of underlying assets, not to recognize ROU assets and lease liabilities for leases with an initial term of twelve months or less. The cost for short-term leases is recognized on a straight-line basis over the term of the contract.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Businesses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6"/>
        <w:gridCol w:w="90"/>
        <w:gridCol w:w="537"/>
        <w:gridCol w:w="2358"/>
        <w:gridCol w:w="110"/>
        <w:gridCol w:w="90"/>
        <w:gridCol w:w="396"/>
        <w:gridCol w:w="1749"/>
        <w:gridCol w:w="110"/>
        <w:gridCol w:w="90"/>
        <w:gridCol w:w="174"/>
        <w:gridCol w:w="765"/>
        <w:gridCol w:w="160"/>
      </w:tblGrid>
      <w:tr>
        <w:trPr/>
        <w:tc>
          <w:tcPr>
            <w:tcW w:w="3576"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 as of December 29, 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adjustments in fiscal 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fair values</w:t>
            </w:r>
          </w:p>
        </w:tc>
        <w:tc>
          <w:tcPr>
            <w:tcW w:w="160" w:type="dxa"/>
            <w:tcBorders/>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90" w:type="dxa"/>
            <w:tcBorders/>
            <w:vAlign w:val="center"/>
          </w:tcPr>
          <w:p>
            <w:pPr>
              <w:pStyle w:val="TableContents"/>
              <w:bidi w:val="0"/>
              <w:spacing w:before="0" w:after="283"/>
              <w:jc w:val="left"/>
              <w:rPr/>
            </w:pPr>
            <w:r>
              <w:rPr/>
              <w:t> </w:t>
            </w:r>
          </w:p>
        </w:tc>
        <w:tc>
          <w:tcPr>
            <w:tcW w:w="2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assets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pPr>
            <w:r>
              <w:rPr/>
              <w:t>—</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9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9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23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90" w:type="dxa"/>
            <w:tcBorders/>
            <w:vAlign w:val="center"/>
          </w:tcPr>
          <w:p>
            <w:pPr>
              <w:pStyle w:val="TableContents"/>
              <w:bidi w:val="0"/>
              <w:spacing w:before="0" w:after="283"/>
              <w:jc w:val="left"/>
              <w:rPr/>
            </w:pPr>
            <w:r>
              <w:rPr/>
              <w:t> </w:t>
            </w:r>
          </w:p>
        </w:tc>
        <w:tc>
          <w:tcPr>
            <w:tcW w:w="537" w:type="dxa"/>
            <w:tcBorders>
              <w:bottom w:val="single" w:sz="12" w:space="0" w:color="000000"/>
            </w:tcBorders>
            <w:tcMar>
              <w:bottom w:w="28" w:type="dxa"/>
            </w:tcMar>
            <w:vAlign w:val="center"/>
          </w:tcPr>
          <w:p>
            <w:pPr>
              <w:pStyle w:val="TableContents"/>
              <w:bidi w:val="0"/>
              <w:spacing w:before="0" w:after="283"/>
              <w:jc w:val="left"/>
              <w:rPr/>
            </w:pPr>
            <w:r>
              <w:rPr/>
              <w:t> </w:t>
            </w:r>
          </w:p>
        </w:tc>
        <w:tc>
          <w:tcPr>
            <w:tcW w:w="23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assets acquired</w:t>
            </w:r>
          </w:p>
        </w:tc>
        <w:tc>
          <w:tcPr>
            <w:tcW w:w="90" w:type="dxa"/>
            <w:tcBorders/>
            <w:shd w:fill="CCEEFF" w:val="clear"/>
            <w:vAlign w:val="center"/>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60" w:type="dxa"/>
            <w:tcBorders/>
            <w:shd w:fill="CCEEFF" w:val="clear"/>
            <w:vAlign w:val="center"/>
          </w:tcPr>
          <w:p>
            <w:pPr>
              <w:pStyle w:val="TableContents"/>
              <w:bidi w:val="0"/>
              <w:spacing w:before="0" w:after="283"/>
              <w:jc w:val="left"/>
              <w:rPr/>
            </w:pPr>
            <w:r>
              <w:rPr/>
              <w:t> </w:t>
            </w:r>
          </w:p>
        </w:tc>
      </w:tr>
      <w:tr>
        <w:trPr/>
        <w:tc>
          <w:tcPr>
            <w:tcW w:w="35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90" w:type="dxa"/>
            <w:tcBorders/>
            <w:vAlign w:val="center"/>
          </w:tcPr>
          <w:p>
            <w:pPr>
              <w:pStyle w:val="TableContents"/>
              <w:bidi w:val="0"/>
              <w:spacing w:before="0" w:after="283"/>
              <w:jc w:val="left"/>
              <w:rPr/>
            </w:pPr>
            <w:r>
              <w:rPr/>
              <w:t> </w:t>
            </w:r>
          </w:p>
        </w:tc>
        <w:tc>
          <w:tcPr>
            <w:tcW w:w="537" w:type="dxa"/>
            <w:tcBorders>
              <w:bottom w:val="single" w:sz="12" w:space="0" w:color="000000"/>
            </w:tcBorders>
            <w:tcMar>
              <w:bottom w:w="28" w:type="dxa"/>
            </w:tcMar>
            <w:vAlign w:val="center"/>
          </w:tcPr>
          <w:p>
            <w:pPr>
              <w:pStyle w:val="TableContents"/>
              <w:bidi w:val="0"/>
              <w:spacing w:before="0" w:after="283"/>
              <w:jc w:val="left"/>
              <w:rPr/>
            </w:pPr>
            <w:r>
              <w:rPr/>
              <w:t> </w:t>
            </w:r>
          </w:p>
        </w:tc>
        <w:tc>
          <w:tcPr>
            <w:tcW w:w="23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7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jc w:val="left"/>
              <w:rPr/>
            </w:pPr>
            <w:r>
              <w:rPr/>
              <w:t> </w:t>
            </w:r>
          </w:p>
        </w:tc>
      </w:tr>
      <w:tr>
        <w:trPr/>
        <w:tc>
          <w:tcPr>
            <w:tcW w:w="35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90" w:type="dxa"/>
            <w:tcBorders/>
            <w:shd w:fill="CCEEFF" w:val="clear"/>
            <w:vAlign w:val="center"/>
          </w:tcPr>
          <w:p>
            <w:pPr>
              <w:pStyle w:val="TableContents"/>
              <w:bidi w:val="0"/>
              <w:spacing w:before="0" w:after="283"/>
              <w:jc w:val="left"/>
              <w:rPr/>
            </w:pPr>
            <w:r>
              <w:rPr/>
              <w:t> </w:t>
            </w:r>
          </w:p>
        </w:tc>
        <w:tc>
          <w:tcPr>
            <w:tcW w:w="5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5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4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1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and final fair values of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560" w:type="dxa"/>
        <w:jc w:val="left"/>
        <w:tblInd w:w="0" w:type="dxa"/>
        <w:tblLayout w:type="fixed"/>
        <w:tblCellMar>
          <w:top w:w="0" w:type="dxa"/>
          <w:left w:w="0" w:type="dxa"/>
          <w:bottom w:w="0" w:type="dxa"/>
          <w:right w:w="0" w:type="dxa"/>
        </w:tblCellMar>
      </w:tblPr>
      <w:tblGrid>
        <w:gridCol w:w="2555"/>
        <w:gridCol w:w="90"/>
        <w:gridCol w:w="905"/>
        <w:gridCol w:w="90"/>
        <w:gridCol w:w="250"/>
        <w:gridCol w:w="1000"/>
        <w:gridCol w:w="90"/>
        <w:gridCol w:w="90"/>
        <w:gridCol w:w="255"/>
        <w:gridCol w:w="950"/>
        <w:gridCol w:w="110"/>
        <w:gridCol w:w="90"/>
        <w:gridCol w:w="190"/>
        <w:gridCol w:w="760"/>
        <w:gridCol w:w="135"/>
      </w:tblGrid>
      <w:tr>
        <w:trPr/>
        <w:tc>
          <w:tcPr>
            <w:tcW w:w="25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 xml:space="preserve">December 29, </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w:t>
              <w:br/>
              <w:t>in fiscal</w:t>
              <w:b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Final </w:t>
              <w:br/>
              <w:t>fair values</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Blue Raven Solar</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SunPower</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90"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SunPower Acquisition contributed $83.8 million and $6.5 million in revenue and income before income taxes from continuing operations, respectively, for the period from the acquisition date to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885" w:type="dxa"/>
        <w:jc w:val="left"/>
        <w:tblInd w:w="0" w:type="dxa"/>
        <w:tblLayout w:type="fixed"/>
        <w:tblCellMar>
          <w:top w:w="0" w:type="dxa"/>
          <w:left w:w="0" w:type="dxa"/>
          <w:bottom w:w="0" w:type="dxa"/>
          <w:right w:w="0" w:type="dxa"/>
        </w:tblCellMar>
      </w:tblPr>
      <w:tblGrid>
        <w:gridCol w:w="8885"/>
        <w:gridCol w:w="90"/>
        <w:gridCol w:w="155"/>
        <w:gridCol w:w="620"/>
        <w:gridCol w:w="135"/>
      </w:tblGrid>
      <w:tr>
        <w:trPr/>
        <w:tc>
          <w:tcPr>
            <w:tcW w:w="88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135"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135"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3,333,334 shares of the Company’s common stock (classified within Additional paid-in-capital)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Sunder Consideration Shares (fair value of 6,666,666 shares of the Company’s common stock):</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current with related party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shd w:fill="CCEEFF" w:val="clear"/>
            <w:vAlign w:val="center"/>
          </w:tcPr>
          <w:p>
            <w:pPr>
              <w:pStyle w:val="TableContents"/>
              <w:bidi w:val="0"/>
              <w:spacing w:before="0" w:after="283"/>
              <w:jc w:val="left"/>
              <w:rPr/>
            </w:pPr>
            <w:r>
              <w:rPr/>
              <w:t> </w:t>
            </w:r>
          </w:p>
        </w:tc>
      </w:tr>
      <w:tr>
        <w:trPr/>
        <w:tc>
          <w:tcPr>
            <w:tcW w:w="8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noncurrent with related party</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135" w:type="dxa"/>
            <w:tcBorders/>
            <w:vAlign w:val="center"/>
          </w:tcPr>
          <w:p>
            <w:pPr>
              <w:pStyle w:val="TableContents"/>
              <w:bidi w:val="0"/>
              <w:spacing w:before="0" w:after="283"/>
              <w:jc w:val="left"/>
              <w:rPr/>
            </w:pPr>
            <w:r>
              <w:rPr/>
              <w:t> </w:t>
            </w:r>
          </w:p>
        </w:tc>
      </w:tr>
      <w:tr>
        <w:trPr/>
        <w:tc>
          <w:tcPr>
            <w:tcW w:w="8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a $20.0 million Seller Note.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527" w:type="dxa"/>
        <w:jc w:val="left"/>
        <w:tblInd w:w="0" w:type="dxa"/>
        <w:tblLayout w:type="fixed"/>
        <w:tblCellMar>
          <w:top w:w="0" w:type="dxa"/>
          <w:left w:w="0" w:type="dxa"/>
          <w:bottom w:w="0" w:type="dxa"/>
          <w:right w:w="0" w:type="dxa"/>
        </w:tblCellMar>
      </w:tblPr>
      <w:tblGrid>
        <w:gridCol w:w="4355"/>
        <w:gridCol w:w="90"/>
        <w:gridCol w:w="266"/>
        <w:gridCol w:w="1238"/>
        <w:gridCol w:w="125"/>
        <w:gridCol w:w="90"/>
        <w:gridCol w:w="273"/>
        <w:gridCol w:w="1261"/>
        <w:gridCol w:w="125"/>
        <w:gridCol w:w="90"/>
        <w:gridCol w:w="256"/>
        <w:gridCol w:w="1188"/>
        <w:gridCol w:w="170"/>
      </w:tblGrid>
      <w:tr>
        <w:trPr/>
        <w:tc>
          <w:tcPr>
            <w:tcW w:w="43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September 24,</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Measurement </w:t>
              <w:br/>
              <w:t xml:space="preserve">period </w:t>
              <w:br/>
              <w:t>adjustments in</w:t>
              <w:br/>
              <w:t>fiscal</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December 28,</w:t>
              <w:br/>
              <w:t>2025</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b/>
              </w:rPr>
            </w:pPr>
            <w:r>
              <w:rPr>
                <w:b/>
              </w:rPr>
              <w:t>Net assets acquired:</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540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797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3,039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241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Operating lease right-of-use assets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313</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(417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Intangibles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25,922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11,578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37,500</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(11,073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(600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(11,673</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both"/>
              <w:rPr/>
            </w:pPr>
            <w:r>
              <w:rPr/>
              <w:t>Accounts payable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both"/>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(1,322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(3,850</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both"/>
              <w:rPr/>
            </w:pPr>
            <w:r>
              <w:rPr/>
              <w:t>Operating lease liabilities</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(215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tcMar>
              <w:bottom w:w="28" w:type="dxa"/>
            </w:tcMar>
            <w:vAlign w:val="center"/>
          </w:tcPr>
          <w:p>
            <w:pPr>
              <w:pStyle w:val="TableContents"/>
              <w:bidi w:val="0"/>
              <w:spacing w:before="0" w:after="283"/>
              <w:jc w:val="right"/>
              <w:rPr/>
            </w:pPr>
            <w:r>
              <w:rPr/>
              <w:t>(117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(332</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both"/>
              <w:rPr/>
            </w:pPr>
            <w:r>
              <w:rPr/>
              <w:t>Fair value of net assets acquired</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center"/>
          </w:tcPr>
          <w:p>
            <w:pPr>
              <w:pStyle w:val="TableContents"/>
              <w:bidi w:val="0"/>
              <w:spacing w:before="0" w:after="283"/>
              <w:jc w:val="right"/>
              <w:rPr/>
            </w:pPr>
            <w:r>
              <w:rPr/>
              <w:t>14,878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11,089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both"/>
              <w:rPr/>
            </w:pPr>
            <w:r>
              <w:rPr/>
              <w:t>Consideration transferred</w:t>
            </w:r>
          </w:p>
        </w:tc>
        <w:tc>
          <w:tcPr>
            <w:tcW w:w="90" w:type="dxa"/>
            <w:tcBorders/>
            <w:vAlign w:val="center"/>
          </w:tcPr>
          <w:p>
            <w:pPr>
              <w:pStyle w:val="TableContents"/>
              <w:bidi w:val="0"/>
              <w:spacing w:before="0" w:after="283"/>
              <w:jc w:val="left"/>
              <w:rPr/>
            </w:pPr>
            <w:r>
              <w:rPr/>
              <w:t> </w:t>
            </w:r>
          </w:p>
        </w:tc>
        <w:tc>
          <w:tcPr>
            <w:tcW w:w="26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8" w:type="dxa"/>
            <w:tcBorders>
              <w:bottom w:val="single" w:sz="12" w:space="0" w:color="000000"/>
            </w:tcBorders>
            <w:tcMar>
              <w:bottom w:w="28" w:type="dxa"/>
            </w:tcMar>
            <w:vAlign w:val="center"/>
          </w:tcPr>
          <w:p>
            <w:pPr>
              <w:pStyle w:val="TableContents"/>
              <w:bidi w:val="0"/>
              <w:spacing w:before="0" w:after="283"/>
              <w:jc w:val="right"/>
              <w:rPr/>
            </w:pPr>
            <w:r>
              <w:rPr/>
              <w:t>57,789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57,789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both"/>
              <w:rPr/>
            </w:pPr>
            <w:r>
              <w:rPr/>
              <w:t>Goodwill recognized</w:t>
            </w:r>
          </w:p>
        </w:tc>
        <w:tc>
          <w:tcPr>
            <w:tcW w:w="9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10" w:space="0" w:color="000000"/>
            </w:tcBorders>
            <w:shd w:fill="CCEEFF" w:val="clear"/>
            <w:tcMar>
              <w:bottom w:w="28" w:type="dxa"/>
            </w:tcMar>
            <w:vAlign w:val="center"/>
          </w:tcPr>
          <w:p>
            <w:pPr>
              <w:pStyle w:val="TableContents"/>
              <w:bidi w:val="0"/>
              <w:spacing w:before="0" w:after="283"/>
              <w:jc w:val="right"/>
              <w:rPr/>
            </w:pPr>
            <w:r>
              <w:rPr/>
              <w:t>42,911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(11,089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8009" w:type="dxa"/>
        <w:jc w:val="left"/>
        <w:tblInd w:w="0" w:type="dxa"/>
        <w:tblLayout w:type="fixed"/>
        <w:tblCellMar>
          <w:top w:w="0" w:type="dxa"/>
          <w:left w:w="0" w:type="dxa"/>
          <w:bottom w:w="0" w:type="dxa"/>
          <w:right w:w="0" w:type="dxa"/>
        </w:tblCellMar>
      </w:tblPr>
      <w:tblGrid>
        <w:gridCol w:w="2645"/>
        <w:gridCol w:w="90"/>
        <w:gridCol w:w="905"/>
        <w:gridCol w:w="90"/>
        <w:gridCol w:w="259"/>
        <w:gridCol w:w="1036"/>
        <w:gridCol w:w="90"/>
        <w:gridCol w:w="90"/>
        <w:gridCol w:w="234"/>
        <w:gridCol w:w="1030"/>
        <w:gridCol w:w="110"/>
        <w:gridCol w:w="90"/>
        <w:gridCol w:w="241"/>
        <w:gridCol w:w="964"/>
        <w:gridCol w:w="135"/>
      </w:tblGrid>
      <w:tr>
        <w:trPr/>
        <w:tc>
          <w:tcPr>
            <w:tcW w:w="26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 xml:space="preserve">as of </w:t>
              <w:br/>
              <w:t xml:space="preserve">September 24,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 in</w:t>
              <w:br/>
              <w:t>fiscal</w:t>
              <w:b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December 28,</w:t>
              <w:br/>
              <w:t>2025</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relationships</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30,600</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(13,416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contributed $14.4 million and $6.2 million in revenue and income before income taxes from continuing operations, respectively, for the period from the acquisition date to the fiscal year ended December 28,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05"/>
        <w:gridCol w:w="90"/>
        <w:gridCol w:w="155"/>
        <w:gridCol w:w="620"/>
        <w:gridCol w:w="135"/>
      </w:tblGrid>
      <w:tr>
        <w:trPr/>
        <w:tc>
          <w:tcPr>
            <w:tcW w:w="9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9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10,243,924 shares of the Company’s common stock issued at Ambia Closing (classified within Additional paid-in capital)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135" w:type="dxa"/>
            <w:tcBorders/>
            <w:shd w:fill="CCEEFF" w:val="clear"/>
            <w:vAlign w:val="center"/>
          </w:tcPr>
          <w:p>
            <w:pPr>
              <w:pStyle w:val="TableContents"/>
              <w:bidi w:val="0"/>
              <w:spacing w:before="0" w:after="283"/>
              <w:jc w:val="left"/>
              <w:rPr/>
            </w:pPr>
            <w:r>
              <w:rPr/>
              <w:t> </w:t>
            </w:r>
          </w:p>
        </w:tc>
      </w:tr>
      <w:tr>
        <w:trPr/>
        <w:tc>
          <w:tcPr>
            <w:tcW w:w="9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Ambia Consideration Shares (Classified within Deferred consideration, current)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135" w:type="dxa"/>
            <w:tcBorders/>
            <w:vAlign w:val="center"/>
          </w:tcPr>
          <w:p>
            <w:pPr>
              <w:pStyle w:val="TableContents"/>
              <w:bidi w:val="0"/>
              <w:spacing w:before="0" w:after="283"/>
              <w:jc w:val="left"/>
              <w:rPr/>
            </w:pPr>
            <w:r>
              <w:rPr/>
              <w:t> </w:t>
            </w:r>
          </w:p>
        </w:tc>
      </w:tr>
      <w:tr>
        <w:trPr/>
        <w:tc>
          <w:tcPr>
            <w:tcW w:w="9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is a residential solar energy system installer and operates in various markets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48"/>
        <w:gridCol w:w="90"/>
        <w:gridCol w:w="288"/>
        <w:gridCol w:w="1208"/>
        <w:gridCol w:w="171"/>
      </w:tblGrid>
      <w:tr>
        <w:trPr/>
        <w:tc>
          <w:tcPr>
            <w:tcW w:w="844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71" w:type="dxa"/>
            <w:tcBorders/>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b/>
              </w:rPr>
            </w:pPr>
            <w:r>
              <w:rPr>
                <w:b/>
              </w:rPr>
              <w:t>Net assets acquired:</w:t>
            </w:r>
          </w:p>
        </w:tc>
        <w:tc>
          <w:tcPr>
            <w:tcW w:w="90" w:type="dxa"/>
            <w:tcBorders/>
            <w:vAlign w:val="center"/>
          </w:tcPr>
          <w:p>
            <w:pPr>
              <w:pStyle w:val="TableContents"/>
              <w:bidi w:val="0"/>
              <w:spacing w:before="0" w:after="283"/>
              <w:jc w:val="left"/>
              <w:rPr/>
            </w:pPr>
            <w:r>
              <w:rPr/>
              <w:t> </w:t>
            </w:r>
          </w:p>
        </w:tc>
        <w:tc>
          <w:tcPr>
            <w:tcW w:w="1496" w:type="dxa"/>
            <w:gridSpan w:val="2"/>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w:t>
            </w:r>
          </w:p>
        </w:tc>
        <w:tc>
          <w:tcPr>
            <w:tcW w:w="1208" w:type="dxa"/>
            <w:tcBorders/>
            <w:shd w:fill="CCEEFF" w:val="clear"/>
            <w:vAlign w:val="center"/>
          </w:tcPr>
          <w:p>
            <w:pPr>
              <w:pStyle w:val="TableContents"/>
              <w:bidi w:val="0"/>
              <w:spacing w:before="0" w:after="283"/>
              <w:jc w:val="right"/>
              <w:rPr/>
            </w:pPr>
            <w:r>
              <w:rPr/>
              <w:t>1,350</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Accounts receivable</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1,368</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Contract assets - unbilled receivables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1,143</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797</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2,230</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Intangible assets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4,300</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2,563</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Other noncurrent assets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182</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(2,806</w:t>
            </w:r>
          </w:p>
        </w:tc>
        <w:tc>
          <w:tcPr>
            <w:tcW w:w="171" w:type="dxa"/>
            <w:tcBorders/>
            <w:shd w:fill="CCEEFF" w:val="clear"/>
            <w:vAlign w:val="center"/>
          </w:tcPr>
          <w:p>
            <w:pPr>
              <w:pStyle w:val="TableContents"/>
              <w:bidi w:val="0"/>
              <w:spacing w:before="0" w:after="283"/>
              <w:jc w:val="left"/>
              <w:rPr/>
            </w:pPr>
            <w:r>
              <w:rPr/>
              <w:t>)</w:t>
            </w:r>
          </w:p>
        </w:tc>
      </w:tr>
      <w:tr>
        <w:trPr/>
        <w:tc>
          <w:tcPr>
            <w:tcW w:w="8448" w:type="dxa"/>
            <w:tcBorders/>
            <w:vAlign w:val="center"/>
          </w:tcPr>
          <w:p>
            <w:pPr>
              <w:pStyle w:val="TableContents"/>
              <w:bidi w:val="0"/>
              <w:spacing w:before="0" w:after="283"/>
              <w:jc w:val="both"/>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(2,917</w:t>
            </w:r>
          </w:p>
        </w:tc>
        <w:tc>
          <w:tcPr>
            <w:tcW w:w="171" w:type="dxa"/>
            <w:tcBorders/>
            <w:vAlign w:val="center"/>
          </w:tcPr>
          <w:p>
            <w:pPr>
              <w:pStyle w:val="TableContents"/>
              <w:bidi w:val="0"/>
              <w:spacing w:before="0" w:after="283"/>
              <w:jc w:val="left"/>
              <w:rPr/>
            </w:pPr>
            <w:r>
              <w:rPr/>
              <w:t>)</w:t>
            </w:r>
          </w:p>
        </w:tc>
      </w:tr>
      <w:tr>
        <w:trPr/>
        <w:tc>
          <w:tcPr>
            <w:tcW w:w="8448"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(1,675</w:t>
            </w:r>
          </w:p>
        </w:tc>
        <w:tc>
          <w:tcPr>
            <w:tcW w:w="171" w:type="dxa"/>
            <w:tcBorders/>
            <w:shd w:fill="CCEEFF" w:val="clear"/>
            <w:vAlign w:val="center"/>
          </w:tcPr>
          <w:p>
            <w:pPr>
              <w:pStyle w:val="TableContents"/>
              <w:bidi w:val="0"/>
              <w:spacing w:before="0" w:after="283"/>
              <w:jc w:val="left"/>
              <w:rPr/>
            </w:pPr>
            <w:r>
              <w:rPr/>
              <w:t>)</w:t>
            </w:r>
          </w:p>
        </w:tc>
      </w:tr>
      <w:tr>
        <w:trPr/>
        <w:tc>
          <w:tcPr>
            <w:tcW w:w="8448" w:type="dxa"/>
            <w:tcBorders/>
            <w:vAlign w:val="center"/>
          </w:tcPr>
          <w:p>
            <w:pPr>
              <w:pStyle w:val="TableContents"/>
              <w:bidi w:val="0"/>
              <w:spacing w:before="0" w:after="283"/>
              <w:jc w:val="both"/>
              <w:rPr/>
            </w:pPr>
            <w:r>
              <w:rPr/>
              <w:t>Operating lease liabilities, noncurrent</w:t>
            </w:r>
          </w:p>
        </w:tc>
        <w:tc>
          <w:tcPr>
            <w:tcW w:w="9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208" w:type="dxa"/>
            <w:tcBorders/>
            <w:vAlign w:val="center"/>
          </w:tcPr>
          <w:p>
            <w:pPr>
              <w:pStyle w:val="TableContents"/>
              <w:bidi w:val="0"/>
              <w:spacing w:before="0" w:after="283"/>
              <w:jc w:val="right"/>
              <w:rPr/>
            </w:pPr>
            <w:r>
              <w:rPr/>
              <w:t>(2,702</w:t>
            </w:r>
          </w:p>
        </w:tc>
        <w:tc>
          <w:tcPr>
            <w:tcW w:w="171" w:type="dxa"/>
            <w:tcBorders/>
            <w:vAlign w:val="center"/>
          </w:tcPr>
          <w:p>
            <w:pPr>
              <w:pStyle w:val="TableContents"/>
              <w:bidi w:val="0"/>
              <w:spacing w:before="0" w:after="283"/>
              <w:jc w:val="left"/>
              <w:rPr/>
            </w:pPr>
            <w:r>
              <w:rPr/>
              <w:t>)</w:t>
            </w:r>
          </w:p>
        </w:tc>
      </w:tr>
      <w:tr>
        <w:trPr/>
        <w:tc>
          <w:tcPr>
            <w:tcW w:w="8448" w:type="dxa"/>
            <w:tcBorders/>
            <w:shd w:fill="CCEEFF" w:val="clear"/>
            <w:vAlign w:val="center"/>
          </w:tcPr>
          <w:p>
            <w:pPr>
              <w:pStyle w:val="TableContents"/>
              <w:bidi w:val="0"/>
              <w:spacing w:before="0" w:after="283"/>
              <w:jc w:val="both"/>
              <w:rPr/>
            </w:pPr>
            <w:r>
              <w:rPr/>
              <w:t>Finance lease liabilities</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71" w:type="dxa"/>
            <w:tcBorders/>
            <w:shd w:fill="CCEEFF" w:val="clear"/>
            <w:vAlign w:val="center"/>
          </w:tcPr>
          <w:p>
            <w:pPr>
              <w:pStyle w:val="TableContents"/>
              <w:bidi w:val="0"/>
              <w:spacing w:before="0" w:after="283"/>
              <w:jc w:val="left"/>
              <w:rPr/>
            </w:pPr>
            <w:r>
              <w:rPr/>
              <w:t>)</w:t>
            </w:r>
          </w:p>
        </w:tc>
      </w:tr>
      <w:tr>
        <w:trPr/>
        <w:tc>
          <w:tcPr>
            <w:tcW w:w="8448" w:type="dxa"/>
            <w:tcBorders/>
            <w:vAlign w:val="center"/>
          </w:tcPr>
          <w:p>
            <w:pPr>
              <w:pStyle w:val="TableContents"/>
              <w:bidi w:val="0"/>
              <w:spacing w:before="0" w:after="283"/>
              <w:jc w:val="both"/>
              <w:rPr/>
            </w:pPr>
            <w:r>
              <w:rPr/>
              <w:t>Fair value of net assets acquired</w:t>
            </w:r>
          </w:p>
        </w:tc>
        <w:tc>
          <w:tcPr>
            <w:tcW w:w="90"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2,564</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Fair value of common stock issued (classified within Additional paid-in-capital)</w:t>
            </w:r>
          </w:p>
        </w:tc>
        <w:tc>
          <w:tcPr>
            <w:tcW w:w="9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208" w:type="dxa"/>
            <w:tcBorders/>
            <w:shd w:fill="CCEEFF" w:val="clear"/>
            <w:vAlign w:val="center"/>
          </w:tcPr>
          <w:p>
            <w:pPr>
              <w:pStyle w:val="TableContents"/>
              <w:bidi w:val="0"/>
              <w:spacing w:before="0" w:after="283"/>
              <w:jc w:val="right"/>
              <w:rPr/>
            </w:pPr>
            <w:r>
              <w:rPr/>
              <w:t>16,493</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448" w:type="dxa"/>
            <w:tcBorders/>
            <w:vAlign w:val="center"/>
          </w:tcPr>
          <w:p>
            <w:pPr>
              <w:pStyle w:val="TableContents"/>
              <w:bidi w:val="0"/>
              <w:spacing w:before="0" w:after="283"/>
              <w:jc w:val="both"/>
              <w:rPr/>
            </w:pPr>
            <w:r>
              <w:rPr/>
              <w:t>Fair value of Deferred Ambia Consideration Shares (Accrued expenses and other current liabilities)</w:t>
            </w:r>
          </w:p>
        </w:tc>
        <w:tc>
          <w:tcPr>
            <w:tcW w:w="90" w:type="dxa"/>
            <w:tcBorders/>
            <w:vAlign w:val="center"/>
          </w:tcPr>
          <w:p>
            <w:pPr>
              <w:pStyle w:val="TableContents"/>
              <w:bidi w:val="0"/>
              <w:spacing w:before="0" w:after="283"/>
              <w:jc w:val="left"/>
              <w:rPr/>
            </w:pPr>
            <w:r>
              <w:rPr/>
              <w:t> </w:t>
            </w:r>
          </w:p>
        </w:tc>
        <w:tc>
          <w:tcPr>
            <w:tcW w:w="2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tcMar>
              <w:bottom w:w="28" w:type="dxa"/>
            </w:tcMar>
            <w:vAlign w:val="center"/>
          </w:tcPr>
          <w:p>
            <w:pPr>
              <w:pStyle w:val="TableContents"/>
              <w:bidi w:val="0"/>
              <w:spacing w:before="0" w:after="283"/>
              <w:jc w:val="right"/>
              <w:rPr/>
            </w:pPr>
            <w:r>
              <w:rPr/>
              <w:t>16,879</w:t>
            </w:r>
          </w:p>
        </w:tc>
        <w:tc>
          <w:tcPr>
            <w:tcW w:w="171" w:type="dxa"/>
            <w:tcBorders/>
            <w:vAlign w:val="center"/>
          </w:tcPr>
          <w:p>
            <w:pPr>
              <w:pStyle w:val="TableContents"/>
              <w:bidi w:val="0"/>
              <w:spacing w:before="0" w:after="283"/>
              <w:jc w:val="left"/>
              <w:rPr/>
            </w:pPr>
            <w:r>
              <w:rPr/>
              <w:t> </w:t>
            </w:r>
          </w:p>
        </w:tc>
      </w:tr>
      <w:tr>
        <w:trPr/>
        <w:tc>
          <w:tcPr>
            <w:tcW w:w="8448" w:type="dxa"/>
            <w:tcBorders/>
            <w:shd w:fill="CCEEFF" w:val="clear"/>
            <w:vAlign w:val="center"/>
          </w:tcPr>
          <w:p>
            <w:pPr>
              <w:pStyle w:val="TableContents"/>
              <w:bidi w:val="0"/>
              <w:spacing w:before="0" w:after="283"/>
              <w:jc w:val="both"/>
              <w:rPr/>
            </w:pPr>
            <w:r>
              <w:rPr/>
              <w:t>Consideration transferred</w:t>
            </w:r>
          </w:p>
        </w:tc>
        <w:tc>
          <w:tcPr>
            <w:tcW w:w="90"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8" w:type="dxa"/>
            <w:tcBorders>
              <w:bottom w:val="single" w:sz="12" w:space="0" w:color="000000"/>
            </w:tcBorders>
            <w:shd w:fill="CCEEFF" w:val="clear"/>
            <w:tcMar>
              <w:bottom w:w="28" w:type="dxa"/>
            </w:tcMar>
            <w:vAlign w:val="center"/>
          </w:tcPr>
          <w:p>
            <w:pPr>
              <w:pStyle w:val="TableContents"/>
              <w:bidi w:val="0"/>
              <w:spacing w:before="0" w:after="283"/>
              <w:jc w:val="right"/>
              <w:rPr/>
            </w:pPr>
            <w:r>
              <w:rPr/>
              <w:t>33,372</w:t>
            </w:r>
          </w:p>
        </w:tc>
        <w:tc>
          <w:tcPr>
            <w:tcW w:w="171" w:type="dxa"/>
            <w:tcBorders/>
            <w:shd w:fill="CCEEFF" w:val="clear"/>
            <w:vAlign w:val="center"/>
          </w:tcPr>
          <w:p>
            <w:pPr>
              <w:pStyle w:val="TableContents"/>
              <w:bidi w:val="0"/>
              <w:spacing w:before="0" w:after="283"/>
              <w:jc w:val="left"/>
              <w:rPr/>
            </w:pPr>
            <w:r>
              <w:rPr/>
              <w:t> </w:t>
            </w:r>
          </w:p>
        </w:tc>
      </w:tr>
      <w:tr>
        <w:trPr/>
        <w:tc>
          <w:tcPr>
            <w:tcW w:w="8448" w:type="dxa"/>
            <w:tcBorders/>
            <w:vAlign w:val="center"/>
          </w:tcPr>
          <w:p>
            <w:pPr>
              <w:pStyle w:val="TableContents"/>
              <w:bidi w:val="0"/>
              <w:spacing w:before="0" w:after="283"/>
              <w:jc w:val="both"/>
              <w:rPr/>
            </w:pPr>
            <w:r>
              <w:rPr/>
              <w:t>Goodwill recognized</w:t>
            </w:r>
          </w:p>
        </w:tc>
        <w:tc>
          <w:tcPr>
            <w:tcW w:w="90" w:type="dxa"/>
            <w:tcBorders/>
            <w:vAlign w:val="center"/>
          </w:tcPr>
          <w:p>
            <w:pPr>
              <w:pStyle w:val="TableContents"/>
              <w:bidi w:val="0"/>
              <w:spacing w:before="0" w:after="283"/>
              <w:jc w:val="left"/>
              <w:rPr/>
            </w:pPr>
            <w:r>
              <w:rPr/>
              <w:t> </w:t>
            </w:r>
          </w:p>
        </w:tc>
        <w:tc>
          <w:tcPr>
            <w:tcW w:w="288" w:type="dxa"/>
            <w:tcBorders>
              <w:bottom w:val="double" w:sz="10" w:space="0" w:color="000000"/>
            </w:tcBorders>
            <w:tcMar>
              <w:bottom w:w="28" w:type="dxa"/>
            </w:tcMar>
            <w:vAlign w:val="center"/>
          </w:tcPr>
          <w:p>
            <w:pPr>
              <w:pStyle w:val="TableContents"/>
              <w:bidi w:val="0"/>
              <w:spacing w:before="0" w:after="283"/>
              <w:jc w:val="left"/>
              <w:rPr/>
            </w:pPr>
            <w:r>
              <w:rPr/>
              <w:t>$</w:t>
            </w:r>
          </w:p>
        </w:tc>
        <w:tc>
          <w:tcPr>
            <w:tcW w:w="1208" w:type="dxa"/>
            <w:tcBorders>
              <w:bottom w:val="double" w:sz="10" w:space="0" w:color="000000"/>
            </w:tcBorders>
            <w:tcMar>
              <w:bottom w:w="28" w:type="dxa"/>
            </w:tcMar>
            <w:vAlign w:val="center"/>
          </w:tcPr>
          <w:p>
            <w:pPr>
              <w:pStyle w:val="TableContents"/>
              <w:bidi w:val="0"/>
              <w:spacing w:before="0" w:after="283"/>
              <w:jc w:val="right"/>
              <w:rPr/>
            </w:pPr>
            <w:r>
              <w:rPr/>
              <w:t>30,808</w:t>
            </w:r>
          </w:p>
        </w:tc>
        <w:tc>
          <w:tcPr>
            <w:tcW w:w="1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6119" w:type="dxa"/>
        <w:jc w:val="left"/>
        <w:tblInd w:w="0" w:type="dxa"/>
        <w:tblLayout w:type="fixed"/>
        <w:tblCellMar>
          <w:top w:w="0" w:type="dxa"/>
          <w:left w:w="0" w:type="dxa"/>
          <w:bottom w:w="0" w:type="dxa"/>
          <w:right w:w="0" w:type="dxa"/>
        </w:tblCellMar>
      </w:tblPr>
      <w:tblGrid>
        <w:gridCol w:w="3230"/>
        <w:gridCol w:w="90"/>
        <w:gridCol w:w="1070"/>
        <w:gridCol w:w="90"/>
        <w:gridCol w:w="336"/>
        <w:gridCol w:w="1168"/>
        <w:gridCol w:w="135"/>
      </w:tblGrid>
      <w:tr>
        <w:trPr/>
        <w:tc>
          <w:tcPr>
            <w:tcW w:w="32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both"/>
              <w:rPr/>
            </w:pPr>
            <w:r>
              <w:rPr/>
              <w:t>Customer relationships (Backlog)</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3,400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pPr>
            <w:r>
              <w:rPr/>
              <w:t>Trademarks - Ambia</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 year</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900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4,300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Useful life is based upon customer consumption, expected to occur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contributed $7.0 million and $2.8 million in revenue and loss before income taxes from continuing operations, respectively, for the period from the acquisition date to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48" w:type="dxa"/>
        <w:jc w:val="left"/>
        <w:tblInd w:w="0" w:type="dxa"/>
        <w:tblLayout w:type="fixed"/>
        <w:tblCellMar>
          <w:top w:w="0" w:type="dxa"/>
          <w:left w:w="0" w:type="dxa"/>
          <w:bottom w:w="0" w:type="dxa"/>
          <w:right w:w="0" w:type="dxa"/>
        </w:tblCellMar>
      </w:tblPr>
      <w:tblGrid>
        <w:gridCol w:w="4385"/>
        <w:gridCol w:w="90"/>
        <w:gridCol w:w="245"/>
        <w:gridCol w:w="1199"/>
        <w:gridCol w:w="125"/>
        <w:gridCol w:w="90"/>
        <w:gridCol w:w="228"/>
        <w:gridCol w:w="1216"/>
        <w:gridCol w:w="170"/>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Pro forma revenue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429,689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480,427</w:t>
            </w:r>
          </w:p>
        </w:tc>
        <w:tc>
          <w:tcPr>
            <w:tcW w:w="17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Pro forma net loss from continuing operations</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(59,168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(312,801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revenue is generated in the U.S. Revenue is disaggregated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93" w:type="dxa"/>
        <w:jc w:val="left"/>
        <w:tblInd w:w="0" w:type="dxa"/>
        <w:tblLayout w:type="fixed"/>
        <w:tblCellMar>
          <w:top w:w="0" w:type="dxa"/>
          <w:left w:w="0" w:type="dxa"/>
          <w:bottom w:w="0" w:type="dxa"/>
          <w:right w:w="0" w:type="dxa"/>
        </w:tblCellMar>
      </w:tblPr>
      <w:tblGrid>
        <w:gridCol w:w="4100"/>
        <w:gridCol w:w="90"/>
        <w:gridCol w:w="245"/>
        <w:gridCol w:w="1199"/>
        <w:gridCol w:w="90"/>
        <w:gridCol w:w="90"/>
        <w:gridCol w:w="245"/>
        <w:gridCol w:w="1199"/>
        <w:gridCol w:w="135"/>
      </w:tblGrid>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Residential Solar Installation</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Revenue recognized over time</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160,987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67,460</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Residential Solar Installation</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160,987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67,460</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New Homes Business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Revenue recognized over time</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46,686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32,205</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77,909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9,077</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New Homes Business</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124,595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41,282</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Dealer</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Revenue recognized at a point in time</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14,418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Dealer</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revenue</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tcMar>
              <w:bottom w:w="28" w:type="dxa"/>
            </w:tcMar>
            <w:vAlign w:val="center"/>
          </w:tcPr>
          <w:p>
            <w:pPr>
              <w:pStyle w:val="TableContents"/>
              <w:bidi w:val="0"/>
              <w:spacing w:before="0" w:after="283"/>
              <w:jc w:val="right"/>
              <w:rPr/>
            </w:pPr>
            <w:r>
              <w:rPr/>
              <w:t>300,000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tcMar>
              <w:bottom w:w="28" w:type="dxa"/>
            </w:tcMar>
            <w:vAlign w:val="center"/>
          </w:tcPr>
          <w:p>
            <w:pPr>
              <w:pStyle w:val="TableContents"/>
              <w:bidi w:val="0"/>
              <w:spacing w:before="0" w:after="283"/>
              <w:jc w:val="right"/>
              <w:rPr/>
            </w:pPr>
            <w:r>
              <w:rPr/>
              <w:t>108,742</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revenue recognized over time</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207,673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99,665</w:t>
            </w:r>
          </w:p>
        </w:tc>
        <w:tc>
          <w:tcPr>
            <w:tcW w:w="13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Total revenue recognized at a point in time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92,327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9,077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contract assets and contract liabilities from contracts with customers are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6223" w:type="dxa"/>
        <w:jc w:val="left"/>
        <w:tblInd w:w="0" w:type="dxa"/>
        <w:tblLayout w:type="fixed"/>
        <w:tblCellMar>
          <w:top w:w="0" w:type="dxa"/>
          <w:left w:w="0" w:type="dxa"/>
          <w:bottom w:w="0" w:type="dxa"/>
          <w:right w:w="0" w:type="dxa"/>
        </w:tblCellMar>
      </w:tblPr>
      <w:tblGrid>
        <w:gridCol w:w="2930"/>
        <w:gridCol w:w="90"/>
        <w:gridCol w:w="278"/>
        <w:gridCol w:w="1166"/>
        <w:gridCol w:w="90"/>
        <w:gridCol w:w="90"/>
        <w:gridCol w:w="278"/>
        <w:gridCol w:w="1166"/>
        <w:gridCol w:w="135"/>
      </w:tblGrid>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Trade accounts receivable, net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67,824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25,842</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Contract assets: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Contract assets, current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Total contract assets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14,122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26,066</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Contract liabilities, current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20,336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10,003</w:t>
            </w:r>
          </w:p>
        </w:tc>
        <w:tc>
          <w:tcPr>
            <w:tcW w:w="135" w:type="dxa"/>
            <w:tcBorders/>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Contract liabilities, noncurrent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135" w:type="dxa"/>
            <w:tcBorders/>
            <w:shd w:fill="CCEEFF" w:val="clear"/>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Total contract liabilities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21,130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10,921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contract liabilities is primarily attributed to the acquisition of Sunder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balances of contract assets in the fiscal years ended December 28, 2025 and December 29, 2024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6095"/>
        <w:gridCol w:w="90"/>
        <w:gridCol w:w="256"/>
        <w:gridCol w:w="1188"/>
        <w:gridCol w:w="125"/>
        <w:gridCol w:w="90"/>
        <w:gridCol w:w="278"/>
        <w:gridCol w:w="1166"/>
        <w:gridCol w:w="135"/>
      </w:tblGrid>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b/>
              </w:rPr>
            </w:pPr>
            <w:r>
              <w:rPr>
                <w:b/>
              </w:rPr>
              <w:t>Contract assets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Contract assets, beginning of period</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26,066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Contract assets recognized</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12,979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21,451</w:t>
            </w:r>
          </w:p>
        </w:tc>
        <w:tc>
          <w:tcPr>
            <w:tcW w:w="1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Reclassifications to accounts receivable</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(26,066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Increase due to contract assets acquired in business combination</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1,143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4,615</w:t>
            </w:r>
          </w:p>
        </w:tc>
        <w:tc>
          <w:tcPr>
            <w:tcW w:w="13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Contract assets, end of period</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14,122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26,066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balances of contract liabilities in the fiscal years ended December 28, 2025 and December 29, 2024 were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923" w:type="dxa"/>
        <w:jc w:val="left"/>
        <w:tblInd w:w="0" w:type="dxa"/>
        <w:tblLayout w:type="fixed"/>
        <w:tblCellMar>
          <w:top w:w="0" w:type="dxa"/>
          <w:left w:w="0" w:type="dxa"/>
          <w:bottom w:w="0" w:type="dxa"/>
          <w:right w:w="0" w:type="dxa"/>
        </w:tblCellMar>
      </w:tblPr>
      <w:tblGrid>
        <w:gridCol w:w="6560"/>
        <w:gridCol w:w="90"/>
        <w:gridCol w:w="278"/>
        <w:gridCol w:w="1166"/>
        <w:gridCol w:w="125"/>
        <w:gridCol w:w="90"/>
        <w:gridCol w:w="278"/>
        <w:gridCol w:w="1166"/>
        <w:gridCol w:w="170"/>
      </w:tblGrid>
      <w:tr>
        <w:trPr/>
        <w:tc>
          <w:tcPr>
            <w:tcW w:w="6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b/>
              </w:rPr>
            </w:pPr>
            <w:r>
              <w:rPr>
                <w:b/>
              </w:rPr>
              <w:t>Contract liabilities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Contract liabilities, beginning of period</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10,921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3,478</w:t>
            </w:r>
          </w:p>
        </w:tc>
        <w:tc>
          <w:tcPr>
            <w:tcW w:w="17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Increases due to billings or cash received in advance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2,642</w:t>
            </w:r>
          </w:p>
        </w:tc>
        <w:tc>
          <w:tcPr>
            <w:tcW w:w="17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Revenue recognized from beginning balance of contract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(9,889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(2,560</w:t>
            </w:r>
          </w:p>
        </w:tc>
        <w:tc>
          <w:tcPr>
            <w:tcW w:w="170" w:type="dxa"/>
            <w:tcBorders/>
            <w:shd w:fill="CCEEFF" w:val="clear"/>
            <w:vAlign w:val="center"/>
          </w:tcPr>
          <w:p>
            <w:pPr>
              <w:pStyle w:val="TableContents"/>
              <w:bidi w:val="0"/>
              <w:spacing w:before="0" w:after="283"/>
              <w:jc w:val="left"/>
              <w:rPr/>
            </w:pPr>
            <w:r>
              <w:rPr/>
              <w:t>)</w:t>
            </w:r>
          </w:p>
        </w:tc>
      </w:tr>
      <w:tr>
        <w:trPr/>
        <w:tc>
          <w:tcPr>
            <w:tcW w:w="6560" w:type="dxa"/>
            <w:tcBorders/>
            <w:vAlign w:val="center"/>
          </w:tcPr>
          <w:p>
            <w:pPr>
              <w:pStyle w:val="TableContents"/>
              <w:bidi w:val="0"/>
              <w:spacing w:before="0" w:after="283"/>
              <w:jc w:val="left"/>
              <w:rPr/>
            </w:pPr>
            <w:r>
              <w:rPr/>
              <w:t>Increase due to contract liabilities assumed in a business combination</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13,348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7,361</w:t>
            </w:r>
          </w:p>
        </w:tc>
        <w:tc>
          <w:tcPr>
            <w:tcW w:w="17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Contract liabilities, end of period</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21,130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10,921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revenue recognized from the beginning balance of contract liabilities was recognized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89" w:type="dxa"/>
        <w:jc w:val="left"/>
        <w:tblInd w:w="0" w:type="dxa"/>
        <w:tblLayout w:type="fixed"/>
        <w:tblCellMar>
          <w:top w:w="0" w:type="dxa"/>
          <w:left w:w="0" w:type="dxa"/>
          <w:bottom w:w="0" w:type="dxa"/>
          <w:right w:w="0" w:type="dxa"/>
        </w:tblCellMar>
      </w:tblPr>
      <w:tblGrid>
        <w:gridCol w:w="5060"/>
        <w:gridCol w:w="90"/>
        <w:gridCol w:w="170"/>
        <w:gridCol w:w="710"/>
        <w:gridCol w:w="90"/>
        <w:gridCol w:w="90"/>
        <w:gridCol w:w="289"/>
        <w:gridCol w:w="495"/>
        <w:gridCol w:w="90"/>
        <w:gridCol w:w="90"/>
        <w:gridCol w:w="170"/>
        <w:gridCol w:w="830"/>
        <w:gridCol w:w="90"/>
        <w:gridCol w:w="90"/>
        <w:gridCol w:w="170"/>
        <w:gridCol w:w="830"/>
        <w:gridCol w:w="135"/>
      </w:tblGrid>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b/>
              </w:rPr>
            </w:pPr>
            <w:r>
              <w:rPr>
                <w:b/>
              </w:rPr>
              <w:t>Financial 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3,841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b/>
              </w:rPr>
            </w:pPr>
            <w:r>
              <w:rPr>
                <w:b/>
              </w:rPr>
              <w:t>Financial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19,604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19,604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12,615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12,615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37,930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5,870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5,870</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3,246</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14,756</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1,488</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Forward purchase agreement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3,965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SAFE Agreement with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535</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Private placement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1,692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Working capital warrants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Public warrants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2,475</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Deferred Sunder Consideration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10,840</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pPr>
            <w:r>
              <w:rPr/>
              <w:t>Deferred Ambia Consideration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13,315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118,774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132,089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5060"/>
        <w:gridCol w:w="90"/>
        <w:gridCol w:w="157"/>
        <w:gridCol w:w="522"/>
        <w:gridCol w:w="90"/>
        <w:gridCol w:w="90"/>
        <w:gridCol w:w="236"/>
        <w:gridCol w:w="443"/>
        <w:gridCol w:w="90"/>
        <w:gridCol w:w="90"/>
        <w:gridCol w:w="155"/>
        <w:gridCol w:w="725"/>
        <w:gridCol w:w="90"/>
        <w:gridCol w:w="90"/>
        <w:gridCol w:w="155"/>
        <w:gridCol w:w="725"/>
        <w:gridCol w:w="135"/>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5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3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w:t>
            </w:r>
          </w:p>
        </w:tc>
        <w:tc>
          <w:tcPr>
            <w:tcW w:w="90" w:type="dxa"/>
            <w:tcBorders/>
            <w:vAlign w:val="center"/>
          </w:tcPr>
          <w:p>
            <w:pPr>
              <w:pStyle w:val="TableContents"/>
              <w:bidi w:val="0"/>
              <w:spacing w:before="0" w:after="283"/>
              <w:jc w:val="left"/>
              <w:rPr/>
            </w:pPr>
            <w:r>
              <w:rPr/>
              <w:t> </w:t>
            </w:r>
          </w:p>
        </w:tc>
        <w:tc>
          <w:tcPr>
            <w:tcW w:w="67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w:t>
            </w:r>
          </w:p>
        </w:tc>
        <w:tc>
          <w:tcPr>
            <w:tcW w:w="9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15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 with related party</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 warrants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3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44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13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r>
        <w:trPr/>
        <w:tc>
          <w:tcPr>
            <w:tcW w:w="233" w:type="dxa"/>
            <w:tcBorders/>
            <w:vAlign w:val="center"/>
          </w:tcPr>
          <w:p>
            <w:pPr>
              <w:pStyle w:val="TableContents"/>
              <w:bidi w:val="0"/>
              <w:spacing w:before="0" w:after="283"/>
              <w:jc w:val="both"/>
              <w:rPr/>
            </w:pPr>
            <w:r>
              <w:rPr/>
              <w:t> </w:t>
            </w:r>
          </w:p>
        </w:tc>
        <w:tc>
          <w:tcPr>
            <w:tcW w:w="9972" w:type="dxa"/>
            <w:tcBorders/>
            <w:vAlign w:val="center"/>
          </w:tcPr>
          <w:p>
            <w:pPr>
              <w:pStyle w:val="TableContents"/>
              <w:bidi w:val="0"/>
              <w:spacing w:before="0" w:after="283"/>
              <w:jc w:val="both"/>
              <w:rPr/>
            </w:pPr>
            <w:r>
              <w:rPr/>
              <w:t> </w:t>
            </w:r>
          </w:p>
        </w:tc>
      </w:tr>
      <w:tr>
        <w:trPr/>
        <w:tc>
          <w:tcPr>
            <w:tcW w:w="23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fiscal years ended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5"/>
        <w:gridCol w:w="90"/>
        <w:gridCol w:w="201"/>
        <w:gridCol w:w="933"/>
        <w:gridCol w:w="125"/>
        <w:gridCol w:w="90"/>
        <w:gridCol w:w="298"/>
        <w:gridCol w:w="1039"/>
        <w:gridCol w:w="90"/>
        <w:gridCol w:w="90"/>
        <w:gridCol w:w="377"/>
        <w:gridCol w:w="912"/>
        <w:gridCol w:w="90"/>
        <w:gridCol w:w="90"/>
        <w:gridCol w:w="219"/>
        <w:gridCol w:w="764"/>
        <w:gridCol w:w="90"/>
        <w:gridCol w:w="90"/>
        <w:gridCol w:w="304"/>
        <w:gridCol w:w="1276"/>
        <w:gridCol w:w="90"/>
        <w:gridCol w:w="90"/>
        <w:gridCol w:w="170"/>
        <w:gridCol w:w="830"/>
        <w:gridCol w:w="142"/>
      </w:tblGrid>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58"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42"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liabilities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 Purchase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 Agreements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Ambia Consideration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2" w:type="dxa"/>
            <w:tcBorders/>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pPr>
            <w:r>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97,122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3,494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101,699</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20,808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16,879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37,687</w:t>
            </w:r>
          </w:p>
        </w:tc>
        <w:tc>
          <w:tcPr>
            <w:tcW w:w="142" w:type="dxa"/>
            <w:tcBorders/>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pPr>
            <w:r>
              <w:rPr/>
              <w:t>Conversions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(10,931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(10,931</w:t>
            </w:r>
          </w:p>
        </w:tc>
        <w:tc>
          <w:tcPr>
            <w:tcW w:w="142" w:type="dxa"/>
            <w:tcBorders/>
            <w:shd w:fill="CCEEFF" w:val="clear"/>
            <w:vAlign w:val="center"/>
          </w:tcPr>
          <w:p>
            <w:pPr>
              <w:pStyle w:val="TableContents"/>
              <w:bidi w:val="0"/>
              <w:spacing w:before="0" w:after="283"/>
              <w:ind w:left="0" w:right="0" w:hanging="180"/>
              <w:jc w:val="left"/>
              <w:rPr/>
            </w:pPr>
            <w:r>
              <w:rPr/>
              <w:t>)</w:t>
            </w:r>
          </w:p>
        </w:tc>
      </w:tr>
      <w:tr>
        <w:trPr/>
        <w:tc>
          <w:tcPr>
            <w:tcW w:w="1715" w:type="dxa"/>
            <w:tcBorders/>
            <w:vAlign w:val="center"/>
          </w:tcPr>
          <w:p>
            <w:pPr>
              <w:pStyle w:val="TableContents"/>
              <w:bidi w:val="0"/>
              <w:spacing w:before="0" w:after="283"/>
              <w:jc w:val="left"/>
              <w:rPr/>
            </w:pPr>
            <w:r>
              <w:rPr/>
              <w:t>Net (gain)/loss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(11,490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tcMar>
              <w:bottom w:w="28" w:type="dxa"/>
            </w:tcMar>
            <w:vAlign w:val="center"/>
          </w:tcPr>
          <w:p>
            <w:pPr>
              <w:pStyle w:val="TableContents"/>
              <w:bidi w:val="0"/>
              <w:spacing w:before="0" w:after="283"/>
              <w:jc w:val="right"/>
              <w:rPr/>
            </w:pPr>
            <w:r>
              <w:rPr/>
              <w:t>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7"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283"/>
              <w:jc w:val="right"/>
              <w:rPr/>
            </w:pPr>
            <w:r>
              <w:rPr/>
              <w:t>151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283"/>
              <w:jc w:val="right"/>
              <w:rPr/>
            </w:pPr>
            <w:r>
              <w:rPr/>
              <w:t>1,187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(9,681</w:t>
            </w:r>
          </w:p>
        </w:tc>
        <w:tc>
          <w:tcPr>
            <w:tcW w:w="142" w:type="dxa"/>
            <w:tcBorders/>
            <w:vAlign w:val="center"/>
          </w:tcPr>
          <w:p>
            <w:pPr>
              <w:pStyle w:val="TableContents"/>
              <w:bidi w:val="0"/>
              <w:spacing w:before="0" w:after="283"/>
              <w:ind w:left="0" w:right="0" w:hanging="180"/>
              <w:jc w:val="left"/>
              <w:rPr/>
            </w:pPr>
            <w:r>
              <w:rPr/>
              <w:t>)</w:t>
            </w:r>
          </w:p>
        </w:tc>
      </w:tr>
      <w:tr>
        <w:trPr/>
        <w:tc>
          <w:tcPr>
            <w:tcW w:w="1715" w:type="dxa"/>
            <w:tcBorders/>
            <w:shd w:fill="CCEEFF" w:val="clear"/>
            <w:vAlign w:val="center"/>
          </w:tcPr>
          <w:p>
            <w:pPr>
              <w:pStyle w:val="TableContents"/>
              <w:bidi w:val="0"/>
              <w:spacing w:before="0" w:after="283"/>
              <w:jc w:val="left"/>
              <w:rPr/>
            </w:pPr>
            <w:r>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pPr>
            <w:r>
              <w:rPr/>
              <w:t>95,509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3,965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pPr>
            <w:r>
              <w:rPr/>
              <w:t>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1,886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6" w:type="dxa"/>
            <w:tcBorders>
              <w:bottom w:val="double" w:sz="10" w:space="0" w:color="000000"/>
            </w:tcBorders>
            <w:shd w:fill="CCEEFF" w:val="clear"/>
            <w:tcMar>
              <w:bottom w:w="28" w:type="dxa"/>
            </w:tcMar>
            <w:vAlign w:val="center"/>
          </w:tcPr>
          <w:p>
            <w:pPr>
              <w:pStyle w:val="TableContents"/>
              <w:bidi w:val="0"/>
              <w:spacing w:before="0" w:after="283"/>
              <w:jc w:val="right"/>
              <w:rPr/>
            </w:pPr>
            <w:r>
              <w:rPr/>
              <w:t>16,879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118,774</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0"/>
        <w:gridCol w:w="90"/>
        <w:gridCol w:w="207"/>
        <w:gridCol w:w="972"/>
        <w:gridCol w:w="110"/>
        <w:gridCol w:w="90"/>
        <w:gridCol w:w="346"/>
        <w:gridCol w:w="1152"/>
        <w:gridCol w:w="110"/>
        <w:gridCol w:w="90"/>
        <w:gridCol w:w="255"/>
        <w:gridCol w:w="947"/>
        <w:gridCol w:w="110"/>
        <w:gridCol w:w="90"/>
        <w:gridCol w:w="212"/>
        <w:gridCol w:w="850"/>
        <w:gridCol w:w="110"/>
        <w:gridCol w:w="90"/>
        <w:gridCol w:w="155"/>
        <w:gridCol w:w="725"/>
        <w:gridCol w:w="144"/>
      </w:tblGrid>
      <w:tr>
        <w:trPr/>
        <w:tc>
          <w:tcPr>
            <w:tcW w:w="33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621"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 December 29, 2024</w:t>
            </w:r>
          </w:p>
        </w:tc>
        <w:tc>
          <w:tcPr>
            <w:tcW w:w="144" w:type="dxa"/>
            <w:tcBorders/>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Derivative liabilities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Forward Purchase Agreements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SAFE Agreements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Warrant liabilities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44" w:type="dxa"/>
            <w:tcBorders/>
            <w:vAlign w:val="center"/>
          </w:tcPr>
          <w:p>
            <w:pPr>
              <w:pStyle w:val="TableContents"/>
              <w:bidi w:val="0"/>
              <w:spacing w:before="0" w:after="283"/>
              <w:ind w:left="0" w:right="0" w:hanging="180"/>
              <w:jc w:val="center"/>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14,791</w:t>
            </w:r>
          </w:p>
        </w:tc>
        <w:tc>
          <w:tcPr>
            <w:tcW w:w="144" w:type="dxa"/>
            <w:tcBorders/>
            <w:shd w:fill="CCEEFF" w:val="clear"/>
            <w:vAlign w:val="center"/>
          </w:tcPr>
          <w:p>
            <w:pPr>
              <w:pStyle w:val="TableContents"/>
              <w:bidi w:val="0"/>
              <w:spacing w:before="0" w:after="283"/>
              <w:ind w:left="0" w:right="0" w:hanging="180"/>
              <w:jc w:val="left"/>
              <w:rPr/>
            </w:pPr>
            <w:r>
              <w:rPr/>
              <w:t> </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131,108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137,108</w:t>
            </w:r>
          </w:p>
        </w:tc>
        <w:tc>
          <w:tcPr>
            <w:tcW w:w="144" w:type="dxa"/>
            <w:tcBorders/>
            <w:vAlign w:val="center"/>
          </w:tcPr>
          <w:p>
            <w:pPr>
              <w:pStyle w:val="TableContents"/>
              <w:bidi w:val="0"/>
              <w:spacing w:before="0" w:after="283"/>
              <w:ind w:left="0" w:right="0" w:hanging="180"/>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Conversions</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(13,556</w:t>
            </w:r>
          </w:p>
        </w:tc>
        <w:tc>
          <w:tcPr>
            <w:tcW w:w="14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(gain)/loss recognized within Other non-operating income, net in the consolidated statement of operations</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(36,644</w:t>
            </w:r>
          </w:p>
        </w:tc>
        <w:tc>
          <w:tcPr>
            <w:tcW w:w="14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29, 2024</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97,122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14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Derivative 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in the years ended December 28, 2025 and December 29, 2024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1"/>
        <w:gridCol w:w="90"/>
        <w:gridCol w:w="232"/>
        <w:gridCol w:w="928"/>
        <w:gridCol w:w="248"/>
        <w:gridCol w:w="104"/>
        <w:gridCol w:w="222"/>
        <w:gridCol w:w="891"/>
        <w:gridCol w:w="248"/>
        <w:gridCol w:w="104"/>
        <w:gridCol w:w="301"/>
        <w:gridCol w:w="1189"/>
        <w:gridCol w:w="215"/>
        <w:gridCol w:w="90"/>
        <w:gridCol w:w="351"/>
        <w:gridCol w:w="1200"/>
        <w:gridCol w:w="339"/>
        <w:gridCol w:w="141"/>
        <w:gridCol w:w="351"/>
        <w:gridCol w:w="1200"/>
        <w:gridCol w:w="270"/>
      </w:tblGrid>
      <w:tr>
        <w:trPr/>
        <w:tc>
          <w:tcPr>
            <w:tcW w:w="1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67"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Senior Unsecured Convertible Notes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8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Senior Unsecured Convertible Notes</w:t>
            </w:r>
          </w:p>
        </w:tc>
        <w:tc>
          <w:tcPr>
            <w:tcW w:w="270" w:type="dxa"/>
            <w:tcBorders/>
            <w:vAlign w:val="center"/>
          </w:tcPr>
          <w:p>
            <w:pPr>
              <w:pStyle w:val="TableContents"/>
              <w:bidi w:val="0"/>
              <w:spacing w:before="0" w:after="283"/>
              <w:jc w:val="left"/>
              <w:rPr/>
            </w:pPr>
            <w:r>
              <w:rPr/>
              <w:t> </w:t>
            </w:r>
          </w:p>
        </w:tc>
      </w:tr>
      <w:tr>
        <w:trPr/>
        <w:tc>
          <w:tcPr>
            <w:tcW w:w="14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2025 Note</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November 2025 Note</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33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5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2025 Notes</w:t>
            </w:r>
          </w:p>
        </w:tc>
        <w:tc>
          <w:tcPr>
            <w:tcW w:w="270" w:type="dxa"/>
            <w:tcBorders/>
            <w:vAlign w:val="center"/>
          </w:tcPr>
          <w:p>
            <w:pPr>
              <w:pStyle w:val="TableContents"/>
              <w:bidi w:val="0"/>
              <w:spacing w:before="0" w:after="283"/>
              <w:jc w:val="left"/>
              <w:rPr/>
            </w:pPr>
            <w:r>
              <w:rPr/>
              <w:t> </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3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626.96</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33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70" w:type="dxa"/>
            <w:tcBorders/>
            <w:vAlign w:val="center"/>
          </w:tcPr>
          <w:p>
            <w:pPr>
              <w:pStyle w:val="TableContents"/>
              <w:bidi w:val="0"/>
              <w:spacing w:before="0" w:after="283"/>
              <w:jc w:val="left"/>
              <w:rPr/>
            </w:pPr>
            <w:r>
              <w:rPr/>
              <w:t> </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4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4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339"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70" w:type="dxa"/>
            <w:tcBorders/>
            <w:shd w:fill="CCEEFF" w:val="clear"/>
            <w:vAlign w:val="center"/>
          </w:tcPr>
          <w:p>
            <w:pPr>
              <w:pStyle w:val="TableContents"/>
              <w:bidi w:val="0"/>
              <w:spacing w:before="0" w:after="283"/>
              <w:jc w:val="left"/>
              <w:rPr/>
            </w:pPr>
            <w:r>
              <w:rPr/>
              <w:t> </w:t>
            </w:r>
          </w:p>
        </w:tc>
      </w:tr>
      <w:tr>
        <w:trPr/>
        <w:tc>
          <w:tcPr>
            <w:tcW w:w="1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4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33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70" w:type="dxa"/>
            <w:tcBorders/>
            <w:vAlign w:val="center"/>
          </w:tcPr>
          <w:p>
            <w:pPr>
              <w:pStyle w:val="TableContents"/>
              <w:bidi w:val="0"/>
              <w:spacing w:before="0" w:after="283"/>
              <w:jc w:val="left"/>
              <w:rPr/>
            </w:pPr>
            <w:r>
              <w:rPr/>
              <w:t> </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3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1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29, 2024 were as follows:</w:t>
      </w:r>
    </w:p>
    <w:p>
      <w:pPr>
        <w:pStyle w:val="TextBody"/>
        <w:bidi w:val="0"/>
        <w:spacing w:before="0" w:after="0"/>
        <w:ind w:left="0" w:right="0" w:hanging="0"/>
        <w:jc w:val="both"/>
        <w:rPr>
          <w:caps w:val="false"/>
          <w:smallCaps w:val="false"/>
        </w:rPr>
      </w:pPr>
      <w:r>
        <w:rPr>
          <w:caps w:val="false"/>
          <w:smallCaps w:val="false"/>
        </w:rPr>
        <w:t> </w:t>
      </w:r>
    </w:p>
    <w:tbl>
      <w:tblPr>
        <w:tblW w:w="5971" w:type="dxa"/>
        <w:jc w:val="left"/>
        <w:tblInd w:w="0" w:type="dxa"/>
        <w:tblLayout w:type="fixed"/>
        <w:tblCellMar>
          <w:top w:w="0" w:type="dxa"/>
          <w:left w:w="0" w:type="dxa"/>
          <w:bottom w:w="0" w:type="dxa"/>
          <w:right w:w="0" w:type="dxa"/>
        </w:tblCellMar>
      </w:tblPr>
      <w:tblGrid>
        <w:gridCol w:w="1790"/>
        <w:gridCol w:w="90"/>
        <w:gridCol w:w="279"/>
        <w:gridCol w:w="1120"/>
        <w:gridCol w:w="358"/>
        <w:gridCol w:w="150"/>
        <w:gridCol w:w="384"/>
        <w:gridCol w:w="1540"/>
        <w:gridCol w:w="260"/>
      </w:tblGrid>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Unsecured Convertible Notes</w:t>
            </w:r>
          </w:p>
        </w:tc>
        <w:tc>
          <w:tcPr>
            <w:tcW w:w="2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Notes</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Notes</w:t>
            </w:r>
          </w:p>
        </w:tc>
        <w:tc>
          <w:tcPr>
            <w:tcW w:w="2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26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6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58"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6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35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6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3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1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613" w:type="dxa"/>
        <w:jc w:val="left"/>
        <w:tblInd w:w="0" w:type="dxa"/>
        <w:tblLayout w:type="fixed"/>
        <w:tblCellMar>
          <w:top w:w="0" w:type="dxa"/>
          <w:left w:w="0" w:type="dxa"/>
          <w:bottom w:w="0" w:type="dxa"/>
          <w:right w:w="0" w:type="dxa"/>
        </w:tblCellMar>
      </w:tblPr>
      <w:tblGrid>
        <w:gridCol w:w="1550"/>
        <w:gridCol w:w="90"/>
        <w:gridCol w:w="297"/>
        <w:gridCol w:w="907"/>
        <w:gridCol w:w="215"/>
        <w:gridCol w:w="90"/>
        <w:gridCol w:w="278"/>
        <w:gridCol w:w="926"/>
        <w:gridCol w:w="260"/>
      </w:tblGrid>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stock price</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60"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6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9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138" w:type="dxa"/>
        <w:jc w:val="left"/>
        <w:tblInd w:w="0" w:type="dxa"/>
        <w:tblLayout w:type="fixed"/>
        <w:tblCellMar>
          <w:top w:w="0" w:type="dxa"/>
          <w:left w:w="0" w:type="dxa"/>
          <w:bottom w:w="0" w:type="dxa"/>
          <w:right w:w="0" w:type="dxa"/>
        </w:tblCellMar>
      </w:tblPr>
      <w:tblGrid>
        <w:gridCol w:w="2075"/>
        <w:gridCol w:w="90"/>
        <w:gridCol w:w="278"/>
        <w:gridCol w:w="926"/>
        <w:gridCol w:w="215"/>
        <w:gridCol w:w="90"/>
        <w:gridCol w:w="278"/>
        <w:gridCol w:w="926"/>
        <w:gridCol w:w="260"/>
      </w:tblGrid>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 sets forth the Company’s financial liabilities that were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529" w:type="dxa"/>
        <w:jc w:val="left"/>
        <w:tblInd w:w="0" w:type="dxa"/>
        <w:tblLayout w:type="fixed"/>
        <w:tblCellMar>
          <w:top w:w="0" w:type="dxa"/>
          <w:left w:w="0" w:type="dxa"/>
          <w:bottom w:w="0" w:type="dxa"/>
          <w:right w:w="0" w:type="dxa"/>
        </w:tblCellMar>
      </w:tblPr>
      <w:tblGrid>
        <w:gridCol w:w="4280"/>
        <w:gridCol w:w="90"/>
        <w:gridCol w:w="170"/>
        <w:gridCol w:w="830"/>
        <w:gridCol w:w="90"/>
        <w:gridCol w:w="90"/>
        <w:gridCol w:w="246"/>
        <w:gridCol w:w="1139"/>
        <w:gridCol w:w="125"/>
        <w:gridCol w:w="90"/>
        <w:gridCol w:w="189"/>
        <w:gridCol w:w="791"/>
        <w:gridCol w:w="90"/>
        <w:gridCol w:w="90"/>
        <w:gridCol w:w="184"/>
        <w:gridCol w:w="900"/>
        <w:gridCol w:w="135"/>
      </w:tblGrid>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2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b/>
              </w:rPr>
            </w:pPr>
            <w:r>
              <w:rPr>
                <w:b/>
              </w:rPr>
              <w:t>12.0% senior unsecured convertible notes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39" w:type="dxa"/>
            <w:tcBorders/>
            <w:shd w:fill="CCEEFF" w:val="clear"/>
            <w:vAlign w:val="center"/>
          </w:tcPr>
          <w:p>
            <w:pPr>
              <w:pStyle w:val="TableContents"/>
              <w:bidi w:val="0"/>
              <w:spacing w:before="0" w:after="283"/>
              <w:jc w:val="right"/>
              <w:rPr/>
            </w:pPr>
            <w:r>
              <w:rPr/>
              <w:t>(5,832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22,141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33,165</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July 2024 Notes – related parties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pPr>
            <w:r>
              <w:rPr/>
              <w:t>(10,369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7,631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21,204</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Subtotal July 2024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(16,201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29,772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54,369</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July 2025 Note –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(3,557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1,443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5,641</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(1,509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2,360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b/>
              </w:rPr>
            </w:pPr>
            <w:r>
              <w:rPr>
                <w:b/>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September 2024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39" w:type="dxa"/>
            <w:tcBorders/>
            <w:vAlign w:val="center"/>
          </w:tcPr>
          <w:p>
            <w:pPr>
              <w:pStyle w:val="TableContents"/>
              <w:bidi w:val="0"/>
              <w:spacing w:before="0" w:after="283"/>
              <w:jc w:val="right"/>
              <w:rPr/>
            </w:pPr>
            <w:r>
              <w:rPr/>
              <w:t>(42,211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14,332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59,425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(6,404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2,346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8,880</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Subtotal September 2024 Notes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65,293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tcMar>
              <w:bottom w:w="28" w:type="dxa"/>
            </w:tcMar>
            <w:vAlign w:val="center"/>
          </w:tcPr>
          <w:p>
            <w:pPr>
              <w:pStyle w:val="TableContents"/>
              <w:bidi w:val="0"/>
              <w:spacing w:before="0" w:after="283"/>
              <w:jc w:val="right"/>
              <w:rPr/>
            </w:pPr>
            <w:r>
              <w:rPr/>
              <w:t>(48,615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16,678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before="0" w:after="283"/>
              <w:jc w:val="right"/>
              <w:rPr/>
            </w:pPr>
            <w:r>
              <w:rPr/>
              <w:t>68,305</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center"/>
          </w:tcPr>
          <w:p>
            <w:pPr>
              <w:pStyle w:val="TableContents"/>
              <w:bidi w:val="0"/>
              <w:spacing w:before="0" w:after="283"/>
              <w:jc w:val="right"/>
              <w:rPr/>
            </w:pPr>
            <w:r>
              <w:rPr/>
              <w:t>(18,646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24,227</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140,266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pPr>
            <w:r>
              <w:rPr/>
              <w:t>$</w:t>
            </w:r>
          </w:p>
        </w:tc>
        <w:tc>
          <w:tcPr>
            <w:tcW w:w="1139" w:type="dxa"/>
            <w:tcBorders>
              <w:bottom w:val="double" w:sz="10" w:space="0" w:color="000000"/>
            </w:tcBorders>
            <w:tcMar>
              <w:bottom w:w="28" w:type="dxa"/>
            </w:tcMar>
            <w:vAlign w:val="center"/>
          </w:tcPr>
          <w:p>
            <w:pPr>
              <w:pStyle w:val="TableContents"/>
              <w:bidi w:val="0"/>
              <w:spacing w:before="0" w:after="283"/>
              <w:jc w:val="right"/>
              <w:rPr/>
            </w:pPr>
            <w:r>
              <w:rPr/>
              <w:t>(88,528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tcMar>
              <w:bottom w:w="28" w:type="dxa"/>
            </w:tcMar>
            <w:vAlign w:val="center"/>
          </w:tcPr>
          <w:p>
            <w:pPr>
              <w:pStyle w:val="TableContents"/>
              <w:bidi w:val="0"/>
              <w:spacing w:before="0" w:after="283"/>
              <w:jc w:val="right"/>
              <w:rPr/>
            </w:pPr>
            <w:r>
              <w:rPr/>
              <w:t>51,738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tcMar>
              <w:bottom w:w="28" w:type="dxa"/>
            </w:tcMar>
            <w:vAlign w:val="center"/>
          </w:tcPr>
          <w:p>
            <w:pPr>
              <w:pStyle w:val="TableContents"/>
              <w:bidi w:val="0"/>
              <w:spacing w:before="0" w:after="283"/>
              <w:jc w:val="right"/>
              <w:rPr/>
            </w:pPr>
            <w:r>
              <w:rPr/>
              <w:t>154,902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383" w:type="dxa"/>
        <w:jc w:val="left"/>
        <w:tblInd w:w="0" w:type="dxa"/>
        <w:tblLayout w:type="fixed"/>
        <w:tblCellMar>
          <w:top w:w="0" w:type="dxa"/>
          <w:left w:w="0" w:type="dxa"/>
          <w:bottom w:w="0" w:type="dxa"/>
          <w:right w:w="0" w:type="dxa"/>
        </w:tblCellMar>
      </w:tblPr>
      <w:tblGrid>
        <w:gridCol w:w="3575"/>
        <w:gridCol w:w="90"/>
        <w:gridCol w:w="167"/>
        <w:gridCol w:w="782"/>
        <w:gridCol w:w="90"/>
        <w:gridCol w:w="90"/>
        <w:gridCol w:w="215"/>
        <w:gridCol w:w="945"/>
        <w:gridCol w:w="110"/>
        <w:gridCol w:w="90"/>
        <w:gridCol w:w="196"/>
        <w:gridCol w:w="784"/>
        <w:gridCol w:w="90"/>
        <w:gridCol w:w="90"/>
        <w:gridCol w:w="164"/>
        <w:gridCol w:w="770"/>
        <w:gridCol w:w="135"/>
      </w:tblGrid>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13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Unamortized</w:t>
              <w:br/>
              <w:t>debt</w:t>
              <w:br/>
              <w:t>discount</w:t>
              <w:br/>
              <w:t>and debt</w:t>
              <w:br/>
              <w:t>issuance</w:t>
              <w:br/>
              <w:t>costs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13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12.0% senior unsecured convertible notes</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21,390</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 Notes – related parties</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33,323</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July 2024 Notes</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54,713</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 senior unsecured convertible notes</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(66,164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77,245</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 Notes – related parties</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8,583</w:t>
            </w:r>
          </w:p>
        </w:tc>
        <w:tc>
          <w:tcPr>
            <w:tcW w:w="135"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September 2024 Notes</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85,828</w:t>
            </w:r>
          </w:p>
        </w:tc>
        <w:tc>
          <w:tcPr>
            <w:tcW w:w="13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$10.8 million and $13.6 million as of December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93" w:type="dxa"/>
        <w:jc w:val="left"/>
        <w:tblInd w:w="0" w:type="dxa"/>
        <w:tblLayout w:type="fixed"/>
        <w:tblCellMar>
          <w:top w:w="0" w:type="dxa"/>
          <w:left w:w="0" w:type="dxa"/>
          <w:bottom w:w="0" w:type="dxa"/>
          <w:right w:w="0" w:type="dxa"/>
        </w:tblCellMar>
      </w:tblPr>
      <w:tblGrid>
        <w:gridCol w:w="5300"/>
        <w:gridCol w:w="90"/>
        <w:gridCol w:w="278"/>
        <w:gridCol w:w="1166"/>
        <w:gridCol w:w="90"/>
        <w:gridCol w:w="90"/>
        <w:gridCol w:w="322"/>
        <w:gridCol w:w="1122"/>
        <w:gridCol w:w="135"/>
      </w:tblGrid>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xml:space="preserve">Costs to obtain contracts and costs to fulfill contracts </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7,361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3,759</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9,552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4,447</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Total 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16,913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osition w:val="8"/>
                <w:sz w:val="19"/>
              </w:rPr>
            </w:pPr>
            <w:r>
              <w:rPr>
                <w:position w:val="8"/>
                <w:sz w:val="19"/>
              </w:rPr>
              <w:t>(1)</w:t>
            </w:r>
          </w:p>
        </w:tc>
        <w:tc>
          <w:tcPr>
            <w:tcW w:w="9944" w:type="dxa"/>
            <w:tcBorders/>
            <w:vAlign w:val="center"/>
          </w:tcPr>
          <w:p>
            <w:pPr>
              <w:pStyle w:val="TableContents"/>
              <w:bidi w:val="0"/>
              <w:spacing w:before="0" w:after="283"/>
              <w:jc w:val="both"/>
              <w:rPr/>
            </w:pPr>
            <w:r>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6908" w:type="dxa"/>
        <w:jc w:val="left"/>
        <w:tblInd w:w="0" w:type="dxa"/>
        <w:tblLayout w:type="fixed"/>
        <w:tblCellMar>
          <w:top w:w="0" w:type="dxa"/>
          <w:left w:w="0" w:type="dxa"/>
          <w:bottom w:w="0" w:type="dxa"/>
          <w:right w:w="0" w:type="dxa"/>
        </w:tblCellMar>
      </w:tblPr>
      <w:tblGrid>
        <w:gridCol w:w="4055"/>
        <w:gridCol w:w="90"/>
        <w:gridCol w:w="255"/>
        <w:gridCol w:w="949"/>
        <w:gridCol w:w="110"/>
        <w:gridCol w:w="90"/>
        <w:gridCol w:w="278"/>
        <w:gridCol w:w="926"/>
        <w:gridCol w:w="155"/>
      </w:tblGrid>
      <w:tr>
        <w:trPr/>
        <w:tc>
          <w:tcPr>
            <w:tcW w:w="40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15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equipment</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15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55"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6,409</w:t>
            </w:r>
          </w:p>
        </w:tc>
        <w:tc>
          <w:tcPr>
            <w:tcW w:w="15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 net</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5,493</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29, 2024, the Company capitalized $1.2 million, of internal-use software development costs.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128" w:type="dxa"/>
        <w:jc w:val="left"/>
        <w:tblInd w:w="0" w:type="dxa"/>
        <w:tblLayout w:type="fixed"/>
        <w:tblCellMar>
          <w:top w:w="0" w:type="dxa"/>
          <w:left w:w="0" w:type="dxa"/>
          <w:bottom w:w="0" w:type="dxa"/>
          <w:right w:w="0" w:type="dxa"/>
        </w:tblCellMar>
      </w:tblPr>
      <w:tblGrid>
        <w:gridCol w:w="4835"/>
        <w:gridCol w:w="90"/>
        <w:gridCol w:w="278"/>
        <w:gridCol w:w="1166"/>
        <w:gridCol w:w="90"/>
        <w:gridCol w:w="90"/>
        <w:gridCol w:w="278"/>
        <w:gridCol w:w="1166"/>
        <w:gridCol w:w="135"/>
      </w:tblGrid>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Accrued compensation and benefits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7,202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6,619</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Income taxes payable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Professional fees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8,028</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Accrued legal settlements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9,500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7,700</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Accrued rebates and credits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7,564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7,641</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Deferred financing fees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4,868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4,674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financing deposit with related party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4,523</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19,194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16,896</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Total accrued expenses and other current liabilities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56,977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56,081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Times;Serif" w:hAnsi="Times New Roman;Times;Serif"/>
                <w:b/>
                <w:sz w:val="20"/>
              </w:rPr>
              <w:t xml:space="preserve">Refer to Note 20 – Subsequent Events – </w:t>
            </w:r>
            <w:r>
              <w:rPr>
                <w:rFonts w:ascii="Times New Roman;Times;Serif" w:hAnsi="Times New Roman;Times;Serif"/>
                <w:b/>
                <w:i/>
                <w:sz w:val="20"/>
              </w:rPr>
              <w:t>12.0% Convertible Promissory Not</w:t>
            </w:r>
            <w:r>
              <w:rPr>
                <w:rFonts w:ascii="Times New Roman;Times;Serif" w:hAnsi="Times New Roman;Times;Serif"/>
                <w:b/>
                <w:sz w:val="20"/>
              </w:rPr>
              <w:t>e</w:t>
            </w:r>
            <w:r>
              <w:rPr>
                <w:rFonts w:ascii="Times New Roman;Times;Serif" w:hAnsi="Times New Roman;Times;Serif"/>
                <w:sz w:val="20"/>
              </w:rPr>
              <w:t xml:space="preserve"> for further details.</w:t>
            </w:r>
          </w:p>
        </w:tc>
      </w:tr>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$2.6 million and $2.5 million as of December 28, 2025 and December 29, 2024, respectively.</w:t>
            </w:r>
          </w:p>
        </w:tc>
      </w:tr>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and for the fiscal years ended December 28, 2025 and December 29, 2024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9"/>
        <w:gridCol w:w="90"/>
        <w:gridCol w:w="467"/>
        <w:gridCol w:w="2169"/>
        <w:gridCol w:w="125"/>
        <w:gridCol w:w="90"/>
        <w:gridCol w:w="302"/>
        <w:gridCol w:w="862"/>
        <w:gridCol w:w="125"/>
        <w:gridCol w:w="90"/>
        <w:gridCol w:w="170"/>
        <w:gridCol w:w="710"/>
        <w:gridCol w:w="90"/>
        <w:gridCol w:w="90"/>
        <w:gridCol w:w="170"/>
        <w:gridCol w:w="785"/>
        <w:gridCol w:w="171"/>
      </w:tblGrid>
      <w:tr>
        <w:trPr/>
        <w:tc>
          <w:tcPr>
            <w:tcW w:w="3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 Solar 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w:t>
            </w:r>
          </w:p>
        </w:tc>
        <w:tc>
          <w:tcPr>
            <w:tcW w:w="216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Goodwill acquired in business combinations</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18,276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18,476</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Impairment losses</w:t>
            </w:r>
          </w:p>
        </w:tc>
        <w:tc>
          <w:tcPr>
            <w:tcW w:w="90" w:type="dxa"/>
            <w:tcBorders/>
            <w:shd w:fill="CCEEFF" w:val="clear"/>
            <w:vAlign w:val="center"/>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Balance as of December 29, 2024</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both"/>
              <w:rPr/>
            </w:pPr>
            <w:r>
              <w:rPr/>
              <w:t>Goodwill</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2169" w:type="dxa"/>
            <w:tcBorders/>
            <w:shd w:fill="CCEEFF" w:val="clear"/>
            <w:vAlign w:val="center"/>
          </w:tcPr>
          <w:p>
            <w:pPr>
              <w:pStyle w:val="TableContents"/>
              <w:bidi w:val="0"/>
              <w:spacing w:before="0" w:after="283"/>
              <w:jc w:val="right"/>
              <w:rPr/>
            </w:pPr>
            <w:r>
              <w:rPr/>
              <w:t>18,276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18,476</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Accumulated impairment losses</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18,476</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Measurement period adjustments</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(18,276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(18,476</w:t>
            </w:r>
          </w:p>
        </w:tc>
        <w:tc>
          <w:tcPr>
            <w:tcW w:w="171" w:type="dxa"/>
            <w:tcBorders/>
            <w:vAlign w:val="center"/>
          </w:tcPr>
          <w:p>
            <w:pPr>
              <w:pStyle w:val="TableContents"/>
              <w:bidi w:val="0"/>
              <w:spacing w:before="0" w:after="283"/>
              <w:jc w:val="left"/>
              <w:rPr/>
            </w:pPr>
            <w:r>
              <w:rPr/>
              <w:t>)</w:t>
            </w:r>
          </w:p>
        </w:tc>
      </w:tr>
      <w:tr>
        <w:trPr/>
        <w:tc>
          <w:tcPr>
            <w:tcW w:w="3699" w:type="dxa"/>
            <w:tcBorders/>
            <w:shd w:fill="CCEEFF" w:val="clear"/>
            <w:vAlign w:val="center"/>
          </w:tcPr>
          <w:p>
            <w:pPr>
              <w:pStyle w:val="TableContents"/>
              <w:bidi w:val="0"/>
              <w:spacing w:before="0" w:after="283"/>
              <w:jc w:val="left"/>
              <w:rPr/>
            </w:pPr>
            <w:r>
              <w:rPr/>
              <w:t>Goodwill acquired in business combinations</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2169" w:type="dxa"/>
            <w:tcBorders/>
            <w:shd w:fill="CCEEFF" w:val="clear"/>
            <w:vAlign w:val="center"/>
          </w:tcPr>
          <w:p>
            <w:pPr>
              <w:pStyle w:val="TableContents"/>
              <w:bidi w:val="0"/>
              <w:spacing w:before="0" w:after="283"/>
              <w:jc w:val="right"/>
              <w:rPr/>
            </w:pPr>
            <w:r>
              <w:rPr/>
              <w:t>30,808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31,822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62,630</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Impairment losses</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Balance as of December 28, 2025</w:t>
            </w:r>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216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2169" w:type="dxa"/>
            <w:tcBorders/>
            <w:vAlign w:val="center"/>
          </w:tcPr>
          <w:p>
            <w:pPr>
              <w:pStyle w:val="TableContents"/>
              <w:bidi w:val="0"/>
              <w:spacing w:before="0" w:after="283"/>
              <w:jc w:val="right"/>
              <w:rPr/>
            </w:pPr>
            <w:r>
              <w:rPr/>
              <w:t>30,808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31,822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62,630</w:t>
            </w:r>
          </w:p>
        </w:tc>
        <w:tc>
          <w:tcPr>
            <w:tcW w:w="171" w:type="dxa"/>
            <w:tcBorders/>
            <w:vAlign w:val="center"/>
          </w:tcPr>
          <w:p>
            <w:pPr>
              <w:pStyle w:val="TableContents"/>
              <w:bidi w:val="0"/>
              <w:spacing w:before="0" w:after="283"/>
              <w:jc w:val="left"/>
              <w:rPr/>
            </w:pPr>
            <w:r>
              <w:rPr/>
              <w:t> </w:t>
            </w:r>
          </w:p>
        </w:tc>
      </w:tr>
      <w:tr>
        <w:trPr/>
        <w:tc>
          <w:tcPr>
            <w:tcW w:w="3699" w:type="dxa"/>
            <w:tcBorders/>
            <w:shd w:fill="CCEEFF" w:val="clear"/>
            <w:vAlign w:val="center"/>
          </w:tcPr>
          <w:p>
            <w:pPr>
              <w:pStyle w:val="TableContents"/>
              <w:bidi w:val="0"/>
              <w:spacing w:before="0" w:after="283"/>
              <w:jc w:val="left"/>
              <w:rPr/>
            </w:pPr>
            <w:r>
              <w:rPr/>
              <w:t>Accumulated impairment losses</w:t>
            </w:r>
          </w:p>
        </w:tc>
        <w:tc>
          <w:tcPr>
            <w:tcW w:w="90" w:type="dxa"/>
            <w:tcBorders/>
            <w:shd w:fill="CCEEFF" w:val="clear"/>
            <w:vAlign w:val="center"/>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6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3699" w:type="dxa"/>
            <w:tcBorders/>
            <w:vAlign w:val="center"/>
          </w:tcPr>
          <w:p>
            <w:pPr>
              <w:pStyle w:val="TableContents"/>
              <w:bidi w:val="0"/>
              <w:spacing w:before="0" w:after="283"/>
              <w:jc w:val="both"/>
              <w:rPr/>
            </w:pPr>
            <w:r>
              <w:rPr/>
              <w:t>Total</w:t>
            </w:r>
          </w:p>
        </w:tc>
        <w:tc>
          <w:tcPr>
            <w:tcW w:w="90" w:type="dxa"/>
            <w:tcBorders/>
            <w:vAlign w:val="center"/>
          </w:tcPr>
          <w:p>
            <w:pPr>
              <w:pStyle w:val="TableContents"/>
              <w:bidi w:val="0"/>
              <w:spacing w:before="0" w:after="283"/>
              <w:jc w:val="left"/>
              <w:rPr/>
            </w:pPr>
            <w:r>
              <w:rPr/>
              <w:t> </w:t>
            </w:r>
          </w:p>
        </w:tc>
        <w:tc>
          <w:tcPr>
            <w:tcW w:w="467" w:type="dxa"/>
            <w:tcBorders>
              <w:bottom w:val="double" w:sz="10" w:space="0" w:color="000000"/>
            </w:tcBorders>
            <w:tcMar>
              <w:bottom w:w="28" w:type="dxa"/>
            </w:tcMar>
            <w:vAlign w:val="center"/>
          </w:tcPr>
          <w:p>
            <w:pPr>
              <w:pStyle w:val="TableContents"/>
              <w:bidi w:val="0"/>
              <w:spacing w:before="0" w:after="283"/>
              <w:jc w:val="left"/>
              <w:rPr/>
            </w:pPr>
            <w:r>
              <w:rPr/>
              <w:t>$</w:t>
            </w:r>
          </w:p>
        </w:tc>
        <w:tc>
          <w:tcPr>
            <w:tcW w:w="2169" w:type="dxa"/>
            <w:tcBorders>
              <w:bottom w:val="double" w:sz="10" w:space="0" w:color="000000"/>
            </w:tcBorders>
            <w:tcMar>
              <w:bottom w:w="28" w:type="dxa"/>
            </w:tcMar>
            <w:vAlign w:val="center"/>
          </w:tcPr>
          <w:p>
            <w:pPr>
              <w:pStyle w:val="TableContents"/>
              <w:bidi w:val="0"/>
              <w:spacing w:before="0" w:after="283"/>
              <w:jc w:val="right"/>
              <w:rPr/>
            </w:pPr>
            <w:r>
              <w:rPr/>
              <w:t>30,808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double" w:sz="10" w:space="0" w:color="000000"/>
            </w:tcBorders>
            <w:tcMar>
              <w:bottom w:w="28" w:type="dxa"/>
            </w:tcMar>
            <w:vAlign w:val="center"/>
          </w:tcPr>
          <w:p>
            <w:pPr>
              <w:pStyle w:val="TableContents"/>
              <w:bidi w:val="0"/>
              <w:spacing w:before="0" w:after="283"/>
              <w:jc w:val="left"/>
              <w:rPr/>
            </w:pPr>
            <w:r>
              <w:rPr/>
              <w:t>$</w:t>
            </w:r>
          </w:p>
        </w:tc>
        <w:tc>
          <w:tcPr>
            <w:tcW w:w="862"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31,822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62,630</w:t>
            </w:r>
          </w:p>
        </w:tc>
        <w:tc>
          <w:tcPr>
            <w:tcW w:w="1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28" w:type="dxa"/>
          <w:right w:w="0" w:type="dxa"/>
        </w:tblCellMar>
      </w:tblPr>
      <w:tblGrid>
        <w:gridCol w:w="2750"/>
        <w:gridCol w:w="90"/>
        <w:gridCol w:w="180"/>
        <w:gridCol w:w="754"/>
        <w:gridCol w:w="90"/>
        <w:gridCol w:w="90"/>
        <w:gridCol w:w="285"/>
        <w:gridCol w:w="1115"/>
        <w:gridCol w:w="125"/>
        <w:gridCol w:w="90"/>
        <w:gridCol w:w="195"/>
        <w:gridCol w:w="814"/>
        <w:gridCol w:w="135"/>
      </w:tblGrid>
      <w:tr>
        <w:trPr/>
        <w:tc>
          <w:tcPr>
            <w:tcW w:w="2750" w:type="dxa"/>
            <w:tcBorders>
              <w:bottom w:val="single" w:sz="12" w:space="0" w:color="000000"/>
            </w:tcBorders>
            <w:vAlign w:val="center"/>
          </w:tcPr>
          <w:p>
            <w:pPr>
              <w:pStyle w:val="TableContents"/>
              <w:bidi w:val="0"/>
              <w:spacing w:before="0" w:after="283"/>
              <w:jc w:val="both"/>
              <w:rPr>
                <w:b/>
              </w:rPr>
            </w:pPr>
            <w:r>
              <w:rPr>
                <w:b/>
              </w:rPr>
              <w:t>As of December 28, 2025</w:t>
            </w:r>
          </w:p>
        </w:tc>
        <w:tc>
          <w:tcPr>
            <w:tcW w:w="9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b/>
              </w:rPr>
            </w:pPr>
            <w:r>
              <w:rPr>
                <w:b/>
              </w:rPr>
              <w:t>Accumulated</w:t>
              <w:br/>
              <w:t>Amortization</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9" w:type="dxa"/>
            <w:gridSpan w:val="2"/>
            <w:tcBorders>
              <w:bottom w:val="single" w:sz="12" w:space="0" w:color="000000"/>
            </w:tcBorders>
            <w:vAlign w:val="center"/>
          </w:tcPr>
          <w:p>
            <w:pPr>
              <w:pStyle w:val="TableContents"/>
              <w:bidi w:val="0"/>
              <w:spacing w:before="0" w:after="283"/>
              <w:jc w:val="center"/>
              <w:rPr>
                <w:b/>
              </w:rPr>
            </w:pPr>
            <w:r>
              <w:rPr>
                <w:b/>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pPr>
            <w:r>
              <w:rPr/>
              <w:t>Customer related intangibles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283"/>
              <w:jc w:val="right"/>
              <w:rPr/>
            </w:pPr>
            <w:r>
              <w:rPr/>
              <w:t>34,000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w:t>
            </w:r>
          </w:p>
        </w:tc>
        <w:tc>
          <w:tcPr>
            <w:tcW w:w="1115" w:type="dxa"/>
            <w:tcBorders/>
            <w:shd w:fill="CCEEFF" w:val="clear"/>
            <w:tcMar>
              <w:bottom w:w="0" w:type="dxa"/>
            </w:tcMar>
            <w:vAlign w:val="center"/>
          </w:tcPr>
          <w:p>
            <w:pPr>
              <w:pStyle w:val="TableContents"/>
              <w:bidi w:val="0"/>
              <w:spacing w:before="0" w:after="283"/>
              <w:jc w:val="right"/>
              <w:rPr/>
            </w:pPr>
            <w:r>
              <w:rPr/>
              <w:t>(3,198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w:t>
            </w:r>
          </w:p>
        </w:tc>
        <w:tc>
          <w:tcPr>
            <w:tcW w:w="814" w:type="dxa"/>
            <w:tcBorders/>
            <w:shd w:fill="CCEEFF" w:val="clear"/>
            <w:tcMar>
              <w:bottom w:w="0" w:type="dxa"/>
            </w:tcMar>
            <w:vAlign w:val="center"/>
          </w:tcPr>
          <w:p>
            <w:pPr>
              <w:pStyle w:val="TableContents"/>
              <w:bidi w:val="0"/>
              <w:spacing w:before="0" w:after="283"/>
              <w:jc w:val="right"/>
              <w:rPr/>
            </w:pPr>
            <w:r>
              <w:rPr/>
              <w:t>30,802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pPr>
            <w:r>
              <w:rPr/>
              <w:t>Trademarks</w:t>
            </w:r>
          </w:p>
        </w:tc>
        <w:tc>
          <w:tcPr>
            <w:tcW w:w="90" w:type="dxa"/>
            <w:tcBorders/>
            <w:tcMar>
              <w:bottom w:w="0" w:type="dxa"/>
            </w:tcMar>
            <w:vAlign w:val="center"/>
          </w:tcPr>
          <w:p>
            <w:pPr>
              <w:pStyle w:val="TableContents"/>
              <w:bidi w:val="0"/>
              <w:spacing w:before="0" w:after="283"/>
              <w:jc w:val="left"/>
              <w:rPr/>
            </w:pPr>
            <w:r>
              <w:rPr/>
              <w:t> </w:t>
            </w:r>
          </w:p>
        </w:tc>
        <w:tc>
          <w:tcPr>
            <w:tcW w:w="180"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right"/>
              <w:rPr/>
            </w:pPr>
            <w:r>
              <w:rPr/>
              <w:t>18,394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pPr>
            <w:r>
              <w:rPr/>
              <w:t>(1,707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tcMar>
              <w:bottom w:w="0" w:type="dxa"/>
            </w:tcMar>
            <w:vAlign w:val="center"/>
          </w:tcPr>
          <w:p>
            <w:pPr>
              <w:pStyle w:val="TableContents"/>
              <w:bidi w:val="0"/>
              <w:spacing w:before="0" w:after="283"/>
              <w:jc w:val="left"/>
              <w:rPr/>
            </w:pPr>
            <w:r>
              <w:rPr/>
              <w:t> </w:t>
            </w:r>
          </w:p>
        </w:tc>
        <w:tc>
          <w:tcPr>
            <w:tcW w:w="814" w:type="dxa"/>
            <w:tcBorders/>
            <w:tcMar>
              <w:bottom w:w="0" w:type="dxa"/>
            </w:tcMar>
            <w:vAlign w:val="center"/>
          </w:tcPr>
          <w:p>
            <w:pPr>
              <w:pStyle w:val="TableContents"/>
              <w:bidi w:val="0"/>
              <w:spacing w:before="0" w:after="283"/>
              <w:jc w:val="right"/>
              <w:rPr/>
            </w:pPr>
            <w:r>
              <w:rPr/>
              <w:t>16,687</w:t>
            </w:r>
          </w:p>
        </w:tc>
        <w:tc>
          <w:tcPr>
            <w:tcW w:w="13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both"/>
              <w:rPr/>
            </w:pPr>
            <w:r>
              <w:rPr/>
              <w:t>Developed technology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0" w:type="dxa"/>
            <w:tcBorders>
              <w:bottom w:val="single" w:sz="12" w:space="0" w:color="000000"/>
            </w:tcBorders>
            <w:shd w:fill="CCEEFF" w:val="clear"/>
            <w:vAlign w:val="center"/>
          </w:tcPr>
          <w:p>
            <w:pPr>
              <w:pStyle w:val="TableContents"/>
              <w:bidi w:val="0"/>
              <w:spacing w:before="0" w:after="283"/>
              <w:jc w:val="left"/>
              <w:rPr/>
            </w:pPr>
            <w:r>
              <w:rPr/>
              <w:t> </w:t>
            </w:r>
          </w:p>
        </w:tc>
        <w:tc>
          <w:tcPr>
            <w:tcW w:w="754" w:type="dxa"/>
            <w:tcBorders>
              <w:bottom w:val="single" w:sz="12" w:space="0" w:color="000000"/>
            </w:tcBorders>
            <w:shd w:fill="CCEEFF" w:val="clear"/>
            <w:vAlign w:val="center"/>
          </w:tcPr>
          <w:p>
            <w:pPr>
              <w:pStyle w:val="TableContents"/>
              <w:bidi w:val="0"/>
              <w:spacing w:before="0" w:after="283"/>
              <w:jc w:val="right"/>
              <w:rPr/>
            </w:pPr>
            <w:r>
              <w:rPr/>
              <w:t>5,300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vAlign w:val="center"/>
          </w:tcPr>
          <w:p>
            <w:pPr>
              <w:pStyle w:val="TableContents"/>
              <w:bidi w:val="0"/>
              <w:spacing w:before="0" w:after="283"/>
              <w:jc w:val="right"/>
              <w:rPr/>
            </w:pPr>
            <w:r>
              <w:rPr/>
              <w:t>(1,975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pPr>
            <w:r>
              <w:rPr/>
              <w:t>3,325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both"/>
              <w:rPr/>
            </w:pPr>
            <w:r>
              <w:rPr/>
              <w:t>Total</w:t>
            </w:r>
          </w:p>
        </w:tc>
        <w:tc>
          <w:tcPr>
            <w:tcW w:w="90" w:type="dxa"/>
            <w:tcBorders/>
            <w:tcMar>
              <w:bottom w:w="0" w:type="dxa"/>
            </w:tcMar>
            <w:vAlign w:val="center"/>
          </w:tcPr>
          <w:p>
            <w:pPr>
              <w:pStyle w:val="TableContents"/>
              <w:bidi w:val="0"/>
              <w:spacing w:before="0" w:after="283"/>
              <w:jc w:val="left"/>
              <w:rPr/>
            </w:pPr>
            <w:r>
              <w:rPr/>
              <w:t> </w:t>
            </w:r>
          </w:p>
        </w:tc>
        <w:tc>
          <w:tcPr>
            <w:tcW w:w="180" w:type="dxa"/>
            <w:tcBorders>
              <w:bottom w:val="double" w:sz="10" w:space="0" w:color="000000"/>
            </w:tcBorders>
            <w:vAlign w:val="center"/>
          </w:tcPr>
          <w:p>
            <w:pPr>
              <w:pStyle w:val="TableContents"/>
              <w:bidi w:val="0"/>
              <w:spacing w:before="0" w:after="283"/>
              <w:jc w:val="left"/>
              <w:rPr/>
            </w:pPr>
            <w:r>
              <w:rPr/>
              <w:t>$</w:t>
            </w:r>
          </w:p>
        </w:tc>
        <w:tc>
          <w:tcPr>
            <w:tcW w:w="754" w:type="dxa"/>
            <w:tcBorders>
              <w:bottom w:val="double" w:sz="10" w:space="0" w:color="000000"/>
            </w:tcBorders>
            <w:vAlign w:val="center"/>
          </w:tcPr>
          <w:p>
            <w:pPr>
              <w:pStyle w:val="TableContents"/>
              <w:bidi w:val="0"/>
              <w:spacing w:before="0" w:after="283"/>
              <w:jc w:val="right"/>
              <w:rPr/>
            </w:pPr>
            <w:r>
              <w:rPr/>
              <w:t>57,694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vAlign w:val="center"/>
          </w:tcPr>
          <w:p>
            <w:pPr>
              <w:pStyle w:val="TableContents"/>
              <w:bidi w:val="0"/>
              <w:spacing w:before="0" w:after="283"/>
              <w:jc w:val="left"/>
              <w:rPr/>
            </w:pPr>
            <w:r>
              <w:rPr/>
              <w:t>$</w:t>
            </w:r>
          </w:p>
        </w:tc>
        <w:tc>
          <w:tcPr>
            <w:tcW w:w="1115" w:type="dxa"/>
            <w:tcBorders>
              <w:bottom w:val="double" w:sz="10" w:space="0" w:color="000000"/>
            </w:tcBorders>
            <w:vAlign w:val="center"/>
          </w:tcPr>
          <w:p>
            <w:pPr>
              <w:pStyle w:val="TableContents"/>
              <w:bidi w:val="0"/>
              <w:spacing w:before="0" w:after="283"/>
              <w:jc w:val="right"/>
              <w:rPr/>
            </w:pPr>
            <w:r>
              <w:rPr/>
              <w:t>(6,880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95" w:type="dxa"/>
            <w:tcBorders>
              <w:bottom w:val="double" w:sz="10" w:space="0" w:color="000000"/>
            </w:tcBorders>
            <w:vAlign w:val="center"/>
          </w:tcPr>
          <w:p>
            <w:pPr>
              <w:pStyle w:val="TableContents"/>
              <w:bidi w:val="0"/>
              <w:spacing w:before="0" w:after="283"/>
              <w:jc w:val="left"/>
              <w:rPr/>
            </w:pPr>
            <w:r>
              <w:rPr/>
              <w:t>$</w:t>
            </w:r>
          </w:p>
        </w:tc>
        <w:tc>
          <w:tcPr>
            <w:tcW w:w="814" w:type="dxa"/>
            <w:tcBorders>
              <w:bottom w:val="double" w:sz="10" w:space="0" w:color="000000"/>
            </w:tcBorders>
            <w:vAlign w:val="center"/>
          </w:tcPr>
          <w:p>
            <w:pPr>
              <w:pStyle w:val="TableContents"/>
              <w:bidi w:val="0"/>
              <w:spacing w:before="0" w:after="283"/>
              <w:jc w:val="right"/>
              <w:rPr/>
            </w:pPr>
            <w:r>
              <w:rPr/>
              <w:t>50,814</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710" w:type="dxa"/>
        <w:jc w:val="left"/>
        <w:tblInd w:w="0" w:type="dxa"/>
        <w:tblLayout w:type="fixed"/>
        <w:tblCellMar>
          <w:top w:w="0" w:type="dxa"/>
          <w:left w:w="0" w:type="dxa"/>
          <w:bottom w:w="28" w:type="dxa"/>
          <w:right w:w="0" w:type="dxa"/>
        </w:tblCellMar>
      </w:tblPr>
      <w:tblGrid>
        <w:gridCol w:w="2150"/>
        <w:gridCol w:w="90"/>
        <w:gridCol w:w="187"/>
        <w:gridCol w:w="748"/>
        <w:gridCol w:w="90"/>
        <w:gridCol w:w="90"/>
        <w:gridCol w:w="318"/>
        <w:gridCol w:w="872"/>
        <w:gridCol w:w="110"/>
        <w:gridCol w:w="90"/>
        <w:gridCol w:w="166"/>
        <w:gridCol w:w="664"/>
        <w:gridCol w:w="135"/>
      </w:tblGrid>
      <w:tr>
        <w:trPr/>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of December 29, 2024</w:t>
            </w:r>
          </w:p>
        </w:tc>
        <w:tc>
          <w:tcPr>
            <w:tcW w:w="9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135" w:type="dxa"/>
            <w:tcBorders/>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Developed technology </w:t>
            </w:r>
          </w:p>
        </w:tc>
        <w:tc>
          <w:tcPr>
            <w:tcW w:w="90" w:type="dxa"/>
            <w:tcBorders/>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vAlign w:val="center"/>
          </w:tcPr>
          <w:p>
            <w:pPr>
              <w:pStyle w:val="TableContents"/>
              <w:bidi w:val="0"/>
              <w:spacing w:before="0" w:after="283"/>
              <w:jc w:val="left"/>
              <w:rPr/>
            </w:pPr>
            <w:r>
              <w:rPr/>
              <w:t> </w:t>
            </w:r>
          </w:p>
        </w:tc>
        <w:tc>
          <w:tcPr>
            <w:tcW w:w="748"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18" w:type="dxa"/>
            <w:tcBorders>
              <w:bottom w:val="single" w:sz="12" w:space="0" w:color="000000"/>
            </w:tcBorders>
            <w:vAlign w:val="center"/>
          </w:tcPr>
          <w:p>
            <w:pPr>
              <w:pStyle w:val="TableContents"/>
              <w:bidi w:val="0"/>
              <w:spacing w:before="0" w:after="283"/>
              <w:jc w:val="left"/>
              <w:rPr/>
            </w:pPr>
            <w:r>
              <w:rPr/>
              <w:t> </w:t>
            </w:r>
          </w:p>
        </w:tc>
        <w:tc>
          <w:tcPr>
            <w:tcW w:w="872"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tcMar>
              <w:bottom w:w="0" w:type="dxa"/>
            </w:tcMar>
            <w:vAlign w:val="center"/>
          </w:tcPr>
          <w:p>
            <w:pPr>
              <w:pStyle w:val="TableContents"/>
              <w:bidi w:val="0"/>
              <w:spacing w:before="0" w:after="283"/>
              <w:jc w:val="left"/>
              <w:rPr/>
            </w:pPr>
            <w:r>
              <w:rPr/>
              <w:t> </w:t>
            </w:r>
          </w:p>
        </w:tc>
        <w:tc>
          <w:tcPr>
            <w:tcW w:w="166" w:type="dxa"/>
            <w:tcBorders>
              <w:bottom w:val="single" w:sz="12" w:space="0" w:color="000000"/>
            </w:tcBorders>
            <w:vAlign w:val="center"/>
          </w:tcPr>
          <w:p>
            <w:pPr>
              <w:pStyle w:val="TableContents"/>
              <w:bidi w:val="0"/>
              <w:spacing w:before="0" w:after="283"/>
              <w:jc w:val="left"/>
              <w:rPr/>
            </w:pPr>
            <w:r>
              <w:rPr/>
              <w:t> </w:t>
            </w:r>
          </w:p>
        </w:tc>
        <w:tc>
          <w:tcPr>
            <w:tcW w:w="664"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135" w:type="dxa"/>
            <w:tcBorders/>
            <w:tcMar>
              <w:bottom w:w="0" w:type="dxa"/>
            </w:tcMar>
            <w:vAlign w:val="center"/>
          </w:tcPr>
          <w:p>
            <w:pPr>
              <w:pStyle w:val="TableContents"/>
              <w:bidi w:val="0"/>
              <w:spacing w:before="0" w:after="283"/>
              <w:jc w:val="left"/>
              <w:rPr/>
            </w:pPr>
            <w:r>
              <w:rPr/>
              <w:t> </w:t>
            </w:r>
          </w:p>
        </w:tc>
      </w:tr>
      <w:tr>
        <w:trPr/>
        <w:tc>
          <w:tcPr>
            <w:tcW w:w="21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8"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weighted average remaining life of these intangible assets as of December 28, 2025 and December 29, 2024 (</w:t>
      </w:r>
      <w:r>
        <w:rPr>
          <w:rFonts w:ascii="Times New Roman;Times;Serif" w:hAnsi="Times New Roman;Times;Serif"/>
          <w:b w:val="false"/>
          <w:i/>
          <w:caps w:val="false"/>
          <w:smallCaps w:val="false"/>
          <w:sz w:val="20"/>
        </w:rPr>
        <w:t>in years</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tbl>
      <w:tblPr>
        <w:tblW w:w="4753" w:type="dxa"/>
        <w:jc w:val="left"/>
        <w:tblInd w:w="0" w:type="dxa"/>
        <w:tblLayout w:type="fixed"/>
        <w:tblCellMar>
          <w:top w:w="0" w:type="dxa"/>
          <w:left w:w="0" w:type="dxa"/>
          <w:bottom w:w="0" w:type="dxa"/>
          <w:right w:w="0" w:type="dxa"/>
        </w:tblCellMar>
      </w:tblPr>
      <w:tblGrid>
        <w:gridCol w:w="1940"/>
        <w:gridCol w:w="90"/>
        <w:gridCol w:w="216"/>
        <w:gridCol w:w="988"/>
        <w:gridCol w:w="90"/>
        <w:gridCol w:w="90"/>
        <w:gridCol w:w="274"/>
        <w:gridCol w:w="930"/>
        <w:gridCol w:w="135"/>
      </w:tblGrid>
      <w:tr>
        <w:trPr/>
        <w:tc>
          <w:tcPr>
            <w:tcW w:w="1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remaining amortization expense of intangible assets with finite useful lives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4" w:type="dxa"/>
        <w:jc w:val="left"/>
        <w:tblInd w:w="0" w:type="dxa"/>
        <w:tblLayout w:type="fixed"/>
        <w:tblCellMar>
          <w:top w:w="0" w:type="dxa"/>
          <w:left w:w="0" w:type="dxa"/>
          <w:bottom w:w="28" w:type="dxa"/>
          <w:right w:w="0" w:type="dxa"/>
        </w:tblCellMar>
      </w:tblPr>
      <w:tblGrid>
        <w:gridCol w:w="1220"/>
        <w:gridCol w:w="90"/>
        <w:gridCol w:w="281"/>
        <w:gridCol w:w="1178"/>
        <w:gridCol w:w="135"/>
      </w:tblGrid>
      <w:tr>
        <w:trPr/>
        <w:tc>
          <w:tcPr>
            <w:tcW w:w="1220" w:type="dxa"/>
            <w:tcBorders>
              <w:bottom w:val="single" w:sz="12" w:space="0" w:color="000000"/>
            </w:tcBorders>
            <w:vAlign w:val="center"/>
          </w:tcPr>
          <w:p>
            <w:pPr>
              <w:pStyle w:val="TableContents"/>
              <w:bidi w:val="0"/>
              <w:spacing w:before="0" w:after="283"/>
              <w:jc w:val="left"/>
              <w:rPr>
                <w:b/>
              </w:rPr>
            </w:pPr>
            <w:r>
              <w:rPr>
                <w:b/>
              </w:rPr>
              <w:t>Fiscal Year</w:t>
            </w:r>
          </w:p>
        </w:tc>
        <w:tc>
          <w:tcPr>
            <w:tcW w:w="9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Estimated</w:t>
              <w:br/>
              <w:t xml:space="preserve">Amortization </w:t>
              <w:br/>
              <w:t>Expense</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w:t>
            </w:r>
          </w:p>
        </w:tc>
        <w:tc>
          <w:tcPr>
            <w:tcW w:w="1178" w:type="dxa"/>
            <w:tcBorders/>
            <w:shd w:fill="CCEEFF" w:val="clear"/>
            <w:tcMar>
              <w:bottom w:w="0" w:type="dxa"/>
            </w:tcMar>
            <w:vAlign w:val="center"/>
          </w:tcPr>
          <w:p>
            <w:pPr>
              <w:pStyle w:val="TableContents"/>
              <w:bidi w:val="0"/>
              <w:spacing w:before="0" w:after="283"/>
              <w:jc w:val="right"/>
              <w:rPr/>
            </w:pPr>
            <w:r>
              <w:rPr/>
              <w:t>8,501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281" w:type="dxa"/>
            <w:tcBorders/>
            <w:tcMar>
              <w:bottom w:w="0" w:type="dxa"/>
            </w:tcMar>
            <w:vAlign w:val="center"/>
          </w:tcPr>
          <w:p>
            <w:pPr>
              <w:pStyle w:val="TableContents"/>
              <w:bidi w:val="0"/>
              <w:spacing w:before="0" w:after="283"/>
              <w:jc w:val="left"/>
              <w:rPr/>
            </w:pPr>
            <w:r>
              <w:rPr/>
              <w:t> </w:t>
            </w:r>
          </w:p>
        </w:tc>
        <w:tc>
          <w:tcPr>
            <w:tcW w:w="1178" w:type="dxa"/>
            <w:tcBorders/>
            <w:tcMar>
              <w:bottom w:w="0" w:type="dxa"/>
            </w:tcMar>
            <w:vAlign w:val="center"/>
          </w:tcPr>
          <w:p>
            <w:pPr>
              <w:pStyle w:val="TableContents"/>
              <w:bidi w:val="0"/>
              <w:spacing w:before="0" w:after="283"/>
              <w:jc w:val="right"/>
              <w:rPr/>
            </w:pPr>
            <w:r>
              <w:rPr/>
              <w:t>6,234</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right"/>
              <w:rPr/>
            </w:pPr>
            <w:r>
              <w:rPr/>
              <w:t>4,809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281" w:type="dxa"/>
            <w:tcBorders/>
            <w:tcMar>
              <w:bottom w:w="0" w:type="dxa"/>
            </w:tcMar>
            <w:vAlign w:val="center"/>
          </w:tcPr>
          <w:p>
            <w:pPr>
              <w:pStyle w:val="TableContents"/>
              <w:bidi w:val="0"/>
              <w:spacing w:before="0" w:after="283"/>
              <w:jc w:val="left"/>
              <w:rPr/>
            </w:pPr>
            <w:r>
              <w:rPr/>
              <w:t> </w:t>
            </w:r>
          </w:p>
        </w:tc>
        <w:tc>
          <w:tcPr>
            <w:tcW w:w="1178" w:type="dxa"/>
            <w:tcBorders/>
            <w:tcMar>
              <w:bottom w:w="0" w:type="dxa"/>
            </w:tcMar>
            <w:vAlign w:val="center"/>
          </w:tcPr>
          <w:p>
            <w:pPr>
              <w:pStyle w:val="TableContents"/>
              <w:bidi w:val="0"/>
              <w:spacing w:before="0" w:after="283"/>
              <w:jc w:val="right"/>
              <w:rPr/>
            </w:pPr>
            <w:r>
              <w:rPr/>
              <w:t>4,809</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right"/>
              <w:rPr/>
            </w:pPr>
            <w:r>
              <w:rPr/>
              <w:t>4,809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220"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281" w:type="dxa"/>
            <w:tcBorders>
              <w:bottom w:val="single" w:sz="12" w:space="0" w:color="000000"/>
            </w:tcBorders>
            <w:vAlign w:val="center"/>
          </w:tcPr>
          <w:p>
            <w:pPr>
              <w:pStyle w:val="TableContents"/>
              <w:bidi w:val="0"/>
              <w:spacing w:before="0" w:after="283"/>
              <w:jc w:val="left"/>
              <w:rPr/>
            </w:pPr>
            <w:r>
              <w:rPr/>
              <w:t> </w:t>
            </w:r>
          </w:p>
        </w:tc>
        <w:tc>
          <w:tcPr>
            <w:tcW w:w="1178" w:type="dxa"/>
            <w:tcBorders>
              <w:bottom w:val="single" w:sz="12" w:space="0" w:color="000000"/>
            </w:tcBorders>
            <w:vAlign w:val="center"/>
          </w:tcPr>
          <w:p>
            <w:pPr>
              <w:pStyle w:val="TableContents"/>
              <w:bidi w:val="0"/>
              <w:spacing w:before="0" w:after="283"/>
              <w:jc w:val="right"/>
              <w:rPr/>
            </w:pPr>
            <w:r>
              <w:rPr/>
              <w:t>21,652</w:t>
            </w:r>
          </w:p>
        </w:tc>
        <w:tc>
          <w:tcPr>
            <w:tcW w:w="135" w:type="dxa"/>
            <w:tcBorders/>
            <w:tcMar>
              <w:bottom w:w="0" w:type="dxa"/>
            </w:tcMar>
            <w:vAlign w:val="center"/>
          </w:tcPr>
          <w:p>
            <w:pPr>
              <w:pStyle w:val="TableContents"/>
              <w:bidi w:val="0"/>
              <w:spacing w:before="0" w:after="283"/>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1" w:type="dxa"/>
            <w:tcBorders>
              <w:bottom w:val="double" w:sz="10" w:space="0" w:color="000000"/>
            </w:tcBorders>
            <w:shd w:fill="CCEEFF" w:val="clear"/>
            <w:vAlign w:val="center"/>
          </w:tcPr>
          <w:p>
            <w:pPr>
              <w:pStyle w:val="TableContents"/>
              <w:bidi w:val="0"/>
              <w:spacing w:before="0" w:after="283"/>
              <w:jc w:val="left"/>
              <w:rPr/>
            </w:pPr>
            <w:r>
              <w:rPr/>
              <w:t>$</w:t>
            </w:r>
          </w:p>
        </w:tc>
        <w:tc>
          <w:tcPr>
            <w:tcW w:w="1178" w:type="dxa"/>
            <w:tcBorders>
              <w:bottom w:val="double" w:sz="10" w:space="0" w:color="000000"/>
            </w:tcBorders>
            <w:shd w:fill="CCEEFF" w:val="clear"/>
            <w:vAlign w:val="center"/>
          </w:tcPr>
          <w:p>
            <w:pPr>
              <w:pStyle w:val="TableContents"/>
              <w:bidi w:val="0"/>
              <w:spacing w:before="0" w:after="283"/>
              <w:jc w:val="right"/>
              <w:rPr/>
            </w:pPr>
            <w:r>
              <w:rPr/>
              <w:t>50,814</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continue to hold some or all of the FPA shares on the Maturity Date and the trading price of the Company’s common stock is below the applicable FPA sale price, the Company expects the FPA Investors to exercise their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Times;Serif" w:hAnsi="Times New Roman;Times;Serif"/>
          <w:b/>
          <w:i w:val="false"/>
          <w:caps w:val="false"/>
          <w:smallCaps w:val="false"/>
          <w:sz w:val="20"/>
        </w:rPr>
        <w:t>Note 5 – Fair Value Measurements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09"/>
        <w:gridCol w:w="90"/>
        <w:gridCol w:w="242"/>
        <w:gridCol w:w="1185"/>
        <w:gridCol w:w="125"/>
        <w:gridCol w:w="90"/>
        <w:gridCol w:w="242"/>
        <w:gridCol w:w="1185"/>
        <w:gridCol w:w="137"/>
      </w:tblGrid>
      <w:tr>
        <w:trPr/>
        <w:tc>
          <w:tcPr>
            <w:tcW w:w="69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7" w:type="dxa"/>
            <w:tcBorders/>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center"/>
              <w:rPr>
                <w:b/>
              </w:rPr>
            </w:pPr>
            <w:r>
              <w:rPr>
                <w:b/>
              </w:rPr>
              <w:t>December 29,</w:t>
            </w:r>
          </w:p>
        </w:tc>
        <w:tc>
          <w:tcPr>
            <w:tcW w:w="137" w:type="dxa"/>
            <w:tcBorders/>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7" w:type="dxa"/>
            <w:tcBorders/>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b/>
              </w:rPr>
            </w:pPr>
            <w:r>
              <w:rPr>
                <w:b/>
              </w:rPr>
              <w:t>Short term:</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Seller Note – related party</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Loan with related party</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1,500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1,500</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 short-term debt with related parties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21,500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1,500</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b/>
              </w:rPr>
            </w:pPr>
            <w:r>
              <w:rPr>
                <w:b/>
              </w:rPr>
              <w:t>Long-term:</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b/>
                <w:i/>
              </w:rPr>
            </w:pPr>
            <w:r>
              <w:rPr>
                <w:b/>
                <w:i/>
              </w:rPr>
              <w:t>12.0% senior unsecured convertible notes and related derivative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July 2024 Notes</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32,969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17,965</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2024 Notes – related parties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7,631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24,632</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Subtotal July 2024 Notes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42,597</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2025 Note – related party</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1,443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July 2024 Notes derivative liability</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19,604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13,563</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2024 Notes derivative liability – related party</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12,615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21,127</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Subtotal July 2024 Notes derivative liability</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32,219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34,690</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July 2025 Note derivative liability – related party</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3,246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November 2025 Note derivative liability – related party</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Total 12.0% senior unsecured convertible notes and derivative liabilities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79,487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77,287</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b/>
                <w:i/>
              </w:rPr>
            </w:pPr>
            <w:r>
              <w:rPr>
                <w:b/>
                <w:i/>
              </w:rPr>
              <w:t>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September 2024 Notes</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14,332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5,636</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September 2024 Notes – related parties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2,346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476</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Subtotal September 2024 Notes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16,678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September 2025 Notes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3,354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September 2024 Notes derivative liability</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37,930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55,474</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September 2024 Notes derivative liability – related parties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5,870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6,958</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Subtotal September 2024 Notes derivative liability</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43,800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62,432</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September 2025 Notes derivative liability</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14,756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Total 7.0% senior unsecured convertible notes and derivative liabilities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78,588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68,544</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 notes payable and derivative liabilities</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158,075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pPr>
            <w:r>
              <w:rPr/>
              <w:t>145,831</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Less current portion</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0"/>
              <w:jc w:val="right"/>
              <w:rPr/>
            </w:pPr>
            <w:r>
              <w:rPr/>
              <w:t>—</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 senior unsecured convertible notes payable and derivative liabilities, net of current portion</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Balance sheet classification</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Current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Notes payable, current portion</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2,786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Long-term liabilities</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Notes payable and derivative liabilities, net of current portion</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120,159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r>
              <w:rPr/>
              <w:t>92,638</w:t>
            </w:r>
          </w:p>
        </w:tc>
        <w:tc>
          <w:tcPr>
            <w:tcW w:w="137" w:type="dxa"/>
            <w:tcBorders/>
            <w:shd w:fill="CCEEFF" w:val="clear"/>
            <w:vAlign w:val="center"/>
          </w:tcPr>
          <w:p>
            <w:pPr>
              <w:pStyle w:val="TableContents"/>
              <w:bidi w:val="0"/>
              <w:spacing w:before="0" w:after="283"/>
              <w:jc w:val="left"/>
              <w:rPr/>
            </w:pPr>
            <w:r>
              <w:rPr/>
              <w:t> </w:t>
            </w:r>
          </w:p>
        </w:tc>
      </w:tr>
      <w:tr>
        <w:trPr/>
        <w:tc>
          <w:tcPr>
            <w:tcW w:w="6909" w:type="dxa"/>
            <w:tcBorders/>
            <w:vAlign w:val="center"/>
          </w:tcPr>
          <w:p>
            <w:pPr>
              <w:pStyle w:val="TableContents"/>
              <w:bidi w:val="0"/>
              <w:spacing w:before="0" w:after="283"/>
              <w:jc w:val="both"/>
              <w:rPr/>
            </w:pPr>
            <w:r>
              <w:rPr/>
              <w:t>Notes payable and derivative liabilities with related parties</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35,130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tcMar>
              <w:bottom w:w="28" w:type="dxa"/>
            </w:tcMar>
            <w:vAlign w:val="center"/>
          </w:tcPr>
          <w:p>
            <w:pPr>
              <w:pStyle w:val="TableContents"/>
              <w:bidi w:val="0"/>
              <w:spacing w:before="0" w:after="283"/>
              <w:jc w:val="right"/>
              <w:rPr/>
            </w:pPr>
            <w:r>
              <w:rPr/>
              <w:t>53,193</w:t>
            </w:r>
          </w:p>
        </w:tc>
        <w:tc>
          <w:tcPr>
            <w:tcW w:w="137" w:type="dxa"/>
            <w:tcBorders/>
            <w:vAlign w:val="center"/>
          </w:tcPr>
          <w:p>
            <w:pPr>
              <w:pStyle w:val="TableContents"/>
              <w:bidi w:val="0"/>
              <w:spacing w:before="0" w:after="283"/>
              <w:jc w:val="left"/>
              <w:rPr/>
            </w:pPr>
            <w:r>
              <w:rPr/>
              <w:t> </w:t>
            </w:r>
          </w:p>
        </w:tc>
      </w:tr>
      <w:tr>
        <w:trPr/>
        <w:tc>
          <w:tcPr>
            <w:tcW w:w="6909"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Times;Serif" w:hAnsi="Times New Roman;Times;Serif"/>
          <w:b/>
          <w:i w:val="false"/>
          <w:caps w:val="false"/>
          <w:smallCaps w:val="false"/>
          <w:sz w:val="20"/>
        </w:rPr>
        <w:t xml:space="preserve">Note 2 –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14 – Common Stock and Common Stock Warrants</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3305"/>
        <w:gridCol w:w="90"/>
        <w:gridCol w:w="223"/>
        <w:gridCol w:w="981"/>
        <w:gridCol w:w="110"/>
        <w:gridCol w:w="90"/>
        <w:gridCol w:w="223"/>
        <w:gridCol w:w="981"/>
        <w:gridCol w:w="155"/>
      </w:tblGrid>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 principal amount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59,587</w:t>
            </w:r>
          </w:p>
        </w:tc>
        <w:tc>
          <w:tcPr>
            <w:tcW w:w="15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2024 Notes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42,597</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with Carlyle and Kline Hill (as defined below) resulting in the Debt Exchange and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8"/>
        <w:gridCol w:w="9912"/>
      </w:tblGrid>
      <w:tr>
        <w:trPr/>
        <w:tc>
          <w:tcPr>
            <w:tcW w:w="10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05"/>
        <w:gridCol w:w="290"/>
        <w:gridCol w:w="8570"/>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7"/>
        <w:gridCol w:w="9803"/>
      </w:tblGrid>
      <w:tr>
        <w:trPr/>
        <w:tc>
          <w:tcPr>
            <w:tcW w:w="105"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87"/>
        <w:gridCol w:w="9813"/>
      </w:tblGrid>
      <w:tr>
        <w:trPr/>
        <w:tc>
          <w:tcPr>
            <w:tcW w:w="10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75"/>
        <w:gridCol w:w="902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335"/>
        <w:gridCol w:w="6530"/>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the Company’s common stock to Kline Hill.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date of the cancellation under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Company’s indebtedness to CS Solis was $37.2 million and the indebtedness to Kline Hill was comprised of 2018 bridge notes of $11.7 million, a revolving loan balance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transactions entered into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recorded a gain on the troubled debt restructuring of $22.3 million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29, 2024, 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recognized (i) accretion of the liability of the debt in CS Solis as related party interest expense of $3.9 million, (ii) $0.7 million of interest on the 2018 bridge notes, and (iii) $1.0 million of interest on the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894" w:type="dxa"/>
        <w:jc w:val="left"/>
        <w:tblInd w:w="0" w:type="dxa"/>
        <w:tblLayout w:type="fixed"/>
        <w:tblCellMar>
          <w:top w:w="0" w:type="dxa"/>
          <w:left w:w="0" w:type="dxa"/>
          <w:bottom w:w="0" w:type="dxa"/>
          <w:right w:w="0" w:type="dxa"/>
        </w:tblCellMar>
      </w:tblPr>
      <w:tblGrid>
        <w:gridCol w:w="4445"/>
        <w:gridCol w:w="90"/>
        <w:gridCol w:w="255"/>
        <w:gridCol w:w="949"/>
        <w:gridCol w:w="155"/>
      </w:tblGrid>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5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15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$0.4 million with coupon interest expense of $0.3 million and debt discount and issuance costs of $0.1 million, all of which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9" w:type="dxa"/>
        <w:jc w:val="left"/>
        <w:tblInd w:w="0" w:type="dxa"/>
        <w:tblLayout w:type="fixed"/>
        <w:tblCellMar>
          <w:top w:w="0" w:type="dxa"/>
          <w:left w:w="0" w:type="dxa"/>
          <w:bottom w:w="0" w:type="dxa"/>
          <w:right w:w="0" w:type="dxa"/>
        </w:tblCellMar>
      </w:tblPr>
      <w:tblGrid>
        <w:gridCol w:w="4940"/>
        <w:gridCol w:w="90"/>
        <w:gridCol w:w="255"/>
        <w:gridCol w:w="949"/>
        <w:gridCol w:w="155"/>
      </w:tblGrid>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5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15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November 2025 Note – related party</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less than $0.1 million with each of coupon interest and amortization of debt discount and issuance costs being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Times;Serif" w:hAnsi="Times New Roman;Times;Serif"/>
          <w:b/>
          <w:i w:val="false"/>
          <w:caps w:val="false"/>
          <w:smallCaps w:val="false"/>
          <w:sz w:val="20"/>
        </w:rPr>
        <w:t xml:space="preserve">Note 2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3815"/>
        <w:gridCol w:w="90"/>
        <w:gridCol w:w="223"/>
        <w:gridCol w:w="981"/>
        <w:gridCol w:w="110"/>
        <w:gridCol w:w="90"/>
        <w:gridCol w:w="223"/>
        <w:gridCol w:w="981"/>
        <w:gridCol w:w="155"/>
      </w:tblGrid>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5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15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September 2024 Notes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194" w:type="dxa"/>
        <w:jc w:val="left"/>
        <w:tblInd w:w="0" w:type="dxa"/>
        <w:tblLayout w:type="fixed"/>
        <w:tblCellMar>
          <w:top w:w="0" w:type="dxa"/>
          <w:left w:w="0" w:type="dxa"/>
          <w:bottom w:w="0" w:type="dxa"/>
          <w:right w:w="0" w:type="dxa"/>
        </w:tblCellMar>
      </w:tblPr>
      <w:tblGrid>
        <w:gridCol w:w="4490"/>
        <w:gridCol w:w="90"/>
        <w:gridCol w:w="256"/>
        <w:gridCol w:w="1188"/>
        <w:gridCol w:w="17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7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22,000</w:t>
            </w:r>
          </w:p>
        </w:tc>
        <w:tc>
          <w:tcPr>
            <w:tcW w:w="17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pPr>
            <w:r>
              <w:rPr/>
              <w:t>Less Unamortized debt discount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(18,646</w:t>
            </w:r>
          </w:p>
        </w:tc>
        <w:tc>
          <w:tcPr>
            <w:tcW w:w="170" w:type="dxa"/>
            <w:tcBorders/>
            <w:vAlign w:val="center"/>
          </w:tcPr>
          <w:p>
            <w:pPr>
              <w:pStyle w:val="TableContents"/>
              <w:bidi w:val="0"/>
              <w:spacing w:before="0" w:after="283"/>
              <w:jc w:val="left"/>
              <w:rPr/>
            </w:pPr>
            <w:r>
              <w:rPr/>
              <w:t>)</w:t>
            </w:r>
          </w:p>
        </w:tc>
      </w:tr>
      <w:tr>
        <w:trPr/>
        <w:tc>
          <w:tcPr>
            <w:tcW w:w="4490" w:type="dxa"/>
            <w:tcBorders/>
            <w:shd w:fill="CCEEFF" w:val="clear"/>
            <w:vAlign w:val="center"/>
          </w:tcPr>
          <w:p>
            <w:pPr>
              <w:pStyle w:val="TableContents"/>
              <w:bidi w:val="0"/>
              <w:spacing w:before="0" w:after="283"/>
              <w:jc w:val="both"/>
              <w:rPr/>
            </w:pPr>
            <w:r>
              <w:rPr/>
              <w:t>Net carrying amount of September 2025 Notes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3,354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$0.7 million with coupon interest of $0.4 million and amortization of debt discount and issuance costs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payments due in the next five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interest in connection with the exchanged notes, is as follows:</w:t>
      </w:r>
    </w:p>
    <w:p>
      <w:pPr>
        <w:pStyle w:val="TextBody"/>
        <w:bidi w:val="0"/>
        <w:spacing w:before="0" w:after="0"/>
        <w:ind w:left="0" w:right="0" w:hanging="0"/>
        <w:jc w:val="left"/>
        <w:rPr>
          <w:caps w:val="false"/>
          <w:smallCaps w:val="false"/>
        </w:rPr>
      </w:pPr>
      <w:r>
        <w:rPr>
          <w:caps w:val="false"/>
          <w:smallCaps w:val="false"/>
        </w:rPr>
        <w:t> </w:t>
      </w:r>
    </w:p>
    <w:tbl>
      <w:tblPr>
        <w:tblW w:w="3399" w:type="dxa"/>
        <w:jc w:val="left"/>
        <w:tblInd w:w="0" w:type="dxa"/>
        <w:tblLayout w:type="fixed"/>
        <w:tblCellMar>
          <w:top w:w="0" w:type="dxa"/>
          <w:left w:w="0" w:type="dxa"/>
          <w:bottom w:w="0" w:type="dxa"/>
          <w:right w:w="0" w:type="dxa"/>
        </w:tblCellMar>
      </w:tblPr>
      <w:tblGrid>
        <w:gridCol w:w="1550"/>
        <w:gridCol w:w="90"/>
        <w:gridCol w:w="286"/>
        <w:gridCol w:w="1338"/>
        <w:gridCol w:w="135"/>
      </w:tblGrid>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payment</w:t>
            </w:r>
          </w:p>
        </w:tc>
        <w:tc>
          <w:tcPr>
            <w:tcW w:w="13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9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90" w:type="dxa"/>
            <w:tcBorders/>
            <w:vAlign w:val="center"/>
          </w:tcPr>
          <w:p>
            <w:pPr>
              <w:pStyle w:val="TableContents"/>
              <w:bidi w:val="0"/>
              <w:spacing w:before="0" w:after="283"/>
              <w:jc w:val="left"/>
              <w:rPr/>
            </w:pPr>
            <w:r>
              <w:rPr/>
              <w:t> </w:t>
            </w:r>
          </w:p>
        </w:tc>
        <w:tc>
          <w:tcPr>
            <w:tcW w:w="2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143,266</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819" w:type="dxa"/>
        <w:jc w:val="left"/>
        <w:tblInd w:w="0" w:type="dxa"/>
        <w:tblLayout w:type="fixed"/>
        <w:tblCellMar>
          <w:top w:w="0" w:type="dxa"/>
          <w:left w:w="0" w:type="dxa"/>
          <w:bottom w:w="0" w:type="dxa"/>
          <w:right w:w="0" w:type="dxa"/>
        </w:tblCellMar>
      </w:tblPr>
      <w:tblGrid>
        <w:gridCol w:w="6965"/>
        <w:gridCol w:w="90"/>
        <w:gridCol w:w="241"/>
        <w:gridCol w:w="964"/>
        <w:gridCol w:w="110"/>
        <w:gridCol w:w="90"/>
        <w:gridCol w:w="223"/>
        <w:gridCol w:w="981"/>
        <w:gridCol w:w="155"/>
      </w:tblGrid>
      <w:tr>
        <w:trPr/>
        <w:tc>
          <w:tcPr>
            <w:tcW w:w="6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0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5"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15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15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15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on issuance of derivative liabilities </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155" w:type="dxa"/>
            <w:tcBorders/>
            <w:shd w:fill="CCEEFF" w:val="clear"/>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96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155" w:type="dxa"/>
            <w:tcBorders/>
            <w:vAlign w:val="center"/>
          </w:tcPr>
          <w:p>
            <w:pPr>
              <w:pStyle w:val="TableContents"/>
              <w:bidi w:val="0"/>
              <w:spacing w:before="0" w:after="283"/>
              <w:jc w:val="left"/>
              <w:rPr/>
            </w:pPr>
            <w:r>
              <w:rPr/>
              <w:t> </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non-operating income, net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9,347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$3.5 million and $0.3 million on the change in the fair value of derivative liabilities with related parties in the fiscal years ended December 28, 2025 and December 29, 2024, respectively.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290"/>
        <w:gridCol w:w="953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each of the years ended December 28, 2025 and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$3.0 million on the issuance of a derivative liability with a related party in the fiscal year ended December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290"/>
        <w:gridCol w:w="85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non-cash income with related party of $0.1 million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 leases vehicles under finance lease agreements. Operating and financing lease activity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8813" w:type="dxa"/>
        <w:jc w:val="left"/>
        <w:tblInd w:w="0" w:type="dxa"/>
        <w:tblLayout w:type="fixed"/>
        <w:tblCellMar>
          <w:top w:w="0" w:type="dxa"/>
          <w:left w:w="0" w:type="dxa"/>
          <w:bottom w:w="0" w:type="dxa"/>
          <w:right w:w="0" w:type="dxa"/>
        </w:tblCellMar>
      </w:tblPr>
      <w:tblGrid>
        <w:gridCol w:w="5750"/>
        <w:gridCol w:w="90"/>
        <w:gridCol w:w="278"/>
        <w:gridCol w:w="926"/>
        <w:gridCol w:w="215"/>
        <w:gridCol w:w="90"/>
        <w:gridCol w:w="278"/>
        <w:gridCol w:w="926"/>
        <w:gridCol w:w="260"/>
      </w:tblGrid>
      <w:tr>
        <w:trPr/>
        <w:tc>
          <w:tcPr>
            <w:tcW w:w="5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cost:</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lease liabilities</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cost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cost</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cost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1,633</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1,886</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6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minimum lease payments under non-cancellable leases are as follows as of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480"/>
        <w:gridCol w:w="90"/>
        <w:gridCol w:w="167"/>
        <w:gridCol w:w="558"/>
        <w:gridCol w:w="110"/>
        <w:gridCol w:w="90"/>
        <w:gridCol w:w="212"/>
        <w:gridCol w:w="708"/>
        <w:gridCol w:w="155"/>
      </w:tblGrid>
      <w:tr>
        <w:trPr/>
        <w:tc>
          <w:tcPr>
            <w:tcW w:w="2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Finance</w:t>
              <w:br/>
              <w:t>Leases</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w:t>
              <w:br/>
              <w:t>Leases</w:t>
            </w:r>
          </w:p>
        </w:tc>
        <w:tc>
          <w:tcPr>
            <w:tcW w:w="15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15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15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 and thereafter</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155"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liabilities</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w:t>
            </w:r>
          </w:p>
        </w:tc>
        <w:tc>
          <w:tcPr>
            <w:tcW w:w="15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balance sheet includes the following lease liabilities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93" w:type="dxa"/>
        <w:jc w:val="left"/>
        <w:tblInd w:w="0" w:type="dxa"/>
        <w:tblLayout w:type="fixed"/>
        <w:tblCellMar>
          <w:top w:w="0" w:type="dxa"/>
          <w:left w:w="0" w:type="dxa"/>
          <w:bottom w:w="0" w:type="dxa"/>
          <w:right w:w="0" w:type="dxa"/>
        </w:tblCellMar>
      </w:tblPr>
      <w:tblGrid>
        <w:gridCol w:w="6680"/>
        <w:gridCol w:w="90"/>
        <w:gridCol w:w="278"/>
        <w:gridCol w:w="926"/>
        <w:gridCol w:w="90"/>
        <w:gridCol w:w="90"/>
        <w:gridCol w:w="278"/>
        <w:gridCol w:w="926"/>
        <w:gridCol w:w="135"/>
      </w:tblGrid>
      <w:tr>
        <w:trPr/>
        <w:tc>
          <w:tcPr>
            <w:tcW w:w="6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13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3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35" w:type="dxa"/>
            <w:tcBorders/>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135"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 (Other long-term liabilities)</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3,675</w:t>
            </w:r>
          </w:p>
        </w:tc>
        <w:tc>
          <w:tcPr>
            <w:tcW w:w="135"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2,053</w:t>
            </w:r>
          </w:p>
        </w:tc>
        <w:tc>
          <w:tcPr>
            <w:tcW w:w="135" w:type="dxa"/>
            <w:tcBorders/>
            <w:shd w:fill="CCEEFF" w:val="clear"/>
            <w:vAlign w:val="center"/>
          </w:tcPr>
          <w:p>
            <w:pPr>
              <w:pStyle w:val="TableContents"/>
              <w:bidi w:val="0"/>
              <w:spacing w:before="0" w:after="283"/>
              <w:jc w:val="left"/>
              <w:rPr/>
            </w:pPr>
            <w:r>
              <w:rPr/>
              <w:t> </w:t>
            </w:r>
          </w:p>
        </w:tc>
      </w:tr>
      <w:tr>
        <w:trPr/>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noncurrent (Other long-term liabilities)</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135" w:type="dxa"/>
            <w:tcBorders/>
            <w:vAlign w:val="center"/>
          </w:tcPr>
          <w:p>
            <w:pPr>
              <w:pStyle w:val="TableContents"/>
              <w:bidi w:val="0"/>
              <w:spacing w:before="0" w:after="283"/>
              <w:jc w:val="left"/>
              <w:rPr/>
            </w:pPr>
            <w:r>
              <w:rPr/>
              <w:t> </w:t>
            </w:r>
          </w:p>
        </w:tc>
      </w:tr>
      <w:tr>
        <w:trPr/>
        <w:tc>
          <w:tcPr>
            <w:tcW w:w="66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liabilities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893" w:type="dxa"/>
        <w:jc w:val="left"/>
        <w:tblInd w:w="0" w:type="dxa"/>
        <w:tblLayout w:type="fixed"/>
        <w:tblCellMar>
          <w:top w:w="0" w:type="dxa"/>
          <w:left w:w="0" w:type="dxa"/>
          <w:bottom w:w="0" w:type="dxa"/>
          <w:right w:w="0" w:type="dxa"/>
        </w:tblCellMar>
      </w:tblPr>
      <w:tblGrid>
        <w:gridCol w:w="7040"/>
        <w:gridCol w:w="90"/>
        <w:gridCol w:w="255"/>
        <w:gridCol w:w="949"/>
        <w:gridCol w:w="110"/>
        <w:gridCol w:w="90"/>
        <w:gridCol w:w="278"/>
        <w:gridCol w:w="926"/>
        <w:gridCol w:w="155"/>
      </w:tblGrid>
      <w:tr>
        <w:trPr/>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5"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155"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liability from Business Combination</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and other</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 classification</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warranty current (Classified in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2,531</w:t>
            </w:r>
          </w:p>
        </w:tc>
        <w:tc>
          <w:tcPr>
            <w:tcW w:w="155" w:type="dxa"/>
            <w:tcBorders/>
            <w:shd w:fill="CCEEFF" w:val="clear"/>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w:t>
            </w:r>
          </w:p>
        </w:tc>
        <w:tc>
          <w:tcPr>
            <w:tcW w:w="155" w:type="dxa"/>
            <w:tcBorders/>
            <w:vAlign w:val="center"/>
          </w:tcPr>
          <w:p>
            <w:pPr>
              <w:pStyle w:val="TableContents"/>
              <w:bidi w:val="0"/>
              <w:spacing w:before="0" w:after="283"/>
              <w:jc w:val="left"/>
              <w:rPr/>
            </w:pPr>
            <w:r>
              <w:rPr/>
              <w:t> </w:t>
            </w:r>
          </w:p>
        </w:tc>
      </w:tr>
      <w:tr>
        <w:trPr/>
        <w:tc>
          <w:tcPr>
            <w:tcW w:w="7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warranty liability</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loss from continuing and discontinued operations before provision for income taxes for the fiscal years ended December 28, 2025 and December 29, 2024,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53" w:type="dxa"/>
        <w:jc w:val="left"/>
        <w:tblInd w:w="0" w:type="dxa"/>
        <w:tblLayout w:type="fixed"/>
        <w:tblCellMar>
          <w:top w:w="0" w:type="dxa"/>
          <w:left w:w="0" w:type="dxa"/>
          <w:bottom w:w="0" w:type="dxa"/>
          <w:right w:w="0" w:type="dxa"/>
        </w:tblCellMar>
      </w:tblPr>
      <w:tblGrid>
        <w:gridCol w:w="5270"/>
        <w:gridCol w:w="90"/>
        <w:gridCol w:w="267"/>
        <w:gridCol w:w="1237"/>
        <w:gridCol w:w="125"/>
        <w:gridCol w:w="90"/>
        <w:gridCol w:w="267"/>
        <w:gridCol w:w="1237"/>
        <w:gridCol w:w="170"/>
      </w:tblGrid>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Domestic</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(42,676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(54,444</w:t>
            </w:r>
          </w:p>
        </w:tc>
        <w:tc>
          <w:tcPr>
            <w:tcW w:w="170" w:type="dxa"/>
            <w:tcBorders/>
            <w:shd w:fill="CCEEFF"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170" w:type="dxa"/>
            <w:tcBorders/>
            <w:shd w:fill="CCEEFF" w:val="clear"/>
            <w:vAlign w:val="center"/>
          </w:tcPr>
          <w:p>
            <w:pPr>
              <w:pStyle w:val="TableContents"/>
              <w:bidi w:val="0"/>
              <w:spacing w:before="0" w:after="283"/>
              <w:jc w:val="left"/>
              <w:rPr/>
            </w:pPr>
            <w:r>
              <w:rPr/>
              <w:t>)</w:t>
            </w:r>
          </w:p>
        </w:tc>
      </w:tr>
      <w:tr>
        <w:trPr/>
        <w:tc>
          <w:tcPr>
            <w:tcW w:w="5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Loss from discontinued operations before income taxes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(2,007</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benefit from continuing and discontinued operations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33" w:type="dxa"/>
        <w:jc w:val="left"/>
        <w:tblInd w:w="0" w:type="dxa"/>
        <w:tblLayout w:type="fixed"/>
        <w:tblCellMar>
          <w:top w:w="0" w:type="dxa"/>
          <w:left w:w="0" w:type="dxa"/>
          <w:bottom w:w="0" w:type="dxa"/>
          <w:right w:w="0" w:type="dxa"/>
        </w:tblCellMar>
      </w:tblPr>
      <w:tblGrid>
        <w:gridCol w:w="6020"/>
        <w:gridCol w:w="90"/>
        <w:gridCol w:w="336"/>
        <w:gridCol w:w="1168"/>
        <w:gridCol w:w="90"/>
        <w:gridCol w:w="90"/>
        <w:gridCol w:w="206"/>
        <w:gridCol w:w="1298"/>
        <w:gridCol w:w="135"/>
      </w:tblGrid>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35"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Current income tax expense</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Federal</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0"/>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State</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278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Total current income tax expense</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Deferred income tax expense</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Federal</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State</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Total deferred income tax expense</w:t>
            </w:r>
          </w:p>
        </w:tc>
        <w:tc>
          <w:tcPr>
            <w:tcW w:w="90" w:type="dxa"/>
            <w:tcBorders/>
            <w:vAlign w:val="center"/>
          </w:tcPr>
          <w:p>
            <w:pPr>
              <w:pStyle w:val="TableContents"/>
              <w:bidi w:val="0"/>
              <w:spacing w:before="0" w:after="283"/>
              <w:jc w:val="left"/>
              <w:rPr/>
            </w:pPr>
            <w:r>
              <w:rPr/>
              <w:t> </w:t>
            </w:r>
          </w:p>
        </w:tc>
        <w:tc>
          <w:tcPr>
            <w:tcW w:w="3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tcMar>
              <w:bottom w:w="28" w:type="dxa"/>
            </w:tcMar>
            <w:vAlign w:val="center"/>
          </w:tcPr>
          <w:p>
            <w:pPr>
              <w:pStyle w:val="TableContents"/>
              <w:bidi w:val="0"/>
              <w:spacing w:before="0" w:after="283"/>
              <w:jc w:val="right"/>
              <w:rPr/>
            </w:pPr>
            <w:r>
              <w:rPr/>
              <w:t>1,300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Income tax expense from continuing operations</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Income tax expense as a component of discontinued operations</w:t>
            </w:r>
          </w:p>
        </w:tc>
        <w:tc>
          <w:tcPr>
            <w:tcW w:w="90" w:type="dxa"/>
            <w:tcBorders/>
            <w:shd w:fill="CCEEFF" w:val="clear"/>
            <w:vAlign w:val="center"/>
          </w:tcPr>
          <w:p>
            <w:pPr>
              <w:pStyle w:val="TableContents"/>
              <w:bidi w:val="0"/>
              <w:spacing w:before="0" w:after="283"/>
              <w:jc w:val="left"/>
              <w:rPr/>
            </w:pPr>
            <w:r>
              <w:rPr/>
              <w:t> </w:t>
            </w:r>
          </w:p>
        </w:tc>
        <w:tc>
          <w:tcPr>
            <w:tcW w:w="3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pStyle w:val="TextBody"/>
        <w:bidi w:val="0"/>
        <w:spacing w:before="0" w:after="0"/>
        <w:ind w:left="0" w:right="0" w:hanging="0"/>
        <w:jc w:val="both"/>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3905"/>
        <w:gridCol w:w="90"/>
        <w:gridCol w:w="182"/>
        <w:gridCol w:w="767"/>
        <w:gridCol w:w="125"/>
        <w:gridCol w:w="90"/>
        <w:gridCol w:w="236"/>
        <w:gridCol w:w="758"/>
        <w:gridCol w:w="365"/>
      </w:tblGrid>
      <w:tr>
        <w:trPr/>
        <w:tc>
          <w:tcPr>
            <w:tcW w:w="3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Dollars (</w:t>
            </w:r>
            <w:r>
              <w:rPr>
                <w:rFonts w:ascii="Times New Roman;Times;Serif" w:hAnsi="Times New Roman;Times;Serif"/>
                <w:b/>
                <w:i/>
                <w:sz w:val="20"/>
              </w:rPr>
              <w:t>in</w:t>
              <w:br/>
              <w:t>thousands</w:t>
            </w: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 on</w:t>
              <w:br/>
              <w:t>Effective</w:t>
              <w:br/>
              <w:t>Tax Rate</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Federal tax (benefit) at statutory rate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67" w:type="dxa"/>
            <w:tcBorders/>
            <w:shd w:fill="CCEEFF" w:val="clear"/>
            <w:vAlign w:val="center"/>
          </w:tcPr>
          <w:p>
            <w:pPr>
              <w:pStyle w:val="TableContents"/>
              <w:bidi w:val="0"/>
              <w:spacing w:before="0" w:after="283"/>
              <w:jc w:val="right"/>
              <w:rPr/>
            </w:pPr>
            <w:r>
              <w:rPr/>
              <w:t>(8,962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income taxes, net of federal tax benefit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(0.9</w:t>
            </w:r>
          </w:p>
        </w:tc>
        <w:tc>
          <w:tcPr>
            <w:tcW w:w="365" w:type="dxa"/>
            <w:tcBorders/>
            <w:vAlign w:val="center"/>
          </w:tcPr>
          <w:p>
            <w:pPr>
              <w:pStyle w:val="TableContents"/>
              <w:bidi w:val="0"/>
              <w:spacing w:before="0" w:after="283"/>
              <w:ind w:left="0" w:right="0" w:hanging="180"/>
              <w:jc w:val="left"/>
              <w:rPr/>
            </w:pPr>
            <w:r>
              <w:rPr/>
              <w:t>)</w:t>
            </w:r>
          </w:p>
        </w:tc>
      </w:tr>
      <w:tr>
        <w:trPr/>
        <w:tc>
          <w:tcPr>
            <w:tcW w:w="3905" w:type="dxa"/>
            <w:tcBorders/>
            <w:shd w:fill="CCEEFF" w:val="clear"/>
            <w:vAlign w:val="center"/>
          </w:tcPr>
          <w:p>
            <w:pPr>
              <w:pStyle w:val="TableContents"/>
              <w:bidi w:val="0"/>
              <w:spacing w:before="0" w:after="283"/>
              <w:jc w:val="left"/>
              <w:rPr/>
            </w:pPr>
            <w:r>
              <w:rPr/>
              <w:t>Foreign tax effects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0"/>
              <w:jc w:val="right"/>
              <w:rPr/>
            </w:pPr>
            <w:r>
              <w:rPr/>
              <w:t>—</w:t>
            </w:r>
          </w:p>
        </w:tc>
        <w:tc>
          <w:tcPr>
            <w:tcW w:w="36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vAlign w:val="center"/>
          </w:tcPr>
          <w:p>
            <w:pPr>
              <w:pStyle w:val="TableContents"/>
              <w:bidi w:val="0"/>
              <w:spacing w:before="0" w:after="283"/>
              <w:jc w:val="left"/>
              <w:rPr/>
            </w:pPr>
            <w:r>
              <w:rPr/>
              <w:t>Tax law changes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Effect of cross-border tax laws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0"/>
              <w:jc w:val="right"/>
              <w:rPr/>
            </w:pPr>
            <w:r>
              <w:rPr/>
              <w:t>—</w:t>
            </w:r>
          </w:p>
        </w:tc>
        <w:tc>
          <w:tcPr>
            <w:tcW w:w="36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vAlign w:val="center"/>
          </w:tcPr>
          <w:p>
            <w:pPr>
              <w:pStyle w:val="TableContents"/>
              <w:bidi w:val="0"/>
              <w:spacing w:before="0" w:after="283"/>
              <w:jc w:val="left"/>
              <w:rPr/>
            </w:pPr>
            <w:r>
              <w:rPr/>
              <w:t>Tax credits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11,328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(26.6</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3905" w:type="dxa"/>
            <w:tcBorders/>
            <w:vAlign w:val="center"/>
          </w:tcPr>
          <w:p>
            <w:pPr>
              <w:pStyle w:val="TableContents"/>
              <w:bidi w:val="0"/>
              <w:spacing w:before="0" w:after="283"/>
              <w:jc w:val="left"/>
              <w:rPr/>
            </w:pPr>
            <w:r>
              <w:rPr/>
              <w:t>Nondeductible items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0"/>
              <w:jc w:val="right"/>
              <w:rPr/>
            </w:pPr>
            <w:r>
              <w:rPr/>
              <w:t>—</w:t>
            </w:r>
          </w:p>
        </w:tc>
        <w:tc>
          <w:tcPr>
            <w:tcW w:w="365" w:type="dxa"/>
            <w:tcBorders/>
            <w:vAlign w:val="center"/>
          </w:tcPr>
          <w:p>
            <w:pPr>
              <w:pStyle w:val="TableContents"/>
              <w:bidi w:val="0"/>
              <w:spacing w:before="0" w:after="283"/>
              <w:ind w:left="0" w:right="0" w:hanging="177"/>
              <w:jc w:val="left"/>
              <w:rPr/>
            </w:pPr>
            <w:r>
              <w:rPr/>
              <w:t> </w:t>
            </w:r>
          </w:p>
        </w:tc>
      </w:tr>
      <w:tr>
        <w:trPr/>
        <w:tc>
          <w:tcPr>
            <w:tcW w:w="3905" w:type="dxa"/>
            <w:tcBorders/>
            <w:shd w:fill="CCEEFF" w:val="clear"/>
            <w:vAlign w:val="center"/>
          </w:tcPr>
          <w:p>
            <w:pPr>
              <w:pStyle w:val="TableContents"/>
              <w:bidi w:val="0"/>
              <w:spacing w:before="0" w:after="283"/>
              <w:jc w:val="left"/>
              <w:rPr/>
            </w:pPr>
            <w:r>
              <w:rPr/>
              <w:t>Warranty liability</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(1.4</w:t>
            </w:r>
          </w:p>
        </w:tc>
        <w:tc>
          <w:tcPr>
            <w:tcW w:w="365" w:type="dxa"/>
            <w:tcBorders/>
            <w:shd w:fill="CCEEFF" w:val="clear"/>
            <w:vAlign w:val="center"/>
          </w:tcPr>
          <w:p>
            <w:pPr>
              <w:pStyle w:val="TableContents"/>
              <w:bidi w:val="0"/>
              <w:spacing w:before="0" w:after="283"/>
              <w:ind w:left="0" w:right="0" w:hanging="177"/>
              <w:jc w:val="left"/>
              <w:rPr/>
            </w:pPr>
            <w:r>
              <w:rPr/>
              <w:t>)</w:t>
            </w:r>
          </w:p>
        </w:tc>
      </w:tr>
      <w:tr>
        <w:trPr/>
        <w:tc>
          <w:tcPr>
            <w:tcW w:w="3905" w:type="dxa"/>
            <w:tcBorders/>
            <w:vAlign w:val="center"/>
          </w:tcPr>
          <w:p>
            <w:pPr>
              <w:pStyle w:val="TableContents"/>
              <w:bidi w:val="0"/>
              <w:spacing w:before="0" w:after="283"/>
              <w:jc w:val="left"/>
              <w:rPr/>
            </w:pPr>
            <w:r>
              <w:rPr/>
              <w:t>Other nondeductible items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276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right"/>
              <w:rPr/>
            </w:pPr>
            <w:r>
              <w:rPr/>
              <w:t>(0.6</w:t>
            </w:r>
          </w:p>
        </w:tc>
        <w:tc>
          <w:tcPr>
            <w:tcW w:w="365" w:type="dxa"/>
            <w:tcBorders/>
            <w:vAlign w:val="center"/>
          </w:tcPr>
          <w:p>
            <w:pPr>
              <w:pStyle w:val="TableContents"/>
              <w:bidi w:val="0"/>
              <w:spacing w:before="0" w:after="283"/>
              <w:ind w:left="0" w:right="0" w:hanging="180"/>
              <w:jc w:val="left"/>
              <w:rPr/>
            </w:pPr>
            <w:r>
              <w:rPr/>
              <w:t>)</w:t>
            </w:r>
          </w:p>
        </w:tc>
      </w:tr>
      <w:tr>
        <w:trPr/>
        <w:tc>
          <w:tcPr>
            <w:tcW w:w="3905" w:type="dxa"/>
            <w:tcBorders/>
            <w:shd w:fill="CCEEFF" w:val="clear"/>
            <w:vAlign w:val="center"/>
          </w:tcPr>
          <w:p>
            <w:pPr>
              <w:pStyle w:val="TableContents"/>
              <w:bidi w:val="0"/>
              <w:spacing w:before="0" w:after="283"/>
              <w:jc w:val="left"/>
              <w:rPr/>
            </w:pPr>
            <w:r>
              <w:rPr/>
              <w:t>Changes in unrecognized tax benefits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0"/>
              <w:jc w:val="right"/>
              <w:rPr/>
            </w:pPr>
            <w:r>
              <w:rPr/>
              <w:t>—</w:t>
            </w:r>
          </w:p>
        </w:tc>
        <w:tc>
          <w:tcPr>
            <w:tcW w:w="365" w:type="dxa"/>
            <w:tcBorders/>
            <w:shd w:fill="CCEEFF" w:val="clear"/>
            <w:vAlign w:val="center"/>
          </w:tcPr>
          <w:p>
            <w:pPr>
              <w:pStyle w:val="TableContents"/>
              <w:bidi w:val="0"/>
              <w:spacing w:before="0" w:after="283"/>
              <w:ind w:left="0" w:right="0" w:hanging="180"/>
              <w:jc w:val="left"/>
              <w:rPr/>
            </w:pPr>
            <w:r>
              <w:rPr/>
              <w:t> </w:t>
            </w:r>
          </w:p>
        </w:tc>
      </w:tr>
      <w:tr>
        <w:trPr/>
        <w:tc>
          <w:tcPr>
            <w:tcW w:w="3905" w:type="dxa"/>
            <w:tcBorders/>
            <w:vAlign w:val="center"/>
          </w:tcPr>
          <w:p>
            <w:pPr>
              <w:pStyle w:val="TableContents"/>
              <w:bidi w:val="0"/>
              <w:spacing w:before="0" w:after="283"/>
              <w:jc w:val="left"/>
              <w:rPr/>
            </w:pPr>
            <w:r>
              <w:rPr/>
              <w:t>Deferred tax true-up</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tcMar>
              <w:bottom w:w="28" w:type="dxa"/>
            </w:tcMar>
            <w:vAlign w:val="center"/>
          </w:tcPr>
          <w:p>
            <w:pPr>
              <w:pStyle w:val="TableContents"/>
              <w:bidi w:val="0"/>
              <w:spacing w:before="0" w:after="283"/>
              <w:jc w:val="right"/>
              <w:rPr/>
            </w:pPr>
            <w:r>
              <w:rPr/>
              <w:t>(2,030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6" w:type="dxa"/>
            <w:tcBorders>
              <w:bottom w:val="single" w:sz="12" w:space="0" w:color="000000"/>
            </w:tcBorders>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tcMar>
              <w:bottom w:w="28" w:type="dxa"/>
            </w:tcMar>
            <w:vAlign w:val="center"/>
          </w:tcPr>
          <w:p>
            <w:pPr>
              <w:pStyle w:val="TableContents"/>
              <w:bidi w:val="0"/>
              <w:spacing w:before="0" w:after="283"/>
              <w:jc w:val="right"/>
              <w:rPr/>
            </w:pPr>
            <w:r>
              <w:rPr/>
              <w:t>4.8</w:t>
            </w:r>
          </w:p>
        </w:tc>
        <w:tc>
          <w:tcPr>
            <w:tcW w:w="365" w:type="dxa"/>
            <w:tcBorders/>
            <w:vAlign w:val="center"/>
          </w:tcPr>
          <w:p>
            <w:pPr>
              <w:pStyle w:val="TableContents"/>
              <w:bidi w:val="0"/>
              <w:spacing w:before="0" w:after="283"/>
              <w:ind w:left="0" w:right="0" w:hanging="180"/>
              <w:jc w:val="left"/>
              <w:rPr/>
            </w:pPr>
            <w:r>
              <w:rPr/>
              <w:t> </w:t>
            </w:r>
          </w:p>
        </w:tc>
      </w:tr>
      <w:tr>
        <w:trPr/>
        <w:tc>
          <w:tcPr>
            <w:tcW w:w="3905" w:type="dxa"/>
            <w:tcBorders/>
            <w:shd w:fill="CCEEFF" w:val="clear"/>
            <w:vAlign w:val="center"/>
          </w:tcPr>
          <w:p>
            <w:pPr>
              <w:pStyle w:val="TableContents"/>
              <w:bidi w:val="0"/>
              <w:spacing w:before="0" w:after="283"/>
              <w:jc w:val="left"/>
              <w:rPr/>
            </w:pPr>
            <w:r>
              <w:rPr/>
              <w:t>Total provision</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position w:val="8"/>
                <w:sz w:val="19"/>
              </w:rPr>
            </w:pPr>
            <w:r>
              <w:rPr>
                <w:position w:val="8"/>
                <w:sz w:val="19"/>
              </w:rPr>
              <w:t>(1)</w:t>
            </w:r>
          </w:p>
        </w:tc>
        <w:tc>
          <w:tcPr>
            <w:tcW w:w="9860" w:type="dxa"/>
            <w:tcBorders/>
            <w:vAlign w:val="center"/>
          </w:tcPr>
          <w:p>
            <w:pPr>
              <w:pStyle w:val="TableContents"/>
              <w:bidi w:val="0"/>
              <w:spacing w:before="0" w:after="283"/>
              <w:jc w:val="both"/>
              <w:rPr/>
            </w:pPr>
            <w:r>
              <w:rPr/>
              <w:t>State taxes in California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725"/>
        <w:gridCol w:w="90"/>
        <w:gridCol w:w="231"/>
        <w:gridCol w:w="1018"/>
        <w:gridCol w:w="15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br/>
              <w:t>Ended</w:t>
            </w:r>
          </w:p>
        </w:tc>
        <w:tc>
          <w:tcPr>
            <w:tcW w:w="15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29, </w:t>
              <w:br/>
              <w:t>2024</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federal income tax</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(11,433</w:t>
            </w:r>
          </w:p>
        </w:tc>
        <w:tc>
          <w:tcPr>
            <w:tcW w:w="15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tax benefits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1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w:t>
            </w:r>
          </w:p>
        </w:tc>
        <w:tc>
          <w:tcPr>
            <w:tcW w:w="1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items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(6,571</w:t>
            </w:r>
          </w:p>
        </w:tc>
        <w:tc>
          <w:tcPr>
            <w:tcW w:w="15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earnings taxed at different rates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tax rates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adjustments</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2,058</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90" w:type="dxa"/>
            <w:tcBorders/>
            <w:vAlign w:val="center"/>
          </w:tcPr>
          <w:p>
            <w:pPr>
              <w:pStyle w:val="TableContents"/>
              <w:bidi w:val="0"/>
              <w:spacing w:before="0" w:after="283"/>
              <w:jc w:val="left"/>
              <w:rPr/>
            </w:pPr>
            <w:r>
              <w:rPr/>
              <w:t> </w:t>
            </w:r>
          </w:p>
        </w:tc>
        <w:tc>
          <w:tcPr>
            <w:tcW w:w="23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155"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Provision</w:t>
            </w:r>
          </w:p>
        </w:tc>
        <w:tc>
          <w:tcPr>
            <w:tcW w:w="90" w:type="dxa"/>
            <w:tcBorders/>
            <w:shd w:fill="CCEEFF" w:val="clear"/>
            <w:vAlign w:val="center"/>
          </w:tcPr>
          <w:p>
            <w:pPr>
              <w:pStyle w:val="TableContents"/>
              <w:bidi w:val="0"/>
              <w:spacing w:before="0" w:after="283"/>
              <w:jc w:val="left"/>
              <w:rPr/>
            </w:pPr>
            <w:r>
              <w:rPr/>
              <w:t> </w:t>
            </w:r>
          </w:p>
        </w:tc>
        <w:tc>
          <w:tcPr>
            <w:tcW w:w="23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components of deferred tax assets and liabilities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013" w:type="dxa"/>
        <w:jc w:val="left"/>
        <w:tblInd w:w="0" w:type="dxa"/>
        <w:tblLayout w:type="fixed"/>
        <w:tblCellMar>
          <w:top w:w="0" w:type="dxa"/>
          <w:left w:w="0" w:type="dxa"/>
          <w:bottom w:w="0" w:type="dxa"/>
          <w:right w:w="0" w:type="dxa"/>
        </w:tblCellMar>
      </w:tblPr>
      <w:tblGrid>
        <w:gridCol w:w="3650"/>
        <w:gridCol w:w="90"/>
        <w:gridCol w:w="256"/>
        <w:gridCol w:w="1188"/>
        <w:gridCol w:w="125"/>
        <w:gridCol w:w="90"/>
        <w:gridCol w:w="256"/>
        <w:gridCol w:w="1188"/>
        <w:gridCol w:w="170"/>
      </w:tblGrid>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Deferred income tax assets</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Net operating loss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35,792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34,749</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Debt derivatives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27,508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24,591</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Bad debt reserve</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10,543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431</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Stock based compensation</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769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452</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Lease liability</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1,657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1,512</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Other reserves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4,633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3,381</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Interest expense carryover</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7,267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7,005</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Intangibles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1,447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1,279</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Capitalized research and development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705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824</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3,336</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92,877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77,560</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(70,253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(55,714</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Net deferred tax assets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22,624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Deferred income tax liabilities</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Convertible loan discount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(21,731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(19,175</w:t>
            </w:r>
          </w:p>
        </w:tc>
        <w:tc>
          <w:tcPr>
            <w:tcW w:w="170" w:type="dxa"/>
            <w:tcBorders/>
            <w:shd w:fill="CCEEFF" w:val="clear"/>
            <w:vAlign w:val="center"/>
          </w:tcPr>
          <w:p>
            <w:pPr>
              <w:pStyle w:val="TableContents"/>
              <w:bidi w:val="0"/>
              <w:spacing w:before="0" w:after="283"/>
              <w:jc w:val="left"/>
              <w:rPr/>
            </w:pPr>
            <w:r>
              <w:rPr/>
              <w:t>)</w:t>
            </w:r>
          </w:p>
        </w:tc>
      </w:tr>
      <w:tr>
        <w:trPr/>
        <w:tc>
          <w:tcPr>
            <w:tcW w:w="365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(2,193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tcMar>
              <w:bottom w:w="28" w:type="dxa"/>
            </w:tcMar>
            <w:vAlign w:val="center"/>
          </w:tcPr>
          <w:p>
            <w:pPr>
              <w:pStyle w:val="TableContents"/>
              <w:bidi w:val="0"/>
              <w:spacing w:before="0" w:after="283"/>
              <w:jc w:val="right"/>
              <w:rPr/>
            </w:pPr>
            <w:r>
              <w:rPr/>
              <w:t>(2,671</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left"/>
              <w:rPr/>
            </w:pPr>
            <w:r>
              <w:rPr/>
              <w:t>Total deferred tax liabilities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(23,924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70" w:type="dxa"/>
            <w:tcBorders/>
            <w:shd w:fill="CCEEFF" w:val="clear"/>
            <w:vAlign w:val="center"/>
          </w:tcPr>
          <w:p>
            <w:pPr>
              <w:pStyle w:val="TableContents"/>
              <w:bidi w:val="0"/>
              <w:spacing w:before="0" w:after="283"/>
              <w:jc w:val="left"/>
              <w:rPr/>
            </w:pPr>
            <w:r>
              <w:rPr/>
              <w:t>)</w:t>
            </w:r>
          </w:p>
        </w:tc>
      </w:tr>
      <w:tr>
        <w:trPr/>
        <w:tc>
          <w:tcPr>
            <w:tcW w:w="3650" w:type="dxa"/>
            <w:tcBorders/>
            <w:vAlign w:val="center"/>
          </w:tcPr>
          <w:p>
            <w:pPr>
              <w:pStyle w:val="TableContents"/>
              <w:bidi w:val="0"/>
              <w:spacing w:before="0" w:after="283"/>
              <w:jc w:val="left"/>
              <w:rPr/>
            </w:pPr>
            <w:r>
              <w:rPr/>
              <w:t>Net deferred tax liability</w:t>
            </w:r>
          </w:p>
        </w:tc>
        <w:tc>
          <w:tcPr>
            <w:tcW w:w="90"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tcMar>
              <w:bottom w:w="28" w:type="dxa"/>
            </w:tcMar>
            <w:vAlign w:val="center"/>
          </w:tcPr>
          <w:p>
            <w:pPr>
              <w:pStyle w:val="TableContents"/>
              <w:bidi w:val="0"/>
              <w:spacing w:before="0" w:after="283"/>
              <w:jc w:val="right"/>
              <w:rPr/>
            </w:pPr>
            <w:r>
              <w:rPr/>
              <w:t>(1,300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tabular reconciliation of the total amounts of unrecognized tax benefits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935" w:type="dxa"/>
        <w:jc w:val="left"/>
        <w:tblInd w:w="0" w:type="dxa"/>
        <w:tblLayout w:type="fixed"/>
        <w:tblCellMar>
          <w:top w:w="0" w:type="dxa"/>
          <w:left w:w="0" w:type="dxa"/>
          <w:bottom w:w="0" w:type="dxa"/>
          <w:right w:w="0" w:type="dxa"/>
        </w:tblCellMar>
      </w:tblPr>
      <w:tblGrid>
        <w:gridCol w:w="4100"/>
        <w:gridCol w:w="90"/>
        <w:gridCol w:w="181"/>
        <w:gridCol w:w="1024"/>
        <w:gridCol w:w="90"/>
        <w:gridCol w:w="90"/>
        <w:gridCol w:w="223"/>
        <w:gridCol w:w="982"/>
        <w:gridCol w:w="155"/>
      </w:tblGrid>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15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15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beginning of year</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15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prior year tax positions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current year tax positions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Decreases related to prior year tax positions</w:t>
            </w:r>
          </w:p>
        </w:tc>
        <w:tc>
          <w:tcPr>
            <w:tcW w:w="9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end of year</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federal, state or foreign income taxes during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Common Stock and Common Stock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December 28, 2025. No preferred stock has been issued and none are outstanding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4.0 million and 2.9 million shares of the Company’s common stock for proceeds of $6.7 million and $6.7 million in the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i w:val="false"/>
          <w:caps w:val="false"/>
          <w:smallCaps w:val="false"/>
          <w:sz w:val="20"/>
        </w:rPr>
        <w:t>Note 20 – Subsequent Events</w:t>
      </w:r>
      <w:r>
        <w:rPr>
          <w:rFonts w:ascii="Times New Roman;Times;Serif" w:hAnsi="Times New Roman;Times;Serif"/>
          <w:b w:val="false"/>
          <w:i w:val="false"/>
          <w:caps w:val="false"/>
          <w:smallCaps w:val="false"/>
          <w:sz w:val="20"/>
        </w:rPr>
        <w:t xml:space="preserve"> for information regarding an amendment to the White Lion SPA entered into on after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98"/>
        <w:gridCol w:w="90"/>
        <w:gridCol w:w="101"/>
        <w:gridCol w:w="1104"/>
        <w:gridCol w:w="91"/>
        <w:gridCol w:w="91"/>
        <w:gridCol w:w="101"/>
        <w:gridCol w:w="1104"/>
        <w:gridCol w:w="90"/>
        <w:gridCol w:w="90"/>
        <w:gridCol w:w="186"/>
        <w:gridCol w:w="626"/>
        <w:gridCol w:w="90"/>
        <w:gridCol w:w="90"/>
        <w:gridCol w:w="1453"/>
      </w:tblGrid>
      <w:tr>
        <w:trPr/>
        <w:tc>
          <w:tcPr>
            <w:tcW w:w="48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9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r>
      <w:tr>
        <w:trPr/>
        <w:tc>
          <w:tcPr>
            <w:tcW w:w="4898"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89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pPr>
            <w:r>
              <w:rPr/>
              <w:t> </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February 2026</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2026</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2030</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2031</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2028</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18, 2033</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pPr>
            <w:r>
              <w:rPr/>
              <w:t>—</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June 2029</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3,066,141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r>
      <w:tr>
        <w:trPr/>
        <w:tc>
          <w:tcPr>
            <w:tcW w:w="4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10,061,930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center"/>
              <w:rPr/>
            </w:pPr>
            <w:r>
              <w:rPr/>
              <w:t> </w:t>
            </w:r>
          </w:p>
        </w:tc>
      </w:tr>
      <w:tr>
        <w:trPr/>
        <w:tc>
          <w:tcPr>
            <w:tcW w:w="48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9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25,670,265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3"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(as defined below) which was not issued as of December 28, 2025.</w:t>
            </w:r>
          </w:p>
        </w:tc>
      </w:tr>
      <w:tr>
        <w:trPr/>
        <w:tc>
          <w:tcPr>
            <w:tcW w:w="26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$9.2 million in the year ended December 29, 2024 for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of common stock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593" w:type="dxa"/>
        <w:jc w:val="left"/>
        <w:tblInd w:w="0" w:type="dxa"/>
        <w:tblLayout w:type="fixed"/>
        <w:tblCellMar>
          <w:top w:w="0" w:type="dxa"/>
          <w:left w:w="0" w:type="dxa"/>
          <w:bottom w:w="0" w:type="dxa"/>
          <w:right w:w="0" w:type="dxa"/>
        </w:tblCellMar>
      </w:tblPr>
      <w:tblGrid>
        <w:gridCol w:w="5300"/>
        <w:gridCol w:w="90"/>
        <w:gridCol w:w="97"/>
        <w:gridCol w:w="1347"/>
        <w:gridCol w:w="90"/>
        <w:gridCol w:w="90"/>
        <w:gridCol w:w="97"/>
        <w:gridCol w:w="1347"/>
        <w:gridCol w:w="135"/>
      </w:tblGrid>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Common stock warrants</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25,670,265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31,670,265</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Employee stock purchase plan</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3,174,434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2,628,996</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19,164,660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11,979,368</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Stock options and RSUs, authorized for future issuance</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11,603,508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2,577,895</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SAFE Agreement</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2,750,000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2,750,000</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Forward purchase agreements</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6,720,000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6,720,000</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Convertible notes</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82,460,428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58,579,636</w:t>
            </w:r>
          </w:p>
        </w:tc>
        <w:tc>
          <w:tcPr>
            <w:tcW w:w="135"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both"/>
              <w:rPr/>
            </w:pPr>
            <w:r>
              <w:rPr/>
              <w:t>Deferred purchase price consideration</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283"/>
              <w:jc w:val="right"/>
              <w:rPr/>
            </w:pPr>
            <w:r>
              <w:rPr/>
              <w:t>11,640,506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Total shares reserved</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163,183,801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116,906,160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 (2) 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7"/>
        <w:gridCol w:w="90"/>
        <w:gridCol w:w="90"/>
        <w:gridCol w:w="1130"/>
        <w:gridCol w:w="125"/>
        <w:gridCol w:w="90"/>
        <w:gridCol w:w="272"/>
        <w:gridCol w:w="753"/>
        <w:gridCol w:w="90"/>
        <w:gridCol w:w="90"/>
        <w:gridCol w:w="205"/>
        <w:gridCol w:w="1075"/>
        <w:gridCol w:w="90"/>
        <w:gridCol w:w="90"/>
        <w:gridCol w:w="268"/>
        <w:gridCol w:w="934"/>
        <w:gridCol w:w="136"/>
      </w:tblGrid>
      <w:tr>
        <w:trPr/>
        <w:tc>
          <w:tcPr>
            <w:tcW w:w="467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Outstanding –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11,716,646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3.48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8.53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934" w:type="dxa"/>
            <w:tcBorders/>
            <w:shd w:fill="CCEEFF" w:val="clear"/>
            <w:vAlign w:val="center"/>
          </w:tcPr>
          <w:p>
            <w:pPr>
              <w:pStyle w:val="TableContents"/>
              <w:bidi w:val="0"/>
              <w:spacing w:before="0" w:after="283"/>
              <w:jc w:val="right"/>
              <w:rPr/>
            </w:pPr>
            <w:r>
              <w:rPr/>
              <w:t>2,756</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6,121,251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(398,883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39</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(7,441,781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0.17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Outstanding –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2.77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6,356</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(712,467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0.72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83</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Options 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(4,354,466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Outstanding –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1,903</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4677" w:type="dxa"/>
            <w:tcBorders/>
            <w:vAlign w:val="center"/>
          </w:tcPr>
          <w:p>
            <w:pPr>
              <w:pStyle w:val="TableContents"/>
              <w:bidi w:val="0"/>
              <w:spacing w:before="0" w:after="283"/>
              <w:jc w:val="left"/>
              <w:rPr/>
            </w:pPr>
            <w:r>
              <w:rPr/>
              <w:t>Vested and expected to vest— December 28,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4,930,300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4.62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1,903</w:t>
            </w:r>
          </w:p>
        </w:tc>
        <w:tc>
          <w:tcPr>
            <w:tcW w:w="136" w:type="dxa"/>
            <w:tcBorders/>
            <w:vAlign w:val="center"/>
          </w:tcPr>
          <w:p>
            <w:pPr>
              <w:pStyle w:val="TableContents"/>
              <w:bidi w:val="0"/>
              <w:spacing w:before="0" w:after="283"/>
              <w:ind w:left="0" w:right="0" w:hanging="180"/>
              <w:jc w:val="left"/>
              <w:rPr/>
            </w:pPr>
            <w:r>
              <w:rPr/>
              <w:t> </w:t>
            </w:r>
          </w:p>
        </w:tc>
      </w:tr>
      <w:tr>
        <w:trPr/>
        <w:tc>
          <w:tcPr>
            <w:tcW w:w="4677" w:type="dxa"/>
            <w:tcBorders/>
            <w:shd w:fill="CCEEFF" w:val="clear"/>
            <w:vAlign w:val="center"/>
          </w:tcPr>
          <w:p>
            <w:pPr>
              <w:pStyle w:val="TableContents"/>
              <w:bidi w:val="0"/>
              <w:spacing w:before="0" w:after="283"/>
              <w:jc w:val="left"/>
              <w:rPr/>
            </w:pPr>
            <w:r>
              <w:rPr/>
              <w:t>Vested and exercisable—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1,909,809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635</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during the fiscal years ended 2025 and 2024 was $0.4 million and $1.9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5179" w:type="dxa"/>
        <w:jc w:val="left"/>
        <w:tblInd w:w="0" w:type="dxa"/>
        <w:tblLayout w:type="fixed"/>
        <w:tblCellMar>
          <w:top w:w="0" w:type="dxa"/>
          <w:left w:w="0" w:type="dxa"/>
          <w:bottom w:w="0" w:type="dxa"/>
          <w:right w:w="0" w:type="dxa"/>
        </w:tblCellMar>
      </w:tblPr>
      <w:tblGrid>
        <w:gridCol w:w="2645"/>
        <w:gridCol w:w="90"/>
        <w:gridCol w:w="90"/>
        <w:gridCol w:w="980"/>
        <w:gridCol w:w="110"/>
        <w:gridCol w:w="90"/>
        <w:gridCol w:w="257"/>
        <w:gridCol w:w="782"/>
        <w:gridCol w:w="135"/>
      </w:tblGrid>
      <w:tr>
        <w:trPr/>
        <w:tc>
          <w:tcPr>
            <w:tcW w:w="2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RSUs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 xml:space="preserve">Average </w:t>
              <w:br/>
              <w:t xml:space="preserve">Grant Date </w:t>
              <w:br/>
              <w:t>Fair Value</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2,593,097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(669,059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29,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22,235,871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1.73</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(4,632,212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(5,351,434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28,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14,234,360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during the fiscal years ended 2025 and 2024 was $8.1 million and $1.2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calculate the fair value of stock-based compensation for the options granted in the fiscal year ended December 29, 2024:</w:t>
      </w:r>
    </w:p>
    <w:p>
      <w:pPr>
        <w:pStyle w:val="TextBody"/>
        <w:bidi w:val="0"/>
        <w:spacing w:before="0" w:after="0"/>
        <w:ind w:left="0" w:right="0" w:hanging="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030"/>
        <w:gridCol w:w="90"/>
        <w:gridCol w:w="90"/>
        <w:gridCol w:w="1385"/>
        <w:gridCol w:w="260"/>
      </w:tblGrid>
      <w:tr>
        <w:trPr/>
        <w:tc>
          <w:tcPr>
            <w:tcW w:w="2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6.32</w:t>
            </w:r>
          </w:p>
        </w:tc>
        <w:tc>
          <w:tcPr>
            <w:tcW w:w="260"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58.45% – 62.39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4.71</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 The Company uses the simplified method to calculate the expected term of stock option grants to employees as the Company does not 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rate assumption is based on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dividends</w:t>
      </w:r>
      <w:r>
        <w:rPr>
          <w:rFonts w:ascii="Times New Roman;Times;Serif" w:hAnsi="Times New Roman;Times;Serif"/>
          <w:b w:val="false"/>
          <w:i w:val="false"/>
          <w:caps w:val="false"/>
          <w:smallCaps w:val="false"/>
          <w:sz w:val="20"/>
        </w:rPr>
        <w:t xml:space="preserve"> — The Company has not issued any dividends in its history and does not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common stock</w:t>
      </w:r>
      <w:r>
        <w:rPr>
          <w:rFonts w:ascii="Times New Roman;Times;Serif" w:hAnsi="Times New Roman;Times;Serif"/>
          <w:b w:val="false"/>
          <w:i w:val="false"/>
          <w:caps w:val="false"/>
          <w:smallCaps w:val="false"/>
          <w:sz w:val="20"/>
        </w:rPr>
        <w:t xml:space="preserve"> — The fair value of the shares of common stock underlying the stock-based awards is based on the price of the Company’s common stock in the open market on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23" w:type="dxa"/>
        <w:jc w:val="left"/>
        <w:tblInd w:w="0" w:type="dxa"/>
        <w:tblLayout w:type="fixed"/>
        <w:tblCellMar>
          <w:top w:w="0" w:type="dxa"/>
          <w:left w:w="0" w:type="dxa"/>
          <w:bottom w:w="0" w:type="dxa"/>
          <w:right w:w="0" w:type="dxa"/>
        </w:tblCellMar>
      </w:tblPr>
      <w:tblGrid>
        <w:gridCol w:w="3920"/>
        <w:gridCol w:w="90"/>
        <w:gridCol w:w="278"/>
        <w:gridCol w:w="1166"/>
        <w:gridCol w:w="95"/>
        <w:gridCol w:w="95"/>
        <w:gridCol w:w="322"/>
        <w:gridCol w:w="1122"/>
        <w:gridCol w:w="135"/>
      </w:tblGrid>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3,003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2,618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598</w:t>
            </w:r>
          </w:p>
        </w:tc>
        <w:tc>
          <w:tcPr>
            <w:tcW w:w="135"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left"/>
              <w:rPr/>
            </w:pPr>
            <w:r>
              <w:rPr/>
              <w:t>Total stock-based compensation expense</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10,488</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22"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3,067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the Company’s basic and diluted net loss per share attributable to common stockholders </w:t>
      </w:r>
      <w:r>
        <w:rPr>
          <w:rFonts w:ascii="Times New Roman;Times;Serif" w:hAnsi="Times New Roman;Times;Serif"/>
          <w:b w:val="false"/>
          <w:i/>
          <w:caps w:val="false"/>
          <w:smallCaps w:val="false"/>
          <w:sz w:val="20"/>
        </w:rPr>
        <w:t>(in thousands, except share and per share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1"/>
        <w:gridCol w:w="90"/>
        <w:gridCol w:w="186"/>
        <w:gridCol w:w="1247"/>
        <w:gridCol w:w="125"/>
        <w:gridCol w:w="90"/>
        <w:gridCol w:w="186"/>
        <w:gridCol w:w="1247"/>
        <w:gridCol w:w="173"/>
      </w:tblGrid>
      <w:tr>
        <w:trPr/>
        <w:tc>
          <w:tcPr>
            <w:tcW w:w="68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73" w:type="dxa"/>
            <w:tcBorders/>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center"/>
              <w:rPr>
                <w:b/>
              </w:rPr>
            </w:pPr>
            <w:r>
              <w:rPr>
                <w:b/>
              </w:rPr>
              <w:t>December 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center"/>
              <w:rPr>
                <w:b/>
              </w:rPr>
            </w:pPr>
            <w:r>
              <w:rPr>
                <w:b/>
              </w:rPr>
              <w:t>December 29,</w:t>
            </w:r>
          </w:p>
        </w:tc>
        <w:tc>
          <w:tcPr>
            <w:tcW w:w="173" w:type="dxa"/>
            <w:tcBorders/>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b/>
              </w:rPr>
            </w:pPr>
            <w:r>
              <w:rPr>
                <w:b/>
              </w:rPr>
              <w:t>Numerator for basic loss per share:</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(44,254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(54,444</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Net loss from discontinued operations</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(1,100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(2,007</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b/>
              </w:rPr>
            </w:pPr>
            <w:r>
              <w:rPr>
                <w:b/>
              </w:rPr>
              <w:t>Numerator for diluted loss per share</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Impact of September 2024 Notes derivative liability and interest expense, net of tax</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(35,886</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(45,354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(92,337</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b/>
              </w:rPr>
            </w:pPr>
            <w:r>
              <w:rPr>
                <w:b/>
              </w:rPr>
              <w:t>Denominator:</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Weighted average shares:</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Denominator for basic loss per share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87,108,928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66,655,837</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Effect of dilutive securities:</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September 2024 Notes derivative liability</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9,137,711</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Denominator for diluted loss per share</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87,108,928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7" w:type="dxa"/>
            <w:tcBorders>
              <w:bottom w:val="double" w:sz="10" w:space="0" w:color="000000"/>
            </w:tcBorders>
            <w:tcMar>
              <w:bottom w:w="28" w:type="dxa"/>
            </w:tcMar>
            <w:vAlign w:val="center"/>
          </w:tcPr>
          <w:p>
            <w:pPr>
              <w:pStyle w:val="TableContents"/>
              <w:bidi w:val="0"/>
              <w:spacing w:before="0" w:after="283"/>
              <w:jc w:val="right"/>
              <w:rPr/>
            </w:pPr>
            <w:r>
              <w:rPr/>
              <w:t>75,793,548</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b/>
              </w:rPr>
            </w:pPr>
            <w:r>
              <w:rPr>
                <w:b/>
              </w:rPr>
              <w:t>Net loss per share:</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61"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(0.82</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61"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(0.51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(1.19</w:t>
            </w:r>
          </w:p>
        </w:tc>
        <w:tc>
          <w:tcPr>
            <w:tcW w:w="173" w:type="dxa"/>
            <w:tcBorders/>
            <w:shd w:fill="CCEEFF" w:val="clear"/>
            <w:vAlign w:val="center"/>
          </w:tcPr>
          <w:p>
            <w:pPr>
              <w:pStyle w:val="TableContents"/>
              <w:bidi w:val="0"/>
              <w:spacing w:before="0" w:after="283"/>
              <w:jc w:val="left"/>
              <w:rPr/>
            </w:pPr>
            <w:r>
              <w:rPr/>
              <w:t>)</w:t>
            </w:r>
          </w:p>
        </w:tc>
      </w:tr>
      <w:tr>
        <w:trPr/>
        <w:tc>
          <w:tcPr>
            <w:tcW w:w="6861" w:type="dxa"/>
            <w:tcBorders/>
            <w:vAlign w:val="center"/>
          </w:tcPr>
          <w:p>
            <w:pPr>
              <w:pStyle w:val="TableContents"/>
              <w:bidi w:val="0"/>
              <w:spacing w:before="0" w:after="283"/>
              <w:jc w:val="left"/>
              <w:rPr/>
            </w:pPr>
            <w:r>
              <w:rPr/>
              <w:t>Discontinued operations</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tcMar>
              <w:bottom w:w="28" w:type="dxa"/>
            </w:tcMar>
            <w:vAlign w:val="center"/>
          </w:tcPr>
          <w:p>
            <w:pPr>
              <w:pStyle w:val="TableContents"/>
              <w:bidi w:val="0"/>
              <w:spacing w:before="0" w:after="283"/>
              <w:jc w:val="right"/>
              <w:rPr/>
            </w:pPr>
            <w:r>
              <w:rPr/>
              <w:t>(0.03</w:t>
            </w:r>
          </w:p>
        </w:tc>
        <w:tc>
          <w:tcPr>
            <w:tcW w:w="173" w:type="dxa"/>
            <w:tcBorders/>
            <w:vAlign w:val="center"/>
          </w:tcPr>
          <w:p>
            <w:pPr>
              <w:pStyle w:val="TableContents"/>
              <w:bidi w:val="0"/>
              <w:spacing w:before="0" w:after="283"/>
              <w:jc w:val="left"/>
              <w:rPr/>
            </w:pPr>
            <w:r>
              <w:rPr/>
              <w:t>)</w:t>
            </w:r>
          </w:p>
        </w:tc>
      </w:tr>
      <w:tr>
        <w:trPr/>
        <w:tc>
          <w:tcPr>
            <w:tcW w:w="686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523" w:type="dxa"/>
        <w:jc w:val="left"/>
        <w:tblInd w:w="0" w:type="dxa"/>
        <w:tblLayout w:type="fixed"/>
        <w:tblCellMar>
          <w:top w:w="0" w:type="dxa"/>
          <w:left w:w="0" w:type="dxa"/>
          <w:bottom w:w="0" w:type="dxa"/>
          <w:right w:w="0" w:type="dxa"/>
        </w:tblCellMar>
      </w:tblPr>
      <w:tblGrid>
        <w:gridCol w:w="6230"/>
        <w:gridCol w:w="90"/>
        <w:gridCol w:w="97"/>
        <w:gridCol w:w="1347"/>
        <w:gridCol w:w="90"/>
        <w:gridCol w:w="90"/>
        <w:gridCol w:w="106"/>
        <w:gridCol w:w="1338"/>
        <w:gridCol w:w="135"/>
      </w:tblGrid>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3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29,</w:t>
            </w:r>
          </w:p>
        </w:tc>
        <w:tc>
          <w:tcPr>
            <w:tcW w:w="135" w:type="dxa"/>
            <w:tcBorders/>
            <w:vAlign w:val="center"/>
          </w:tcPr>
          <w:p>
            <w:pPr>
              <w:pStyle w:val="TableContents"/>
              <w:bidi w:val="0"/>
              <w:spacing w:before="0" w:after="283"/>
              <w:jc w:val="left"/>
              <w:rPr/>
            </w:pPr>
            <w:r>
              <w:rPr/>
              <w:t> </w:t>
            </w:r>
          </w:p>
        </w:tc>
      </w:tr>
      <w:tr>
        <w:trPr/>
        <w:tc>
          <w:tcPr>
            <w:tcW w:w="6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pPr>
            <w:r>
              <w:rPr/>
              <w:t>Common stock warrants</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218,847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25,434,069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Convertible notes</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82,460,428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283"/>
              <w:jc w:val="right"/>
              <w:rPr/>
            </w:pPr>
            <w:r>
              <w:rPr/>
              <w:t>27,364,717</w:t>
            </w:r>
          </w:p>
        </w:tc>
        <w:tc>
          <w:tcPr>
            <w:tcW w:w="135"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pPr>
            <w:r>
              <w:rPr/>
              <w:t>Stock options and RSUs issued and outstanding</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8,084,064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11,979,368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Third SAFE Agreement</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2,750,000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6230" w:type="dxa"/>
            <w:tcBorders/>
            <w:shd w:fill="CCEEFF" w:val="clear"/>
            <w:vAlign w:val="center"/>
          </w:tcPr>
          <w:p>
            <w:pPr>
              <w:pStyle w:val="TableContents"/>
              <w:bidi w:val="0"/>
              <w:spacing w:before="0" w:after="283"/>
              <w:jc w:val="left"/>
              <w:rPr/>
            </w:pPr>
            <w:r>
              <w:rPr/>
              <w:t>Deferred consideration shares</w:t>
            </w:r>
          </w:p>
        </w:tc>
        <w:tc>
          <w:tcPr>
            <w:tcW w:w="9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11,640,506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6230" w:type="dxa"/>
            <w:tcBorders/>
            <w:vAlign w:val="center"/>
          </w:tcPr>
          <w:p>
            <w:pPr>
              <w:pStyle w:val="TableContents"/>
              <w:bidi w:val="0"/>
              <w:spacing w:before="0" w:after="283"/>
              <w:jc w:val="left"/>
              <w:rPr/>
            </w:pPr>
            <w:r>
              <w:rPr/>
              <w:t>Potential common shares excluded from diluted net loss per share</w:t>
            </w:r>
          </w:p>
        </w:tc>
        <w:tc>
          <w:tcPr>
            <w:tcW w:w="9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tcMar>
              <w:bottom w:w="28" w:type="dxa"/>
            </w:tcMar>
            <w:vAlign w:val="center"/>
          </w:tcPr>
          <w:p>
            <w:pPr>
              <w:pStyle w:val="TableContents"/>
              <w:bidi w:val="0"/>
              <w:spacing w:before="0" w:after="283"/>
              <w:jc w:val="right"/>
              <w:rPr/>
            </w:pPr>
            <w:r>
              <w:rPr/>
              <w:t>105,153,845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double" w:sz="10" w:space="0" w:color="000000"/>
            </w:tcBorders>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tcMar>
              <w:bottom w:w="28" w:type="dxa"/>
            </w:tcMar>
            <w:vAlign w:val="center"/>
          </w:tcPr>
          <w:p>
            <w:pPr>
              <w:pStyle w:val="TableContents"/>
              <w:bidi w:val="0"/>
              <w:spacing w:before="0" w:after="283"/>
              <w:jc w:val="right"/>
              <w:rPr/>
            </w:pPr>
            <w:r>
              <w:rPr/>
              <w:t>64,778,154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0"/>
        <w:gridCol w:w="90"/>
        <w:gridCol w:w="202"/>
        <w:gridCol w:w="988"/>
        <w:gridCol w:w="125"/>
        <w:gridCol w:w="90"/>
        <w:gridCol w:w="198"/>
        <w:gridCol w:w="970"/>
        <w:gridCol w:w="90"/>
        <w:gridCol w:w="90"/>
        <w:gridCol w:w="170"/>
        <w:gridCol w:w="710"/>
        <w:gridCol w:w="90"/>
        <w:gridCol w:w="90"/>
        <w:gridCol w:w="170"/>
        <w:gridCol w:w="830"/>
        <w:gridCol w:w="172"/>
      </w:tblGrid>
      <w:tr>
        <w:trPr/>
        <w:tc>
          <w:tcPr>
            <w:tcW w:w="5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1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72" w:type="dxa"/>
            <w:tcBorders/>
            <w:vAlign w:val="center"/>
          </w:tcPr>
          <w:p>
            <w:pPr>
              <w:pStyle w:val="TableContents"/>
              <w:bidi w:val="0"/>
              <w:spacing w:before="0" w:after="283"/>
              <w:jc w:val="left"/>
              <w:rPr/>
            </w:pPr>
            <w:r>
              <w:rPr/>
              <w:t> </w:t>
            </w:r>
          </w:p>
        </w:tc>
      </w:tr>
      <w:tr>
        <w:trPr/>
        <w:tc>
          <w:tcPr>
            <w:tcW w:w="513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160,987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124,595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14,418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300,000</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88,400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82,288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26,298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5,679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25,154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3,253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5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58,597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29,648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Segment operating income (loss)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tcMar>
              <w:bottom w:w="28" w:type="dxa"/>
            </w:tcMar>
            <w:vAlign w:val="center"/>
          </w:tcPr>
          <w:p>
            <w:pPr>
              <w:pStyle w:val="TableContents"/>
              <w:bidi w:val="0"/>
              <w:spacing w:before="0" w:after="283"/>
              <w:jc w:val="right"/>
              <w:rPr/>
            </w:pPr>
            <w:r>
              <w:rPr/>
              <w:t>(37,462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pPr>
            <w:r>
              <w:rPr/>
              <w:t>4,374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(26,931</w:t>
            </w:r>
          </w:p>
        </w:tc>
        <w:tc>
          <w:tcPr>
            <w:tcW w:w="172" w:type="dxa"/>
            <w:tcBorders/>
            <w:vAlign w:val="center"/>
          </w:tcPr>
          <w:p>
            <w:pPr>
              <w:pStyle w:val="TableContents"/>
              <w:bidi w:val="0"/>
              <w:spacing w:before="0" w:after="283"/>
              <w:jc w:val="left"/>
              <w:rPr/>
            </w:pPr>
            <w:r>
              <w:rPr/>
              <w:t>)</w:t>
            </w:r>
          </w:p>
        </w:tc>
      </w:tr>
      <w:tr>
        <w:trPr/>
        <w:tc>
          <w:tcPr>
            <w:tcW w:w="5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5130" w:type="dxa"/>
            <w:tcBorders/>
            <w:vAlign w:val="center"/>
          </w:tcPr>
          <w:p>
            <w:pPr>
              <w:pStyle w:val="TableContents"/>
              <w:bidi w:val="0"/>
              <w:spacing w:before="0" w:after="283"/>
              <w:jc w:val="left"/>
              <w:rPr>
                <w:i/>
              </w:rPr>
            </w:pPr>
            <w:r>
              <w:rPr>
                <w:i/>
              </w:rPr>
              <w:t>Reconciliation of segment income (loss) from continuing operations before income taxes: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pPr>
            <w:r>
              <w:rPr/>
              <w:t>Unallocated amounts: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(25,095</w:t>
            </w:r>
          </w:p>
        </w:tc>
        <w:tc>
          <w:tcPr>
            <w:tcW w:w="172" w:type="dxa"/>
            <w:tcBorders/>
            <w:vAlign w:val="center"/>
          </w:tcPr>
          <w:p>
            <w:pPr>
              <w:pStyle w:val="TableContents"/>
              <w:bidi w:val="0"/>
              <w:spacing w:before="0" w:after="283"/>
              <w:jc w:val="left"/>
              <w:rPr/>
            </w:pPr>
            <w:r>
              <w:rPr/>
              <w:t>)</w:t>
            </w:r>
          </w:p>
        </w:tc>
      </w:tr>
      <w:tr>
        <w:trPr/>
        <w:tc>
          <w:tcPr>
            <w:tcW w:w="51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w:t>
            </w:r>
          </w:p>
        </w:tc>
        <w:tc>
          <w:tcPr>
            <w:tcW w:w="172" w:type="dxa"/>
            <w:tcBorders/>
            <w:shd w:fill="CCEEFF" w:val="clear"/>
            <w:vAlign w:val="center"/>
          </w:tcPr>
          <w:p>
            <w:pPr>
              <w:pStyle w:val="TableContents"/>
              <w:bidi w:val="0"/>
              <w:spacing w:before="0" w:after="283"/>
              <w:jc w:val="left"/>
              <w:rPr/>
            </w:pPr>
            <w:r>
              <w:rPr/>
              <w:t> </w:t>
            </w:r>
          </w:p>
        </w:tc>
      </w:tr>
      <w:tr>
        <w:trPr/>
        <w:tc>
          <w:tcPr>
            <w:tcW w:w="5130"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9,347</w:t>
            </w:r>
          </w:p>
        </w:tc>
        <w:tc>
          <w:tcPr>
            <w:tcW w:w="172" w:type="dxa"/>
            <w:tcBorders/>
            <w:vAlign w:val="center"/>
          </w:tcPr>
          <w:p>
            <w:pPr>
              <w:pStyle w:val="TableContents"/>
              <w:bidi w:val="0"/>
              <w:spacing w:before="0" w:after="283"/>
              <w:ind w:left="0" w:right="0" w:hanging="180"/>
              <w:jc w:val="left"/>
              <w:rPr/>
            </w:pPr>
            <w:r>
              <w:rPr/>
              <w:t> </w:t>
            </w:r>
          </w:p>
        </w:tc>
      </w:tr>
      <w:tr>
        <w:trPr/>
        <w:tc>
          <w:tcPr>
            <w:tcW w:w="5130" w:type="dxa"/>
            <w:tcBorders/>
            <w:shd w:fill="CCEEFF" w:val="clear"/>
            <w:vAlign w:val="center"/>
          </w:tcPr>
          <w:p>
            <w:pPr>
              <w:pStyle w:val="TableContents"/>
              <w:bidi w:val="0"/>
              <w:spacing w:before="0" w:after="283"/>
              <w:jc w:val="left"/>
              <w:rPr/>
            </w:pPr>
            <w:r>
              <w:rPr/>
              <w:t>Loss from continuing operations before taxes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7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275"/>
        <w:gridCol w:w="7655"/>
      </w:tblGrid>
      <w:tr>
        <w:trPr/>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28, 2025, depreciation and amortization expense was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81"/>
        <w:gridCol w:w="90"/>
        <w:gridCol w:w="852"/>
        <w:gridCol w:w="1756"/>
        <w:gridCol w:w="90"/>
        <w:gridCol w:w="90"/>
        <w:gridCol w:w="630"/>
        <w:gridCol w:w="1303"/>
        <w:gridCol w:w="90"/>
        <w:gridCol w:w="90"/>
        <w:gridCol w:w="237"/>
        <w:gridCol w:w="488"/>
        <w:gridCol w:w="90"/>
        <w:gridCol w:w="90"/>
        <w:gridCol w:w="192"/>
        <w:gridCol w:w="398"/>
        <w:gridCol w:w="138"/>
      </w:tblGrid>
      <w:tr>
        <w:trPr/>
        <w:tc>
          <w:tcPr>
            <w:tcW w:w="3581" w:type="dxa"/>
            <w:tcBorders>
              <w:bottom w:val="single" w:sz="12" w:space="0" w:color="000000"/>
            </w:tcBorders>
            <w:vAlign w:val="center"/>
          </w:tcPr>
          <w:p>
            <w:pPr>
              <w:pStyle w:val="TableContents"/>
              <w:bidi w:val="0"/>
              <w:spacing w:before="0" w:after="283"/>
              <w:jc w:val="left"/>
              <w:rPr>
                <w:b/>
                <w:i/>
              </w:rPr>
            </w:pPr>
            <w:r>
              <w:rPr>
                <w:b/>
                <w:i/>
              </w:rPr>
              <w:t>(in millions)</w:t>
            </w:r>
          </w:p>
        </w:tc>
        <w:tc>
          <w:tcPr>
            <w:tcW w:w="90" w:type="dxa"/>
            <w:tcBorders/>
            <w:tcMar>
              <w:bottom w:w="0" w:type="dxa"/>
            </w:tcMar>
            <w:vAlign w:val="center"/>
          </w:tcPr>
          <w:p>
            <w:pPr>
              <w:pStyle w:val="TableContents"/>
              <w:bidi w:val="0"/>
              <w:spacing w:before="0" w:after="283"/>
              <w:jc w:val="left"/>
              <w:rPr/>
            </w:pPr>
            <w:r>
              <w:rPr/>
              <w:t> </w:t>
            </w:r>
          </w:p>
        </w:tc>
        <w:tc>
          <w:tcPr>
            <w:tcW w:w="2608" w:type="dxa"/>
            <w:gridSpan w:val="2"/>
            <w:tcBorders>
              <w:bottom w:val="single" w:sz="12" w:space="0" w:color="000000"/>
            </w:tcBorders>
            <w:vAlign w:val="center"/>
          </w:tcPr>
          <w:p>
            <w:pPr>
              <w:pStyle w:val="TableContents"/>
              <w:bidi w:val="0"/>
              <w:spacing w:before="0" w:after="283"/>
              <w:jc w:val="center"/>
              <w:rPr>
                <w:b/>
              </w:rPr>
            </w:pPr>
            <w:r>
              <w:rPr>
                <w:b/>
              </w:rPr>
              <w:t>Residential Solar Installation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33" w:type="dxa"/>
            <w:gridSpan w:val="2"/>
            <w:tcBorders>
              <w:bottom w:val="single" w:sz="12" w:space="0" w:color="000000"/>
            </w:tcBorders>
            <w:vAlign w:val="center"/>
          </w:tcPr>
          <w:p>
            <w:pPr>
              <w:pStyle w:val="TableContents"/>
              <w:bidi w:val="0"/>
              <w:spacing w:before="0" w:after="283"/>
              <w:jc w:val="center"/>
              <w:rPr>
                <w:b/>
              </w:rPr>
            </w:pPr>
            <w:r>
              <w:rPr>
                <w:b/>
              </w:rPr>
              <w:t>New Homes Business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12" w:space="0" w:color="000000"/>
            </w:tcBorders>
            <w:vAlign w:val="center"/>
          </w:tcPr>
          <w:p>
            <w:pPr>
              <w:pStyle w:val="TableContents"/>
              <w:bidi w:val="0"/>
              <w:spacing w:before="0" w:after="283"/>
              <w:jc w:val="center"/>
              <w:rPr>
                <w:b/>
              </w:rPr>
            </w:pPr>
            <w:r>
              <w:rPr>
                <w:b/>
              </w:rPr>
              <w:t>Dealer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38" w:type="dxa"/>
            <w:tcBorders/>
            <w:tcMar>
              <w:bottom w:w="0" w:type="dxa"/>
            </w:tcMar>
            <w:vAlign w:val="center"/>
          </w:tcPr>
          <w:p>
            <w:pPr>
              <w:pStyle w:val="TableContents"/>
              <w:bidi w:val="0"/>
              <w:spacing w:before="0" w:after="283"/>
              <w:jc w:val="left"/>
              <w:rPr/>
            </w:pPr>
            <w:r>
              <w:rPr/>
              <w:t> </w:t>
            </w:r>
          </w:p>
        </w:tc>
      </w:tr>
      <w:tr>
        <w:trPr/>
        <w:tc>
          <w:tcPr>
            <w:tcW w:w="3581" w:type="dxa"/>
            <w:tcBorders/>
            <w:tcMar>
              <w:bottom w:w="0" w:type="dxa"/>
            </w:tcMar>
            <w:vAlign w:val="center"/>
          </w:tcPr>
          <w:p>
            <w:pPr>
              <w:pStyle w:val="TableContents"/>
              <w:bidi w:val="0"/>
              <w:spacing w:before="0" w:after="283"/>
              <w:jc w:val="left"/>
              <w:rPr/>
            </w:pPr>
            <w:r>
              <w:rPr/>
              <w:t>Depreciation and amortization classified in:</w:t>
            </w:r>
          </w:p>
        </w:tc>
        <w:tc>
          <w:tcPr>
            <w:tcW w:w="90" w:type="dxa"/>
            <w:tcBorders/>
            <w:tcMar>
              <w:bottom w:w="0" w:type="dxa"/>
            </w:tcMar>
            <w:vAlign w:val="center"/>
          </w:tcPr>
          <w:p>
            <w:pPr>
              <w:pStyle w:val="TableContents"/>
              <w:bidi w:val="0"/>
              <w:spacing w:before="0" w:after="283"/>
              <w:jc w:val="left"/>
              <w:rPr/>
            </w:pPr>
            <w:r>
              <w:rPr/>
              <w:t> </w:t>
            </w:r>
          </w:p>
        </w:tc>
        <w:tc>
          <w:tcPr>
            <w:tcW w:w="2608"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33"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right"/>
              <w:rPr/>
            </w:pPr>
            <w:r>
              <w:rPr/>
              <w:t> </w:t>
            </w:r>
          </w:p>
        </w:tc>
        <w:tc>
          <w:tcPr>
            <w:tcW w:w="138" w:type="dxa"/>
            <w:tcBorders/>
            <w:tcMar>
              <w:bottom w:w="0" w:type="dxa"/>
            </w:tcMar>
            <w:vAlign w:val="center"/>
          </w:tcPr>
          <w:p>
            <w:pPr>
              <w:pStyle w:val="TableContents"/>
              <w:bidi w:val="0"/>
              <w:spacing w:before="0" w:after="283"/>
              <w:jc w:val="left"/>
              <w:rPr/>
            </w:pPr>
            <w:r>
              <w:rPr/>
              <w:t> </w:t>
            </w:r>
          </w:p>
        </w:tc>
      </w:tr>
      <w:tr>
        <w:trPr/>
        <w:tc>
          <w:tcPr>
            <w:tcW w:w="3581" w:type="dxa"/>
            <w:tcBorders/>
            <w:shd w:fill="CCEEFF" w:val="clear"/>
            <w:tcMar>
              <w:bottom w:w="0" w:type="dxa"/>
            </w:tcMar>
            <w:vAlign w:val="center"/>
          </w:tcPr>
          <w:p>
            <w:pPr>
              <w:pStyle w:val="TableContents"/>
              <w:bidi w:val="0"/>
              <w:spacing w:before="0" w:after="283"/>
              <w:jc w:val="left"/>
              <w:rPr/>
            </w:pPr>
            <w:r>
              <w:rPr/>
              <w:t>Cost of revenues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left"/>
              <w:rPr/>
            </w:pPr>
            <w:r>
              <w:rPr/>
              <w:t>$</w:t>
            </w:r>
          </w:p>
        </w:tc>
        <w:tc>
          <w:tcPr>
            <w:tcW w:w="1756" w:type="dxa"/>
            <w:tcBorders/>
            <w:shd w:fill="CCEEFF" w:val="clear"/>
            <w:tcMar>
              <w:bottom w:w="0" w:type="dxa"/>
            </w:tcMar>
            <w:vAlign w:val="center"/>
          </w:tcPr>
          <w:p>
            <w:pPr>
              <w:pStyle w:val="TableContents"/>
              <w:bidi w:val="0"/>
              <w:spacing w:before="0" w:after="283"/>
              <w:jc w:val="right"/>
              <w:rPr/>
            </w:pPr>
            <w:r>
              <w:rPr/>
              <w:t>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w:t>
            </w:r>
          </w:p>
        </w:tc>
        <w:tc>
          <w:tcPr>
            <w:tcW w:w="1303" w:type="dxa"/>
            <w:tcBorders/>
            <w:shd w:fill="CCEEFF" w:val="clear"/>
            <w:tcMar>
              <w:bottom w:w="0" w:type="dxa"/>
            </w:tcMar>
            <w:vAlign w:val="center"/>
          </w:tcPr>
          <w:p>
            <w:pPr>
              <w:pStyle w:val="TableContents"/>
              <w:bidi w:val="0"/>
              <w:spacing w:before="0" w:after="283"/>
              <w:jc w:val="right"/>
              <w:rPr/>
            </w:pPr>
            <w:r>
              <w:rPr/>
              <w:t>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488" w:type="dxa"/>
            <w:tcBorders/>
            <w:shd w:fill="CCEEFF" w:val="clear"/>
            <w:tcMar>
              <w:bottom w:w="0" w:type="dxa"/>
            </w:tcMar>
            <w:vAlign w:val="center"/>
          </w:tcPr>
          <w:p>
            <w:pPr>
              <w:pStyle w:val="TableContents"/>
              <w:bidi w:val="0"/>
              <w:spacing w:before="0" w:after="283"/>
              <w:jc w:val="right"/>
              <w:rPr/>
            </w:pPr>
            <w:r>
              <w:rPr/>
              <w:t>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w:t>
            </w:r>
          </w:p>
        </w:tc>
        <w:tc>
          <w:tcPr>
            <w:tcW w:w="398" w:type="dxa"/>
            <w:tcBorders/>
            <w:shd w:fill="CCEEFF" w:val="clear"/>
            <w:tcMar>
              <w:bottom w:w="0" w:type="dxa"/>
            </w:tcMar>
            <w:vAlign w:val="center"/>
          </w:tcPr>
          <w:p>
            <w:pPr>
              <w:pStyle w:val="TableContents"/>
              <w:bidi w:val="0"/>
              <w:spacing w:before="0" w:after="283"/>
              <w:jc w:val="right"/>
              <w:rPr/>
            </w:pPr>
            <w:r>
              <w:rPr/>
              <w:t>2.2</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3581" w:type="dxa"/>
            <w:tcBorders/>
            <w:tcMar>
              <w:bottom w:w="0" w:type="dxa"/>
            </w:tcMar>
            <w:vAlign w:val="center"/>
          </w:tcPr>
          <w:p>
            <w:pPr>
              <w:pStyle w:val="TableContents"/>
              <w:bidi w:val="0"/>
              <w:spacing w:before="0" w:after="283"/>
              <w:jc w:val="left"/>
              <w:rPr/>
            </w:pPr>
            <w:r>
              <w:rPr/>
              <w:t>General and administrative</w:t>
            </w:r>
          </w:p>
        </w:tc>
        <w:tc>
          <w:tcPr>
            <w:tcW w:w="90" w:type="dxa"/>
            <w:tcBorders/>
            <w:tcMar>
              <w:bottom w:w="0" w:type="dxa"/>
            </w:tcMar>
            <w:vAlign w:val="center"/>
          </w:tcPr>
          <w:p>
            <w:pPr>
              <w:pStyle w:val="TableContents"/>
              <w:bidi w:val="0"/>
              <w:spacing w:before="0" w:after="283"/>
              <w:jc w:val="left"/>
              <w:rPr/>
            </w:pPr>
            <w:r>
              <w:rPr/>
              <w:t> </w:t>
            </w:r>
          </w:p>
        </w:tc>
        <w:tc>
          <w:tcPr>
            <w:tcW w:w="852" w:type="dxa"/>
            <w:tcBorders>
              <w:bottom w:val="single" w:sz="12" w:space="0" w:color="000000"/>
            </w:tcBorders>
            <w:vAlign w:val="center"/>
          </w:tcPr>
          <w:p>
            <w:pPr>
              <w:pStyle w:val="TableContents"/>
              <w:bidi w:val="0"/>
              <w:spacing w:before="0" w:after="283"/>
              <w:jc w:val="left"/>
              <w:rPr/>
            </w:pPr>
            <w:r>
              <w:rPr/>
              <w:t> </w:t>
            </w:r>
          </w:p>
        </w:tc>
        <w:tc>
          <w:tcPr>
            <w:tcW w:w="1756" w:type="dxa"/>
            <w:tcBorders>
              <w:bottom w:val="single" w:sz="12" w:space="0" w:color="000000"/>
            </w:tcBorders>
            <w:vAlign w:val="center"/>
          </w:tcPr>
          <w:p>
            <w:pPr>
              <w:pStyle w:val="TableContents"/>
              <w:bidi w:val="0"/>
              <w:spacing w:before="0" w:after="283"/>
              <w:jc w:val="right"/>
              <w:rPr/>
            </w:pPr>
            <w:r>
              <w:rPr/>
              <w:t>5.3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0" w:type="dxa"/>
            <w:tcBorders>
              <w:bottom w:val="single" w:sz="12" w:space="0" w:color="000000"/>
            </w:tcBorders>
            <w:vAlign w:val="center"/>
          </w:tcPr>
          <w:p>
            <w:pPr>
              <w:pStyle w:val="TableContents"/>
              <w:bidi w:val="0"/>
              <w:spacing w:before="0" w:after="283"/>
              <w:jc w:val="left"/>
              <w:rPr/>
            </w:pPr>
            <w:r>
              <w:rPr/>
              <w:t> </w:t>
            </w:r>
          </w:p>
        </w:tc>
        <w:tc>
          <w:tcPr>
            <w:tcW w:w="1303" w:type="dxa"/>
            <w:tcBorders>
              <w:bottom w:val="single" w:sz="12" w:space="0" w:color="000000"/>
            </w:tcBorders>
            <w:vAlign w:val="center"/>
          </w:tcPr>
          <w:p>
            <w:pPr>
              <w:pStyle w:val="TableContents"/>
              <w:bidi w:val="0"/>
              <w:spacing w:before="0" w:after="283"/>
              <w:jc w:val="right"/>
              <w:rPr/>
            </w:pPr>
            <w:r>
              <w:rPr/>
              <w:t>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7" w:type="dxa"/>
            <w:tcBorders>
              <w:bottom w:val="single" w:sz="12" w:space="0" w:color="000000"/>
            </w:tcBorders>
            <w:vAlign w:val="center"/>
          </w:tcPr>
          <w:p>
            <w:pPr>
              <w:pStyle w:val="TableContents"/>
              <w:bidi w:val="0"/>
              <w:spacing w:before="0" w:after="283"/>
              <w:jc w:val="left"/>
              <w:rPr/>
            </w:pPr>
            <w:r>
              <w:rPr/>
              <w:t> </w:t>
            </w:r>
          </w:p>
        </w:tc>
        <w:tc>
          <w:tcPr>
            <w:tcW w:w="488" w:type="dxa"/>
            <w:tcBorders>
              <w:bottom w:val="single" w:sz="12" w:space="0" w:color="000000"/>
            </w:tcBorders>
            <w:vAlign w:val="center"/>
          </w:tcPr>
          <w:p>
            <w:pPr>
              <w:pStyle w:val="TableContents"/>
              <w:bidi w:val="0"/>
              <w:spacing w:before="0" w:after="283"/>
              <w:jc w:val="right"/>
              <w:rPr/>
            </w:pPr>
            <w:r>
              <w:rPr/>
              <w:t>0.9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398" w:type="dxa"/>
            <w:tcBorders>
              <w:bottom w:val="single" w:sz="12" w:space="0" w:color="000000"/>
            </w:tcBorders>
            <w:vAlign w:val="center"/>
          </w:tcPr>
          <w:p>
            <w:pPr>
              <w:pStyle w:val="TableContents"/>
              <w:bidi w:val="0"/>
              <w:spacing w:before="0" w:after="283"/>
              <w:jc w:val="right"/>
              <w:rPr/>
            </w:pPr>
            <w:r>
              <w:rPr/>
              <w:t>7.0</w:t>
            </w:r>
          </w:p>
        </w:tc>
        <w:tc>
          <w:tcPr>
            <w:tcW w:w="138" w:type="dxa"/>
            <w:tcBorders/>
            <w:tcMar>
              <w:bottom w:w="0" w:type="dxa"/>
            </w:tcMar>
            <w:vAlign w:val="center"/>
          </w:tcPr>
          <w:p>
            <w:pPr>
              <w:pStyle w:val="TableContents"/>
              <w:bidi w:val="0"/>
              <w:spacing w:before="0" w:after="283"/>
              <w:jc w:val="left"/>
              <w:rPr/>
            </w:pPr>
            <w:r>
              <w:rPr/>
              <w:t> </w:t>
            </w:r>
          </w:p>
        </w:tc>
      </w:tr>
      <w:tr>
        <w:trPr/>
        <w:tc>
          <w:tcPr>
            <w:tcW w:w="3581"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2" w:type="dxa"/>
            <w:tcBorders>
              <w:bottom w:val="double" w:sz="10" w:space="0" w:color="000000"/>
            </w:tcBorders>
            <w:shd w:fill="CCEEFF" w:val="clear"/>
            <w:vAlign w:val="center"/>
          </w:tcPr>
          <w:p>
            <w:pPr>
              <w:pStyle w:val="TableContents"/>
              <w:bidi w:val="0"/>
              <w:spacing w:before="0" w:after="283"/>
              <w:jc w:val="left"/>
              <w:rPr/>
            </w:pPr>
            <w:r>
              <w:rPr/>
              <w:t>$</w:t>
            </w:r>
          </w:p>
        </w:tc>
        <w:tc>
          <w:tcPr>
            <w:tcW w:w="1756" w:type="dxa"/>
            <w:tcBorders>
              <w:bottom w:val="double" w:sz="10" w:space="0" w:color="000000"/>
            </w:tcBorders>
            <w:shd w:fill="CCEEFF" w:val="clear"/>
            <w:vAlign w:val="center"/>
          </w:tcPr>
          <w:p>
            <w:pPr>
              <w:pStyle w:val="TableContents"/>
              <w:bidi w:val="0"/>
              <w:spacing w:before="0" w:after="283"/>
              <w:jc w:val="right"/>
              <w:rPr/>
            </w:pPr>
            <w:r>
              <w:rPr/>
              <w:t>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0" w:type="dxa"/>
            <w:tcBorders>
              <w:bottom w:val="double" w:sz="10" w:space="0" w:color="000000"/>
            </w:tcBorders>
            <w:shd w:fill="CCEEFF" w:val="clear"/>
            <w:vAlign w:val="center"/>
          </w:tcPr>
          <w:p>
            <w:pPr>
              <w:pStyle w:val="TableContents"/>
              <w:bidi w:val="0"/>
              <w:spacing w:before="0" w:after="283"/>
              <w:jc w:val="left"/>
              <w:rPr/>
            </w:pPr>
            <w:r>
              <w:rPr/>
              <w:t>$</w:t>
            </w:r>
          </w:p>
        </w:tc>
        <w:tc>
          <w:tcPr>
            <w:tcW w:w="1303" w:type="dxa"/>
            <w:tcBorders>
              <w:bottom w:val="double" w:sz="10" w:space="0" w:color="000000"/>
            </w:tcBorders>
            <w:shd w:fill="CCEEFF" w:val="clear"/>
            <w:vAlign w:val="center"/>
          </w:tcPr>
          <w:p>
            <w:pPr>
              <w:pStyle w:val="TableContents"/>
              <w:bidi w:val="0"/>
              <w:spacing w:before="0" w:after="283"/>
              <w:jc w:val="right"/>
              <w:rPr/>
            </w:pPr>
            <w:r>
              <w:rPr/>
              <w:t>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7" w:type="dxa"/>
            <w:tcBorders>
              <w:bottom w:val="double" w:sz="10" w:space="0" w:color="000000"/>
            </w:tcBorders>
            <w:shd w:fill="CCEEFF" w:val="clear"/>
            <w:vAlign w:val="center"/>
          </w:tcPr>
          <w:p>
            <w:pPr>
              <w:pStyle w:val="TableContents"/>
              <w:bidi w:val="0"/>
              <w:spacing w:before="0" w:after="283"/>
              <w:jc w:val="left"/>
              <w:rPr/>
            </w:pPr>
            <w:r>
              <w:rPr/>
              <w:t>$</w:t>
            </w:r>
          </w:p>
        </w:tc>
        <w:tc>
          <w:tcPr>
            <w:tcW w:w="488" w:type="dxa"/>
            <w:tcBorders>
              <w:bottom w:val="double" w:sz="10" w:space="0" w:color="000000"/>
            </w:tcBorders>
            <w:shd w:fill="CCEEFF" w:val="clear"/>
            <w:vAlign w:val="center"/>
          </w:tcPr>
          <w:p>
            <w:pPr>
              <w:pStyle w:val="TableContents"/>
              <w:bidi w:val="0"/>
              <w:spacing w:before="0" w:after="283"/>
              <w:jc w:val="right"/>
              <w:rPr/>
            </w:pPr>
            <w:r>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pPr>
            <w:r>
              <w:rPr/>
              <w:t>$</w:t>
            </w:r>
          </w:p>
        </w:tc>
        <w:tc>
          <w:tcPr>
            <w:tcW w:w="398" w:type="dxa"/>
            <w:tcBorders>
              <w:bottom w:val="double" w:sz="10" w:space="0" w:color="000000"/>
            </w:tcBorders>
            <w:shd w:fill="CCEEFF" w:val="clear"/>
            <w:vAlign w:val="center"/>
          </w:tcPr>
          <w:p>
            <w:pPr>
              <w:pStyle w:val="TableContents"/>
              <w:bidi w:val="0"/>
              <w:spacing w:before="0" w:after="283"/>
              <w:jc w:val="right"/>
              <w:rPr/>
            </w:pPr>
            <w:r>
              <w:rPr/>
              <w:t>9.2</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41"/>
        <w:gridCol w:w="90"/>
        <w:gridCol w:w="211"/>
        <w:gridCol w:w="979"/>
        <w:gridCol w:w="143"/>
        <w:gridCol w:w="103"/>
        <w:gridCol w:w="232"/>
        <w:gridCol w:w="939"/>
        <w:gridCol w:w="143"/>
        <w:gridCol w:w="103"/>
        <w:gridCol w:w="194"/>
        <w:gridCol w:w="954"/>
        <w:gridCol w:w="173"/>
      </w:tblGrid>
      <w:tr>
        <w:trPr/>
        <w:tc>
          <w:tcPr>
            <w:tcW w:w="59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0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73" w:type="dxa"/>
            <w:tcBorders/>
            <w:vAlign w:val="center"/>
          </w:tcPr>
          <w:p>
            <w:pPr>
              <w:pStyle w:val="TableContents"/>
              <w:bidi w:val="0"/>
              <w:spacing w:before="0" w:after="283"/>
              <w:jc w:val="left"/>
              <w:rPr/>
            </w:pPr>
            <w:r>
              <w:rPr/>
              <w:t> </w:t>
            </w:r>
          </w:p>
        </w:tc>
      </w:tr>
      <w:tr>
        <w:trPr/>
        <w:tc>
          <w:tcPr>
            <w:tcW w:w="594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br/>
              <w:t>Business</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Operating revenues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67,460</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41,282</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108,742</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45,266</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23,974</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23,388</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1,202</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6,827</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57,641</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18,953</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Segment operating (loss)</w:t>
            </w:r>
          </w:p>
        </w:tc>
        <w:tc>
          <w:tcPr>
            <w:tcW w:w="90"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tcMar>
              <w:bottom w:w="28" w:type="dxa"/>
            </w:tcMar>
            <w:vAlign w:val="center"/>
          </w:tcPr>
          <w:p>
            <w:pPr>
              <w:pStyle w:val="TableContents"/>
              <w:bidi w:val="0"/>
              <w:spacing w:before="0" w:after="283"/>
              <w:jc w:val="right"/>
              <w:rPr/>
            </w:pPr>
            <w:r>
              <w:rPr/>
              <w:t>(65,662</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tcMar>
              <w:bottom w:w="28" w:type="dxa"/>
            </w:tcMar>
            <w:vAlign w:val="center"/>
          </w:tcPr>
          <w:p>
            <w:pPr>
              <w:pStyle w:val="TableContents"/>
              <w:bidi w:val="0"/>
              <w:spacing w:before="0" w:after="283"/>
              <w:jc w:val="right"/>
              <w:rPr/>
            </w:pPr>
            <w:r>
              <w:rPr/>
              <w:t>(2,847</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tcMar>
              <w:bottom w:w="28" w:type="dxa"/>
            </w:tcMar>
            <w:vAlign w:val="center"/>
          </w:tcPr>
          <w:p>
            <w:pPr>
              <w:pStyle w:val="TableContents"/>
              <w:bidi w:val="0"/>
              <w:spacing w:before="0" w:after="283"/>
              <w:jc w:val="right"/>
              <w:rPr/>
            </w:pPr>
            <w:r>
              <w:rPr/>
              <w:t>(68,509</w:t>
            </w:r>
          </w:p>
        </w:tc>
        <w:tc>
          <w:tcPr>
            <w:tcW w:w="173" w:type="dxa"/>
            <w:tcBorders/>
            <w:vAlign w:val="center"/>
          </w:tcPr>
          <w:p>
            <w:pPr>
              <w:pStyle w:val="TableContents"/>
              <w:bidi w:val="0"/>
              <w:spacing w:before="0" w:after="283"/>
              <w:ind w:left="0" w:right="0" w:hanging="180"/>
              <w:jc w:val="left"/>
              <w:rPr/>
            </w:pPr>
            <w:r>
              <w:rPr/>
              <w:t>)</w:t>
            </w:r>
          </w:p>
        </w:tc>
      </w:tr>
      <w:tr>
        <w:trPr/>
        <w:tc>
          <w:tcPr>
            <w:tcW w:w="594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i/>
              </w:rPr>
            </w:pPr>
            <w:r>
              <w:rPr>
                <w:i/>
              </w:rPr>
              <w:t>Reconciliation of segment loss from continuing operations before income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Unallocated amounts: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(16,223</w:t>
            </w:r>
          </w:p>
        </w:tc>
        <w:tc>
          <w:tcPr>
            <w:tcW w:w="173" w:type="dxa"/>
            <w:tcBorders/>
            <w:vAlign w:val="center"/>
          </w:tcPr>
          <w:p>
            <w:pPr>
              <w:pStyle w:val="TableContents"/>
              <w:bidi w:val="0"/>
              <w:spacing w:before="0" w:after="283"/>
              <w:ind w:left="0" w:right="0" w:hanging="180"/>
              <w:jc w:val="left"/>
              <w:rPr/>
            </w:pPr>
            <w:r>
              <w:rPr/>
              <w:t>)</w:t>
            </w:r>
          </w:p>
        </w:tc>
      </w:tr>
      <w:tr>
        <w:trPr/>
        <w:tc>
          <w:tcPr>
            <w:tcW w:w="5941"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19</w:t>
            </w:r>
          </w:p>
        </w:tc>
        <w:tc>
          <w:tcPr>
            <w:tcW w:w="173" w:type="dxa"/>
            <w:tcBorders/>
            <w:shd w:fill="CCEEFF" w:val="clear"/>
            <w:vAlign w:val="center"/>
          </w:tcPr>
          <w:p>
            <w:pPr>
              <w:pStyle w:val="TableContents"/>
              <w:bidi w:val="0"/>
              <w:spacing w:before="0" w:after="283"/>
              <w:jc w:val="left"/>
              <w:rPr/>
            </w:pPr>
            <w:r>
              <w:rPr/>
              <w:t> </w:t>
            </w:r>
          </w:p>
        </w:tc>
      </w:tr>
      <w:tr>
        <w:trPr/>
        <w:tc>
          <w:tcPr>
            <w:tcW w:w="5941" w:type="dxa"/>
            <w:tcBorders/>
            <w:vAlign w:val="center"/>
          </w:tcPr>
          <w:p>
            <w:pPr>
              <w:pStyle w:val="TableContents"/>
              <w:bidi w:val="0"/>
              <w:spacing w:before="0" w:after="283"/>
              <w:jc w:val="left"/>
              <w:rPr/>
            </w:pPr>
            <w:r>
              <w:rPr/>
              <w:t>Other non-operating income, net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7,932</w:t>
            </w:r>
          </w:p>
        </w:tc>
        <w:tc>
          <w:tcPr>
            <w:tcW w:w="173" w:type="dxa"/>
            <w:tcBorders/>
            <w:vAlign w:val="center"/>
          </w:tcPr>
          <w:p>
            <w:pPr>
              <w:pStyle w:val="TableContents"/>
              <w:bidi w:val="0"/>
              <w:spacing w:before="0" w:after="283"/>
              <w:ind w:left="0" w:right="0" w:hanging="180"/>
              <w:jc w:val="left"/>
              <w:rPr/>
            </w:pPr>
            <w:r>
              <w:rPr/>
              <w:t> </w:t>
            </w:r>
          </w:p>
        </w:tc>
      </w:tr>
      <w:tr>
        <w:trPr/>
        <w:tc>
          <w:tcPr>
            <w:tcW w:w="5941" w:type="dxa"/>
            <w:tcBorders/>
            <w:shd w:fill="CCEEFF" w:val="clear"/>
            <w:vAlign w:val="center"/>
          </w:tcPr>
          <w:p>
            <w:pPr>
              <w:pStyle w:val="TableContents"/>
              <w:bidi w:val="0"/>
              <w:spacing w:before="0" w:after="283"/>
              <w:jc w:val="left"/>
              <w:rPr/>
            </w:pPr>
            <w:r>
              <w:rPr/>
              <w:t>Gain on troubled debt restructuring</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5941" w:type="dxa"/>
            <w:tcBorders/>
            <w:vAlign w:val="center"/>
          </w:tcPr>
          <w:p>
            <w:pPr>
              <w:pStyle w:val="TableContents"/>
              <w:bidi w:val="0"/>
              <w:spacing w:before="0" w:after="283"/>
              <w:jc w:val="left"/>
              <w:rPr/>
            </w:pPr>
            <w:r>
              <w:rPr/>
              <w:t>Loss from continuing operations before taxes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right"/>
              <w:rPr/>
            </w:pPr>
            <w:r>
              <w:rPr/>
              <w:t> </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4" w:type="dxa"/>
            <w:tcBorders>
              <w:bottom w:val="double" w:sz="10" w:space="0" w:color="000000"/>
            </w:tcBorders>
            <w:tcMar>
              <w:bottom w:w="28" w:type="dxa"/>
            </w:tcMar>
            <w:vAlign w:val="center"/>
          </w:tcPr>
          <w:p>
            <w:pPr>
              <w:pStyle w:val="TableContents"/>
              <w:bidi w:val="0"/>
              <w:spacing w:before="0" w:after="283"/>
              <w:jc w:val="right"/>
              <w:rPr/>
            </w:pPr>
            <w:r>
              <w:rPr/>
              <w:t>(54,444</w:t>
            </w:r>
          </w:p>
        </w:tc>
        <w:tc>
          <w:tcPr>
            <w:tcW w:w="173"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29, 2024, depreciation and amortization expense was $2.6 million and $0.1 million for the Residential Solar Installation and New Homes Business reportable segments, respectively.</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corporate expense represents costs primarily legacy costs that were not expected to be ongoing subsequent to the acquisition of the SunPower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Employee Benefit Plan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consolidated financial statements and the following notes to the consolidated financial statements for details and disclosures relating to related party transactions entered into by the Company; </w:t>
      </w:r>
      <w:r>
        <w:rPr>
          <w:rFonts w:ascii="Times New Roman;Times;Serif" w:hAnsi="Times New Roman;Times;Serif"/>
          <w:b/>
          <w:i w:val="false"/>
          <w:caps w:val="false"/>
          <w:smallCaps w:val="false"/>
          <w:sz w:val="20"/>
        </w:rPr>
        <w:t xml:space="preserve">Note 2 – Basis of Presentation and Summary of Significant Accounting Policies; Note 6 – Supplemental Balance Sheet Information; Note 8 – Forward Purchase Agreements, Note 9 – SAFE Agreements, Note 10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White Lion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 Convertible Note;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Investor a structuring and due diligence fee of $0.05 million and agreed to issue to the Investor 175,000 shares of the Company’s common stock within three days of the Effective Date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Cobalt Power Systems,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serif" w:hAnsi="Times New Roman;serif"/>
          <w:b/>
          <w:i/>
          <w:caps w:val="false"/>
          <w:smallCaps w:val="false"/>
          <w:sz w:val="20"/>
        </w:rPr>
      </w:pPr>
      <w:r>
        <w:rPr>
          <w:rFonts w:ascii="Times New Roman;serif" w:hAnsi="Times New Roman;serif"/>
          <w:b/>
          <w:i/>
          <w:caps w:val="false"/>
          <w:smallCaps w:val="false"/>
          <w:sz w:val="20"/>
        </w:rPr>
        <w:t>Investor Deposit by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28, 2025, $2.8 million of the September 2024 Notes were converted by holders into 1.6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80"/>
        <w:gridCol w:w="90"/>
        <w:gridCol w:w="575"/>
      </w:tblGrid>
      <w:tr>
        <w:trPr/>
        <w:tc>
          <w:tcPr>
            <w:tcW w:w="758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758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80"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68"/>
        <w:gridCol w:w="200"/>
        <w:gridCol w:w="8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D_002"/>
      <w:bookmarkEnd w:id="34"/>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65"/>
        <w:gridCol w:w="90"/>
        <w:gridCol w:w="175"/>
        <w:gridCol w:w="733"/>
        <w:gridCol w:w="128"/>
        <w:gridCol w:w="92"/>
        <w:gridCol w:w="175"/>
        <w:gridCol w:w="687"/>
        <w:gridCol w:w="160"/>
      </w:tblGrid>
      <w:tr>
        <w:trPr/>
        <w:tc>
          <w:tcPr>
            <w:tcW w:w="796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1,524</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1,710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2,018</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Accounts receivable, net of allowance for credit losses of $588 and $54 as of December 31, 2024 and 2023, respectively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2,991</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229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Due from related party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559</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94</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1,839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20,600</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3,872</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298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349</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397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506</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tcMar>
              <w:bottom w:w="28" w:type="dxa"/>
            </w:tcMar>
            <w:vAlign w:val="center"/>
          </w:tcPr>
          <w:p>
            <w:pPr>
              <w:pStyle w:val="TableContents"/>
              <w:bidi w:val="0"/>
              <w:spacing w:before="0" w:after="283"/>
              <w:jc w:val="right"/>
              <w:rPr/>
            </w:pPr>
            <w:r>
              <w:rPr/>
              <w:t>21,528</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w:t>
            </w:r>
          </w:p>
        </w:tc>
        <w:tc>
          <w:tcPr>
            <w:tcW w:w="687" w:type="dxa"/>
            <w:tcBorders>
              <w:bottom w:val="double" w:sz="10" w:space="0" w:color="000000"/>
            </w:tcBorders>
            <w:tcMar>
              <w:bottom w:w="28" w:type="dxa"/>
            </w:tcMar>
            <w:vAlign w:val="center"/>
          </w:tcPr>
          <w:p>
            <w:pPr>
              <w:pStyle w:val="TableContents"/>
              <w:bidi w:val="0"/>
              <w:spacing w:before="0" w:after="283"/>
              <w:jc w:val="right"/>
              <w:rPr/>
            </w:pPr>
            <w:r>
              <w:rPr/>
              <w:t>4,977</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b/>
              </w:rPr>
            </w:pPr>
            <w:r>
              <w:rPr>
                <w:b/>
              </w:rPr>
              <w:t>LIABILITIES AND MEMBER’S DEFICIT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1,402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3,487</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6,511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255</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Line of credit payable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2,250</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2,000</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17,231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2,381</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Operating lease liabilities, current portion</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27,513</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8,231</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CCEEFF" w:val="clear"/>
            <w:tcMar>
              <w:bottom w:w="28" w:type="dxa"/>
            </w:tcMar>
            <w:vAlign w:val="center"/>
          </w:tcPr>
          <w:p>
            <w:pPr>
              <w:pStyle w:val="TableContents"/>
              <w:bidi w:val="0"/>
              <w:spacing w:before="0" w:after="283"/>
              <w:jc w:val="right"/>
              <w:rPr/>
            </w:pPr>
            <w:r>
              <w:rPr/>
              <w:t>421</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27,815</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8,652</w:t>
            </w:r>
          </w:p>
        </w:tc>
        <w:tc>
          <w:tcPr>
            <w:tcW w:w="160" w:type="dxa"/>
            <w:tcBorders/>
            <w:vAlign w:val="center"/>
          </w:tcPr>
          <w:p>
            <w:pPr>
              <w:pStyle w:val="TableContents"/>
              <w:bidi w:val="0"/>
              <w:spacing w:before="0" w:after="283"/>
              <w:ind w:left="0" w:right="0" w:hanging="180"/>
              <w:jc w:val="left"/>
              <w:rPr/>
            </w:pPr>
            <w:r>
              <w:rPr/>
              <w:t> </w:t>
            </w:r>
          </w:p>
        </w:tc>
      </w:tr>
      <w:tr>
        <w:trPr/>
        <w:tc>
          <w:tcPr>
            <w:tcW w:w="7965" w:type="dxa"/>
            <w:tcBorders/>
            <w:shd w:fill="CCEEFF" w:val="clear"/>
            <w:vAlign w:val="center"/>
          </w:tcPr>
          <w:p>
            <w:pPr>
              <w:pStyle w:val="TableContents"/>
              <w:bidi w:val="0"/>
              <w:spacing w:before="0" w:after="283"/>
              <w:jc w:val="left"/>
              <w:rPr/>
            </w:pPr>
            <w:r>
              <w:rPr/>
              <w:t>Commitments and Contingencies (Note 12)</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7965" w:type="dxa"/>
            <w:tcBorders/>
            <w:vAlign w:val="center"/>
          </w:tcPr>
          <w:p>
            <w:pPr>
              <w:pStyle w:val="TableContents"/>
              <w:bidi w:val="0"/>
              <w:spacing w:before="0" w:after="283"/>
              <w:jc w:val="left"/>
              <w:rPr/>
            </w:pPr>
            <w:r>
              <w:rPr/>
              <w:t>Member’s deficit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3" w:type="dxa"/>
            <w:tcBorders>
              <w:bottom w:val="single" w:sz="12" w:space="0" w:color="000000"/>
            </w:tcBorders>
            <w:tcMar>
              <w:bottom w:w="28" w:type="dxa"/>
            </w:tcMar>
            <w:vAlign w:val="center"/>
          </w:tcPr>
          <w:p>
            <w:pPr>
              <w:pStyle w:val="TableContents"/>
              <w:bidi w:val="0"/>
              <w:spacing w:before="0" w:after="283"/>
              <w:jc w:val="right"/>
              <w:rPr/>
            </w:pPr>
            <w:r>
              <w:rPr/>
              <w:t>(6,287</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tcMar>
              <w:bottom w:w="28" w:type="dxa"/>
            </w:tcMar>
            <w:vAlign w:val="center"/>
          </w:tcPr>
          <w:p>
            <w:pPr>
              <w:pStyle w:val="TableContents"/>
              <w:bidi w:val="0"/>
              <w:spacing w:before="0" w:after="283"/>
              <w:jc w:val="right"/>
              <w:rPr/>
            </w:pPr>
            <w:r>
              <w:rPr/>
              <w:t>(3,675</w:t>
            </w:r>
          </w:p>
        </w:tc>
        <w:tc>
          <w:tcPr>
            <w:tcW w:w="160" w:type="dxa"/>
            <w:tcBorders/>
            <w:vAlign w:val="center"/>
          </w:tcPr>
          <w:p>
            <w:pPr>
              <w:pStyle w:val="TableContents"/>
              <w:bidi w:val="0"/>
              <w:spacing w:before="0" w:after="283"/>
              <w:ind w:left="0" w:right="0" w:hanging="180"/>
              <w:jc w:val="left"/>
              <w:rPr/>
            </w:pPr>
            <w:r>
              <w:rPr/>
              <w:t>)</w:t>
            </w:r>
          </w:p>
        </w:tc>
      </w:tr>
      <w:tr>
        <w:trPr/>
        <w:tc>
          <w:tcPr>
            <w:tcW w:w="7965" w:type="dxa"/>
            <w:tcBorders/>
            <w:shd w:fill="CCEEFF" w:val="clear"/>
            <w:vAlign w:val="center"/>
          </w:tcPr>
          <w:p>
            <w:pPr>
              <w:pStyle w:val="TableContents"/>
              <w:bidi w:val="0"/>
              <w:spacing w:before="0" w:after="283"/>
              <w:jc w:val="left"/>
              <w:rPr/>
            </w:pPr>
            <w:r>
              <w:rPr/>
              <w:t>Total liabilities and member’s deficit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3" w:type="dxa"/>
            <w:tcBorders>
              <w:bottom w:val="double" w:sz="10" w:space="0" w:color="000000"/>
            </w:tcBorders>
            <w:shd w:fill="CCEEFF" w:val="clear"/>
            <w:tcMar>
              <w:bottom w:w="28" w:type="dxa"/>
            </w:tcMar>
            <w:vAlign w:val="center"/>
          </w:tcPr>
          <w:p>
            <w:pPr>
              <w:pStyle w:val="TableContents"/>
              <w:bidi w:val="0"/>
              <w:spacing w:before="0" w:after="283"/>
              <w:jc w:val="right"/>
              <w:rPr/>
            </w:pPr>
            <w:r>
              <w:rPr/>
              <w:t>21,528</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7" w:type="dxa"/>
            <w:tcBorders>
              <w:bottom w:val="double" w:sz="10" w:space="0" w:color="000000"/>
            </w:tcBorders>
            <w:shd w:fill="CCEEFF" w:val="clear"/>
            <w:tcMar>
              <w:bottom w:w="28" w:type="dxa"/>
            </w:tcMar>
            <w:vAlign w:val="center"/>
          </w:tcPr>
          <w:p>
            <w:pPr>
              <w:pStyle w:val="TableContents"/>
              <w:bidi w:val="0"/>
              <w:spacing w:before="0" w:after="283"/>
              <w:jc w:val="right"/>
              <w:rPr/>
            </w:pPr>
            <w:r>
              <w:rPr/>
              <w:t>4,977</w:t>
            </w:r>
          </w:p>
        </w:tc>
        <w:tc>
          <w:tcPr>
            <w:tcW w:w="1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D_003"/>
      <w:bookmarkEnd w:id="35"/>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417" w:type="dxa"/>
        <w:jc w:val="left"/>
        <w:tblInd w:w="0" w:type="dxa"/>
        <w:tblLayout w:type="fixed"/>
        <w:tblCellMar>
          <w:top w:w="0" w:type="dxa"/>
          <w:left w:w="0" w:type="dxa"/>
          <w:bottom w:w="0" w:type="dxa"/>
          <w:right w:w="0" w:type="dxa"/>
        </w:tblCellMar>
      </w:tblPr>
      <w:tblGrid>
        <w:gridCol w:w="3320"/>
        <w:gridCol w:w="90"/>
        <w:gridCol w:w="235"/>
        <w:gridCol w:w="1087"/>
        <w:gridCol w:w="173"/>
        <w:gridCol w:w="124"/>
        <w:gridCol w:w="235"/>
        <w:gridCol w:w="983"/>
        <w:gridCol w:w="170"/>
      </w:tblGrid>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7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44,293</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83" w:type="dxa"/>
            <w:tcBorders/>
            <w:shd w:fill="CCEEFF" w:val="clear"/>
            <w:vAlign w:val="center"/>
          </w:tcPr>
          <w:p>
            <w:pPr>
              <w:pStyle w:val="TableContents"/>
              <w:bidi w:val="0"/>
              <w:spacing w:before="0" w:after="283"/>
              <w:jc w:val="right"/>
              <w:rPr/>
            </w:pPr>
            <w:r>
              <w:rPr/>
              <w:t>56,928</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37,554</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46,815</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1,170</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989</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15,851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54,870</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63,655</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73" w:type="dxa"/>
            <w:tcBorders/>
            <w:shd w:fill="CCEEFF" w:val="clear"/>
            <w:vAlign w:val="center"/>
          </w:tcPr>
          <w:p>
            <w:pPr>
              <w:pStyle w:val="TableContents"/>
              <w:bidi w:val="0"/>
              <w:spacing w:before="0" w:after="283"/>
              <w:jc w:val="left"/>
              <w:rPr/>
            </w:pPr>
            <w:r>
              <w:rPr/>
              <w:t>)</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(6,727</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(180</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18</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4,525</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4,363</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Loss from continuing operations</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(6,214</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(6,743</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Loss from discontinued operations</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1087" w:type="dxa"/>
            <w:tcBorders>
              <w:bottom w:val="double" w:sz="10" w:space="0" w:color="000000"/>
            </w:tcBorders>
            <w:tcMar>
              <w:bottom w:w="28" w:type="dxa"/>
            </w:tcMar>
            <w:vAlign w:val="center"/>
          </w:tcPr>
          <w:p>
            <w:pPr>
              <w:pStyle w:val="TableContents"/>
              <w:bidi w:val="0"/>
              <w:spacing w:before="0" w:after="283"/>
              <w:jc w:val="right"/>
              <w:rPr/>
            </w:pPr>
            <w:r>
              <w:rPr/>
              <w:t>(6,214</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983" w:type="dxa"/>
            <w:tcBorders>
              <w:bottom w:val="double" w:sz="10" w:space="0" w:color="000000"/>
            </w:tcBorders>
            <w:tcMar>
              <w:bottom w:w="28" w:type="dxa"/>
            </w:tcMar>
            <w:vAlign w:val="center"/>
          </w:tcPr>
          <w:p>
            <w:pPr>
              <w:pStyle w:val="TableContents"/>
              <w:bidi w:val="0"/>
              <w:spacing w:before="0" w:after="283"/>
              <w:jc w:val="right"/>
              <w:rPr/>
            </w:pPr>
            <w:r>
              <w:rPr/>
              <w:t>(6,803</w:t>
            </w:r>
          </w:p>
        </w:tc>
        <w:tc>
          <w:tcPr>
            <w:tcW w:w="17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D_004"/>
      <w:bookmarkEnd w:id="36"/>
      <w:r>
        <w:rPr>
          <w:rFonts w:ascii="Times New Roman;Times;Serif" w:hAnsi="Times New Roman;Times;Serif"/>
          <w:b/>
          <w:i w:val="false"/>
          <w:caps w:val="false"/>
          <w:smallCaps w:val="false"/>
          <w:sz w:val="20"/>
        </w:rPr>
        <w:t xml:space="preserve">SUNDER ENERGY LLC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MEMBER’S DEFICIT</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4115"/>
        <w:gridCol w:w="90"/>
        <w:gridCol w:w="170"/>
        <w:gridCol w:w="665"/>
        <w:gridCol w:w="170"/>
      </w:tblGrid>
      <w:tr>
        <w:trPr/>
        <w:tc>
          <w:tcPr>
            <w:tcW w:w="4115" w:type="dxa"/>
            <w:tcBorders/>
            <w:shd w:fill="CCEEFF" w:val="clear"/>
            <w:vAlign w:val="center"/>
          </w:tcPr>
          <w:p>
            <w:pPr>
              <w:pStyle w:val="TableContents"/>
              <w:bidi w:val="0"/>
              <w:spacing w:before="0" w:after="283"/>
              <w:jc w:val="left"/>
              <w:rPr/>
            </w:pPr>
            <w:r>
              <w:rPr/>
              <w:t>Member’s equity as of January 1, 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6,330</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(6,803</w:t>
            </w:r>
          </w:p>
        </w:tc>
        <w:tc>
          <w:tcPr>
            <w:tcW w:w="170"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Distributions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(3,202</w:t>
            </w:r>
          </w:p>
        </w:tc>
        <w:tc>
          <w:tcPr>
            <w:tcW w:w="170" w:type="dxa"/>
            <w:tcBorders/>
            <w:shd w:fill="CCEEFF" w:val="clear"/>
            <w:vAlign w:val="center"/>
          </w:tcPr>
          <w:p>
            <w:pPr>
              <w:pStyle w:val="TableContents"/>
              <w:bidi w:val="0"/>
              <w:spacing w:before="0" w:after="283"/>
              <w:jc w:val="left"/>
              <w:rPr/>
            </w:pPr>
            <w:r>
              <w:rPr/>
              <w:t>)</w:t>
            </w:r>
          </w:p>
        </w:tc>
      </w:tr>
      <w:tr>
        <w:trPr/>
        <w:tc>
          <w:tcPr>
            <w:tcW w:w="4115" w:type="dxa"/>
            <w:tcBorders/>
            <w:vAlign w:val="center"/>
          </w:tcPr>
          <w:p>
            <w:pPr>
              <w:pStyle w:val="TableContents"/>
              <w:bidi w:val="0"/>
              <w:spacing w:before="0" w:after="283"/>
              <w:jc w:val="left"/>
              <w:rPr/>
            </w:pPr>
            <w:r>
              <w:rPr/>
              <w:t>Member’s deficit as of December 31, 2023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(3,675</w:t>
            </w:r>
          </w:p>
        </w:tc>
        <w:tc>
          <w:tcPr>
            <w:tcW w:w="170" w:type="dxa"/>
            <w:tcBorders/>
            <w:vAlign w:val="center"/>
          </w:tcPr>
          <w:p>
            <w:pPr>
              <w:pStyle w:val="TableContents"/>
              <w:bidi w:val="0"/>
              <w:spacing w:before="0" w:after="283"/>
              <w:jc w:val="left"/>
              <w:rPr/>
            </w:pPr>
            <w:r>
              <w:rPr/>
              <w:t>)</w:t>
            </w:r>
          </w:p>
        </w:tc>
      </w:tr>
      <w:tr>
        <w:trPr/>
        <w:tc>
          <w:tcPr>
            <w:tcW w:w="411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(6,214</w:t>
            </w:r>
          </w:p>
        </w:tc>
        <w:tc>
          <w:tcPr>
            <w:tcW w:w="170" w:type="dxa"/>
            <w:tcBorders/>
            <w:shd w:fill="CCEEFF" w:val="clear"/>
            <w:vAlign w:val="center"/>
          </w:tcPr>
          <w:p>
            <w:pPr>
              <w:pStyle w:val="TableContents"/>
              <w:bidi w:val="0"/>
              <w:spacing w:before="0" w:after="283"/>
              <w:jc w:val="left"/>
              <w:rPr/>
            </w:pPr>
            <w:r>
              <w:rPr/>
              <w:t>)</w:t>
            </w:r>
          </w:p>
        </w:tc>
      </w:tr>
      <w:tr>
        <w:trPr/>
        <w:tc>
          <w:tcPr>
            <w:tcW w:w="4115" w:type="dxa"/>
            <w:tcBorders/>
            <w:vAlign w:val="center"/>
          </w:tcPr>
          <w:p>
            <w:pPr>
              <w:pStyle w:val="TableContents"/>
              <w:bidi w:val="0"/>
              <w:spacing w:before="0" w:after="283"/>
              <w:jc w:val="left"/>
              <w:rPr/>
            </w:pPr>
            <w:r>
              <w:rPr/>
              <w:t>Capital contribution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4,059</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Distributions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70" w:type="dxa"/>
            <w:tcBorders/>
            <w:shd w:fill="CCEEFF" w:val="clear"/>
            <w:vAlign w:val="center"/>
          </w:tcPr>
          <w:p>
            <w:pPr>
              <w:pStyle w:val="TableContents"/>
              <w:bidi w:val="0"/>
              <w:spacing w:before="0" w:after="283"/>
              <w:jc w:val="left"/>
              <w:rPr/>
            </w:pPr>
            <w:r>
              <w:rPr/>
              <w:t>)</w:t>
            </w:r>
          </w:p>
        </w:tc>
      </w:tr>
      <w:tr>
        <w:trPr/>
        <w:tc>
          <w:tcPr>
            <w:tcW w:w="4115" w:type="dxa"/>
            <w:tcBorders/>
            <w:vAlign w:val="center"/>
          </w:tcPr>
          <w:p>
            <w:pPr>
              <w:pStyle w:val="TableContents"/>
              <w:bidi w:val="0"/>
              <w:spacing w:before="0" w:after="283"/>
              <w:jc w:val="left"/>
              <w:rPr/>
            </w:pPr>
            <w:r>
              <w:rPr/>
              <w:t>Member’s deficit as of December 31, 2024</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(6,287</w:t>
            </w:r>
          </w:p>
        </w:tc>
        <w:tc>
          <w:tcPr>
            <w:tcW w:w="17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5"/>
      <w:bookmarkEnd w:id="37"/>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40"/>
        <w:gridCol w:w="90"/>
        <w:gridCol w:w="170"/>
        <w:gridCol w:w="785"/>
        <w:gridCol w:w="125"/>
        <w:gridCol w:w="90"/>
        <w:gridCol w:w="170"/>
        <w:gridCol w:w="665"/>
        <w:gridCol w:w="170"/>
      </w:tblGrid>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b/>
              </w:rPr>
            </w:pPr>
            <w:r>
              <w:rPr>
                <w:b/>
              </w:rPr>
              <w:t>Cash flows from operating activities from continuing operations</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(6,803</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Net loss from discontinued operations, net of tax</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(6,214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(6,743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940" w:type="dxa"/>
            <w:tcBorders/>
            <w:vAlign w:val="center"/>
          </w:tcPr>
          <w:p>
            <w:pPr>
              <w:pStyle w:val="TableContents"/>
              <w:bidi w:val="0"/>
              <w:spacing w:before="0" w:after="283"/>
              <w:jc w:val="left"/>
              <w:rPr/>
            </w:pPr>
            <w:r>
              <w:rPr/>
              <w:t>Adjustments to reconcile net loss from continuing operations to 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160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3,677</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Amortization of operating lease right-of-use asset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103</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Trade 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(4,521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Due from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(94</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(1,022</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(115</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(2,085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3,380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6,256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(1,125</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14,850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2,381</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(80</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Net cash (used in) provided by operating activities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(1,992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Cash paid for purchase of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Net cash used in investing activities from continuing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(338</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Cash distribution to member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(3,202</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Cash contributions from member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Borrowings on the line of credit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2,000</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Repayments on the line of credit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Net cash provided by (used in) financing activities from continuing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3,852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(1,202</w:t>
            </w:r>
          </w:p>
        </w:tc>
        <w:tc>
          <w:tcPr>
            <w:tcW w:w="170" w:type="dxa"/>
            <w:tcBorders/>
            <w:vAlign w:val="center"/>
          </w:tcPr>
          <w:p>
            <w:pPr>
              <w:pStyle w:val="TableContents"/>
              <w:bidi w:val="0"/>
              <w:spacing w:before="0" w:after="283"/>
              <w:jc w:val="left"/>
              <w:rPr/>
            </w:pPr>
            <w:r>
              <w:rPr/>
              <w:t>)</w:t>
            </w:r>
          </w:p>
        </w:tc>
      </w:tr>
      <w:tr>
        <w:trPr/>
        <w:tc>
          <w:tcPr>
            <w:tcW w:w="7940" w:type="dxa"/>
            <w:tcBorders/>
            <w:shd w:fill="CCEEFF" w:val="clear"/>
            <w:vAlign w:val="center"/>
          </w:tcPr>
          <w:p>
            <w:pPr>
              <w:pStyle w:val="TableContents"/>
              <w:bidi w:val="0"/>
              <w:spacing w:before="0" w:after="283"/>
              <w:jc w:val="left"/>
              <w:rPr/>
            </w:pPr>
            <w:r>
              <w:rPr/>
              <w:t>Net change in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(1,022</w:t>
            </w:r>
          </w:p>
        </w:tc>
        <w:tc>
          <w:tcPr>
            <w:tcW w:w="170" w:type="dxa"/>
            <w:tcBorders/>
            <w:shd w:fill="CCEEFF" w:val="clear"/>
            <w:vAlign w:val="center"/>
          </w:tcPr>
          <w:p>
            <w:pPr>
              <w:pStyle w:val="TableContents"/>
              <w:bidi w:val="0"/>
              <w:spacing w:before="0" w:after="283"/>
              <w:jc w:val="left"/>
              <w:rPr/>
            </w:pPr>
            <w:r>
              <w:rPr/>
              <w:t>)</w:t>
            </w:r>
          </w:p>
        </w:tc>
      </w:tr>
      <w:tr>
        <w:trPr/>
        <w:tc>
          <w:tcPr>
            <w:tcW w:w="7940" w:type="dxa"/>
            <w:tcBorders/>
            <w:vAlign w:val="center"/>
          </w:tcPr>
          <w:p>
            <w:pPr>
              <w:pStyle w:val="TableContents"/>
              <w:bidi w:val="0"/>
              <w:spacing w:before="0" w:after="283"/>
              <w:jc w:val="left"/>
              <w:rPr/>
            </w:pPr>
            <w:r>
              <w:rPr/>
              <w:t>Cash and restricted cash beginning of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1,710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2,732</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Cash and restricted cash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1,524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2,018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pPr>
            <w:r>
              <w:rPr/>
              <w:t>Total cash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b/>
              </w:rPr>
            </w:pPr>
            <w:r>
              <w:rPr>
                <w:b/>
              </w:rPr>
              <w:t>Non-cash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Right-of-use assets acquired in exchange for operating lease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609</w:t>
            </w:r>
          </w:p>
        </w:tc>
        <w:tc>
          <w:tcPr>
            <w:tcW w:w="170" w:type="dxa"/>
            <w:tcBorders/>
            <w:vAlign w:val="center"/>
          </w:tcPr>
          <w:p>
            <w:pPr>
              <w:pStyle w:val="TableContents"/>
              <w:bidi w:val="0"/>
              <w:spacing w:before="0" w:after="283"/>
              <w:jc w:val="left"/>
              <w:rPr/>
            </w:pPr>
            <w:r>
              <w:rPr/>
              <w:t> </w:t>
            </w:r>
          </w:p>
        </w:tc>
      </w:tr>
      <w:tr>
        <w:trPr/>
        <w:tc>
          <w:tcPr>
            <w:tcW w:w="7940" w:type="dxa"/>
            <w:tcBorders/>
            <w:shd w:fill="CCEEFF" w:val="clear"/>
            <w:vAlign w:val="center"/>
          </w:tcPr>
          <w:p>
            <w:pPr>
              <w:pStyle w:val="TableContents"/>
              <w:bidi w:val="0"/>
              <w:spacing w:before="0" w:after="283"/>
              <w:jc w:val="left"/>
              <w:rPr>
                <w:b/>
              </w:rPr>
            </w:pPr>
            <w:r>
              <w:rPr>
                <w:b/>
              </w:rPr>
              <w:t>Supplemental cash flow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940"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6"/>
      <w:bookmarkEnd w:id="38"/>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party represents a loan receivable from Enzy Technologies LLC (“Enzy”) an entity related to the Company by common ownership. The Company collected revenues for Enzy and paid certain shared expenses for Enzy’s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represent a security deposit for the operating lease, noncurrent prepaid expenses, and bonus install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also had revenue from the sale of software as a service (these operations were discontinued, See Note 14 –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promotions are expensed in the year incurred. Advertising and promotions expense totaled $1,393 and $1,791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 Ownership Interest and 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net are as follows:</w:t>
      </w:r>
    </w:p>
    <w:p>
      <w:pPr>
        <w:pStyle w:val="TextBody"/>
        <w:bidi w:val="0"/>
        <w:spacing w:before="0" w:after="0"/>
        <w:ind w:left="0" w:right="0" w:hanging="0"/>
        <w:jc w:val="both"/>
        <w:rPr>
          <w:caps w:val="false"/>
          <w:smallCaps w:val="false"/>
        </w:rPr>
      </w:pPr>
      <w:r>
        <w:rPr>
          <w:caps w:val="false"/>
          <w:smallCaps w:val="false"/>
        </w:rPr>
        <w:t> </w:t>
      </w:r>
    </w:p>
    <w:tbl>
      <w:tblPr>
        <w:tblW w:w="5937" w:type="dxa"/>
        <w:jc w:val="left"/>
        <w:tblInd w:w="0" w:type="dxa"/>
        <w:tblLayout w:type="fixed"/>
        <w:tblCellMar>
          <w:top w:w="0" w:type="dxa"/>
          <w:left w:w="0" w:type="dxa"/>
          <w:bottom w:w="0" w:type="dxa"/>
          <w:right w:w="0" w:type="dxa"/>
        </w:tblCellMar>
      </w:tblPr>
      <w:tblGrid>
        <w:gridCol w:w="3650"/>
        <w:gridCol w:w="90"/>
        <w:gridCol w:w="221"/>
        <w:gridCol w:w="770"/>
        <w:gridCol w:w="163"/>
        <w:gridCol w:w="117"/>
        <w:gridCol w:w="221"/>
        <w:gridCol w:w="535"/>
        <w:gridCol w:w="170"/>
      </w:tblGrid>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7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Trade accounts receivable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1,199</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(286</w:t>
            </w:r>
          </w:p>
        </w:tc>
        <w:tc>
          <w:tcPr>
            <w:tcW w:w="163"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Trade accounts receivable, net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Contractor advances receivable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786</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283"/>
              <w:jc w:val="right"/>
              <w:rPr/>
            </w:pPr>
            <w:r>
              <w:rPr/>
              <w:t>233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Transaction fee receivable</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20</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Commissions overpayment receivable</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1,574</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63"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tcMar>
              <w:bottom w:w="28" w:type="dxa"/>
            </w:tcMar>
            <w:vAlign w:val="center"/>
          </w:tcPr>
          <w:p>
            <w:pPr>
              <w:pStyle w:val="TableContents"/>
              <w:bidi w:val="0"/>
              <w:spacing w:before="0" w:after="283"/>
              <w:jc w:val="right"/>
              <w:rPr/>
            </w:pPr>
            <w:r>
              <w:rPr/>
              <w:t>(54</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Total due from sales representatives</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Total accounts receivable, net</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770" w:type="dxa"/>
            <w:tcBorders>
              <w:bottom w:val="double" w:sz="10" w:space="0" w:color="000000"/>
            </w:tcBorders>
            <w:tcMar>
              <w:bottom w:w="28" w:type="dxa"/>
            </w:tcMar>
            <w:vAlign w:val="center"/>
          </w:tcPr>
          <w:p>
            <w:pPr>
              <w:pStyle w:val="TableContents"/>
              <w:bidi w:val="0"/>
              <w:spacing w:before="0" w:after="283"/>
              <w:jc w:val="right"/>
              <w:rPr/>
            </w:pPr>
            <w:r>
              <w:rPr/>
              <w:t>2,991</w:t>
            </w:r>
          </w:p>
        </w:tc>
        <w:tc>
          <w:tcPr>
            <w:tcW w:w="16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pPr>
            <w:r>
              <w:rPr/>
              <w:t>$</w:t>
            </w:r>
          </w:p>
        </w:tc>
        <w:tc>
          <w:tcPr>
            <w:tcW w:w="535" w:type="dxa"/>
            <w:tcBorders>
              <w:bottom w:val="double" w:sz="10" w:space="0" w:color="000000"/>
            </w:tcBorders>
            <w:tcMar>
              <w:bottom w:w="28" w:type="dxa"/>
            </w:tcMar>
            <w:vAlign w:val="center"/>
          </w:tcPr>
          <w:p>
            <w:pPr>
              <w:pStyle w:val="TableContents"/>
              <w:bidi w:val="0"/>
              <w:spacing w:before="0" w:after="283"/>
              <w:jc w:val="right"/>
              <w:rPr/>
            </w:pPr>
            <w:r>
              <w:rPr/>
              <w:t>229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 4.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4"/>
        <w:gridCol w:w="90"/>
        <w:gridCol w:w="334"/>
        <w:gridCol w:w="1164"/>
        <w:gridCol w:w="133"/>
        <w:gridCol w:w="96"/>
        <w:gridCol w:w="464"/>
        <w:gridCol w:w="1000"/>
        <w:gridCol w:w="133"/>
        <w:gridCol w:w="96"/>
        <w:gridCol w:w="417"/>
        <w:gridCol w:w="1195"/>
        <w:gridCol w:w="133"/>
        <w:gridCol w:w="96"/>
        <w:gridCol w:w="539"/>
        <w:gridCol w:w="1306"/>
        <w:gridCol w:w="133"/>
        <w:gridCol w:w="96"/>
        <w:gridCol w:w="181"/>
        <w:gridCol w:w="712"/>
        <w:gridCol w:w="183"/>
      </w:tblGrid>
      <w:tr>
        <w:trPr/>
        <w:tc>
          <w:tcPr>
            <w:tcW w:w="170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2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2024</w:t>
            </w:r>
          </w:p>
        </w:tc>
        <w:tc>
          <w:tcPr>
            <w:tcW w:w="183" w:type="dxa"/>
            <w:tcBorders/>
            <w:vAlign w:val="center"/>
          </w:tcPr>
          <w:p>
            <w:pPr>
              <w:pStyle w:val="TableContents"/>
              <w:bidi w:val="0"/>
              <w:spacing w:before="0" w:after="283"/>
              <w:jc w:val="left"/>
              <w:rPr/>
            </w:pPr>
            <w:r>
              <w:rPr/>
              <w:t> </w:t>
            </w:r>
          </w:p>
        </w:tc>
      </w:tr>
      <w:tr>
        <w:trPr/>
        <w:tc>
          <w:tcPr>
            <w:tcW w:w="170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8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5</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46</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3</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54</w:t>
            </w:r>
          </w:p>
        </w:tc>
        <w:tc>
          <w:tcPr>
            <w:tcW w:w="183" w:type="dxa"/>
            <w:tcBorders/>
            <w:shd w:fill="CCEEFF" w:val="clear"/>
            <w:vAlign w:val="center"/>
          </w:tcPr>
          <w:p>
            <w:pPr>
              <w:pStyle w:val="TableContents"/>
              <w:bidi w:val="0"/>
              <w:spacing w:before="0" w:after="283"/>
              <w:ind w:left="0" w:right="0" w:hanging="180"/>
              <w:jc w:val="left"/>
              <w:rPr/>
            </w:pPr>
            <w:r>
              <w:rPr/>
              <w:t> </w:t>
            </w:r>
          </w:p>
        </w:tc>
      </w:tr>
      <w:tr>
        <w:trPr/>
        <w:tc>
          <w:tcPr>
            <w:tcW w:w="1704"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1,053</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6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26</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right"/>
              <w:rPr/>
            </w:pPr>
            <w:r>
              <w:rPr/>
              <w:t>545</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189</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right"/>
              <w:rPr/>
            </w:pPr>
            <w:r>
              <w:rPr/>
              <w:t>1,813</w:t>
            </w:r>
          </w:p>
        </w:tc>
        <w:tc>
          <w:tcPr>
            <w:tcW w:w="183"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(767</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(24</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(414</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53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(20</w:t>
            </w:r>
          </w:p>
        </w:tc>
        <w:tc>
          <w:tcPr>
            <w:tcW w:w="13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12" w:type="dxa"/>
            <w:tcBorders/>
            <w:shd w:fill="CCEEFF" w:val="clear"/>
            <w:vAlign w:val="center"/>
          </w:tcPr>
          <w:p>
            <w:pPr>
              <w:pStyle w:val="TableContents"/>
              <w:bidi w:val="0"/>
              <w:spacing w:before="0" w:after="283"/>
              <w:jc w:val="right"/>
              <w:rPr/>
            </w:pPr>
            <w:r>
              <w:rPr/>
              <w:t>(1,225</w:t>
            </w:r>
          </w:p>
        </w:tc>
        <w:tc>
          <w:tcPr>
            <w:tcW w:w="183" w:type="dxa"/>
            <w:tcBorders/>
            <w:shd w:fill="CCEEFF" w:val="clear"/>
            <w:vAlign w:val="center"/>
          </w:tcPr>
          <w:p>
            <w:pPr>
              <w:pStyle w:val="TableContents"/>
              <w:bidi w:val="0"/>
              <w:spacing w:before="0" w:after="283"/>
              <w:ind w:left="0" w:right="0" w:hanging="180"/>
              <w:jc w:val="left"/>
              <w:rPr/>
            </w:pPr>
            <w:r>
              <w:rPr/>
              <w:t>)</w:t>
            </w:r>
          </w:p>
        </w:tc>
      </w:tr>
      <w:tr>
        <w:trPr/>
        <w:tc>
          <w:tcPr>
            <w:tcW w:w="1704"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33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tcMar>
              <w:bottom w:w="28" w:type="dxa"/>
            </w:tcMar>
            <w:vAlign w:val="center"/>
          </w:tcPr>
          <w:p>
            <w:pPr>
              <w:pStyle w:val="TableContents"/>
              <w:bidi w:val="0"/>
              <w:spacing w:before="0" w:after="283"/>
              <w:jc w:val="right"/>
              <w:rPr/>
            </w:pPr>
            <w:r>
              <w:rPr/>
              <w:t>(5</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4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tcMar>
              <w:bottom w:w="28" w:type="dxa"/>
            </w:tcMar>
            <w:vAlign w:val="center"/>
          </w:tcPr>
          <w:p>
            <w:pPr>
              <w:pStyle w:val="TableContents"/>
              <w:bidi w:val="0"/>
              <w:spacing w:before="0" w:after="283"/>
              <w:jc w:val="right"/>
              <w:rPr/>
            </w:pPr>
            <w:r>
              <w:rPr/>
              <w:t>(46</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5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tcMar>
              <w:bottom w:w="28" w:type="dxa"/>
            </w:tcMar>
            <w:vAlign w:val="center"/>
          </w:tcPr>
          <w:p>
            <w:pPr>
              <w:pStyle w:val="TableContents"/>
              <w:bidi w:val="0"/>
              <w:spacing w:before="0" w:after="283"/>
              <w:jc w:val="right"/>
              <w:rPr/>
            </w:pPr>
            <w:r>
              <w:rPr/>
              <w:t>(3</w:t>
            </w:r>
          </w:p>
        </w:tc>
        <w:tc>
          <w:tcPr>
            <w:tcW w:w="133"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12" w:type="dxa"/>
            <w:tcBorders>
              <w:bottom w:val="single" w:sz="12" w:space="0" w:color="000000"/>
            </w:tcBorders>
            <w:tcMar>
              <w:bottom w:w="28" w:type="dxa"/>
            </w:tcMar>
            <w:vAlign w:val="center"/>
          </w:tcPr>
          <w:p>
            <w:pPr>
              <w:pStyle w:val="TableContents"/>
              <w:bidi w:val="0"/>
              <w:spacing w:before="0" w:after="283"/>
              <w:jc w:val="right"/>
              <w:rPr/>
            </w:pPr>
            <w:r>
              <w:rPr/>
              <w:t>(54</w:t>
            </w:r>
          </w:p>
        </w:tc>
        <w:tc>
          <w:tcPr>
            <w:tcW w:w="183" w:type="dxa"/>
            <w:tcBorders/>
            <w:vAlign w:val="center"/>
          </w:tcPr>
          <w:p>
            <w:pPr>
              <w:pStyle w:val="TableContents"/>
              <w:bidi w:val="0"/>
              <w:spacing w:before="0" w:after="283"/>
              <w:jc w:val="left"/>
              <w:rPr/>
            </w:pPr>
            <w:r>
              <w:rPr/>
              <w:t>)</w:t>
            </w:r>
          </w:p>
        </w:tc>
      </w:tr>
      <w:tr>
        <w:trPr/>
        <w:tc>
          <w:tcPr>
            <w:tcW w:w="1704"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3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286</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5"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5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169</w:t>
            </w:r>
          </w:p>
        </w:tc>
        <w:tc>
          <w:tcPr>
            <w:tcW w:w="13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2" w:type="dxa"/>
            <w:tcBorders>
              <w:bottom w:val="double" w:sz="10" w:space="0" w:color="000000"/>
            </w:tcBorders>
            <w:shd w:fill="CCEEFF" w:val="clear"/>
            <w:tcMar>
              <w:bottom w:w="28" w:type="dxa"/>
            </w:tcMar>
            <w:vAlign w:val="center"/>
          </w:tcPr>
          <w:p>
            <w:pPr>
              <w:pStyle w:val="TableContents"/>
              <w:bidi w:val="0"/>
              <w:spacing w:before="0" w:after="283"/>
              <w:jc w:val="right"/>
              <w:rPr/>
            </w:pPr>
            <w:r>
              <w:rPr/>
              <w:t>588</w:t>
            </w:r>
          </w:p>
        </w:tc>
        <w:tc>
          <w:tcPr>
            <w:tcW w:w="1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0"/>
        <w:gridCol w:w="90"/>
        <w:gridCol w:w="310"/>
        <w:gridCol w:w="1221"/>
        <w:gridCol w:w="128"/>
        <w:gridCol w:w="92"/>
        <w:gridCol w:w="546"/>
        <w:gridCol w:w="933"/>
        <w:gridCol w:w="92"/>
        <w:gridCol w:w="92"/>
        <w:gridCol w:w="367"/>
        <w:gridCol w:w="1277"/>
        <w:gridCol w:w="128"/>
        <w:gridCol w:w="92"/>
        <w:gridCol w:w="339"/>
        <w:gridCol w:w="1542"/>
        <w:gridCol w:w="92"/>
        <w:gridCol w:w="92"/>
        <w:gridCol w:w="175"/>
        <w:gridCol w:w="686"/>
        <w:gridCol w:w="161"/>
      </w:tblGrid>
      <w:tr>
        <w:trPr/>
        <w:tc>
          <w:tcPr>
            <w:tcW w:w="1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04"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2023</w:t>
            </w:r>
          </w:p>
        </w:tc>
        <w:tc>
          <w:tcPr>
            <w:tcW w:w="161" w:type="dxa"/>
            <w:tcBorders/>
            <w:vAlign w:val="center"/>
          </w:tcPr>
          <w:p>
            <w:pPr>
              <w:pStyle w:val="TableContents"/>
              <w:bidi w:val="0"/>
              <w:spacing w:before="0" w:after="283"/>
              <w:jc w:val="left"/>
              <w:rPr/>
            </w:pPr>
            <w:r>
              <w:rPr/>
              <w:t> </w:t>
            </w:r>
          </w:p>
        </w:tc>
      </w:tr>
      <w:tr>
        <w:trPr/>
        <w:tc>
          <w:tcPr>
            <w:tcW w:w="1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4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6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8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61" w:type="dxa"/>
            <w:tcBorders/>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w:t>
            </w:r>
          </w:p>
        </w:tc>
        <w:tc>
          <w:tcPr>
            <w:tcW w:w="154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1750"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4,157</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1,041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542" w:type="dxa"/>
            <w:tcBorders/>
            <w:vAlign w:val="center"/>
          </w:tcPr>
          <w:p>
            <w:pPr>
              <w:pStyle w:val="TableContents"/>
              <w:bidi w:val="0"/>
              <w:spacing w:before="0" w:after="283"/>
              <w:jc w:val="right"/>
              <w:rPr/>
            </w:pPr>
            <w:r>
              <w:rPr/>
              <w:t>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right"/>
              <w:rPr/>
            </w:pPr>
            <w:r>
              <w:rPr/>
              <w:t>5,206</w:t>
            </w:r>
          </w:p>
        </w:tc>
        <w:tc>
          <w:tcPr>
            <w:tcW w:w="161" w:type="dxa"/>
            <w:tcBorders/>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(4,157</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(995</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(5,152</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1750"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3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tcMar>
              <w:bottom w:w="28" w:type="dxa"/>
            </w:tcMar>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6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tcMar>
              <w:bottom w:w="28" w:type="dxa"/>
            </w:tcMar>
            <w:vAlign w:val="center"/>
          </w:tcPr>
          <w:p>
            <w:pPr>
              <w:pStyle w:val="TableContents"/>
              <w:bidi w:val="0"/>
              <w:spacing w:before="0" w:after="283"/>
              <w:jc w:val="right"/>
              <w:rPr/>
            </w:pPr>
            <w:r>
              <w:rPr/>
              <w:t>—</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3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42" w:type="dxa"/>
            <w:tcBorders>
              <w:bottom w:val="single" w:sz="12" w:space="0" w:color="000000"/>
            </w:tcBorders>
            <w:tcMar>
              <w:bottom w:w="28" w:type="dxa"/>
            </w:tcMar>
            <w:vAlign w:val="center"/>
          </w:tcPr>
          <w:p>
            <w:pPr>
              <w:pStyle w:val="TableContents"/>
              <w:bidi w:val="0"/>
              <w:spacing w:before="0" w:after="283"/>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6" w:type="dxa"/>
            <w:tcBorders>
              <w:bottom w:val="single" w:sz="12" w:space="0" w:color="000000"/>
            </w:tcBorders>
            <w:tcMar>
              <w:bottom w:w="28" w:type="dxa"/>
            </w:tcMar>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jc w:val="left"/>
              <w:rPr/>
            </w:pPr>
            <w:r>
              <w:rPr/>
              <w:t> </w:t>
            </w:r>
          </w:p>
        </w:tc>
      </w:tr>
      <w:tr>
        <w:trPr/>
        <w:tc>
          <w:tcPr>
            <w:tcW w:w="175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3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6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3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42"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6" w:type="dxa"/>
            <w:tcBorders>
              <w:bottom w:val="double" w:sz="10" w:space="0" w:color="000000"/>
            </w:tcBorders>
            <w:shd w:fill="CCEEFF" w:val="clear"/>
            <w:tcMar>
              <w:bottom w:w="28" w:type="dxa"/>
            </w:tcMar>
            <w:vAlign w:val="center"/>
          </w:tcPr>
          <w:p>
            <w:pPr>
              <w:pStyle w:val="TableContents"/>
              <w:bidi w:val="0"/>
              <w:spacing w:before="0" w:after="283"/>
              <w:jc w:val="right"/>
              <w:rPr/>
            </w:pPr>
            <w:r>
              <w:rPr/>
              <w:t>54</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p>
    <w:p>
      <w:pPr>
        <w:pStyle w:val="TextBody"/>
        <w:bidi w:val="0"/>
        <w:spacing w:before="0" w:after="0"/>
        <w:ind w:left="0" w:right="0" w:hanging="0"/>
        <w:jc w:val="both"/>
        <w:rPr>
          <w:caps w:val="false"/>
          <w:smallCaps w:val="false"/>
        </w:rPr>
      </w:pPr>
      <w:r>
        <w:rPr>
          <w:caps w:val="false"/>
          <w:smallCaps w:val="false"/>
        </w:rPr>
        <w:t> </w:t>
      </w:r>
    </w:p>
    <w:tbl>
      <w:tblPr>
        <w:tblW w:w="6217" w:type="dxa"/>
        <w:jc w:val="left"/>
        <w:tblInd w:w="0" w:type="dxa"/>
        <w:tblLayout w:type="fixed"/>
        <w:tblCellMar>
          <w:top w:w="0" w:type="dxa"/>
          <w:left w:w="0" w:type="dxa"/>
          <w:bottom w:w="0" w:type="dxa"/>
          <w:right w:w="0" w:type="dxa"/>
        </w:tblCellMar>
      </w:tblPr>
      <w:tblGrid>
        <w:gridCol w:w="3965"/>
        <w:gridCol w:w="90"/>
        <w:gridCol w:w="189"/>
        <w:gridCol w:w="791"/>
        <w:gridCol w:w="100"/>
        <w:gridCol w:w="100"/>
        <w:gridCol w:w="189"/>
        <w:gridCol w:w="658"/>
        <w:gridCol w:w="135"/>
      </w:tblGrid>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Deferred commissions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791" w:type="dxa"/>
            <w:tcBorders/>
            <w:shd w:fill="CCEEFF" w:val="clear"/>
            <w:vAlign w:val="center"/>
          </w:tcPr>
          <w:p>
            <w:pPr>
              <w:pStyle w:val="TableContents"/>
              <w:bidi w:val="0"/>
              <w:spacing w:before="0" w:after="283"/>
              <w:jc w:val="right"/>
              <w:rPr/>
            </w:pPr>
            <w:r>
              <w:rPr/>
              <w:t>12,840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1,423</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Bonus install commitment</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435</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234</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CCEEFF" w:val="clear"/>
            <w:tcMar>
              <w:bottom w:w="28" w:type="dxa"/>
            </w:tcMar>
            <w:vAlign w:val="center"/>
          </w:tcPr>
          <w:p>
            <w:pPr>
              <w:pStyle w:val="TableContents"/>
              <w:bidi w:val="0"/>
              <w:spacing w:before="0" w:after="283"/>
              <w:jc w:val="right"/>
              <w:rPr/>
            </w:pPr>
            <w:r>
              <w:rPr/>
              <w:t>182</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791" w:type="dxa"/>
            <w:tcBorders>
              <w:bottom w:val="double" w:sz="10" w:space="0" w:color="000000"/>
            </w:tcBorders>
            <w:tcMar>
              <w:bottom w:w="28" w:type="dxa"/>
            </w:tcMar>
            <w:vAlign w:val="center"/>
          </w:tcPr>
          <w:p>
            <w:pPr>
              <w:pStyle w:val="TableContents"/>
              <w:bidi w:val="0"/>
              <w:spacing w:before="0" w:after="283"/>
              <w:jc w:val="right"/>
              <w:rPr/>
            </w:pPr>
            <w:r>
              <w:rPr/>
              <w:t>13,508</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w:t>
            </w:r>
          </w:p>
        </w:tc>
        <w:tc>
          <w:tcPr>
            <w:tcW w:w="658" w:type="dxa"/>
            <w:tcBorders>
              <w:bottom w:val="double" w:sz="10" w:space="0" w:color="000000"/>
            </w:tcBorders>
            <w:tcMar>
              <w:bottom w:w="28" w:type="dxa"/>
            </w:tcMar>
            <w:vAlign w:val="center"/>
          </w:tcPr>
          <w:p>
            <w:pPr>
              <w:pStyle w:val="TableContents"/>
              <w:bidi w:val="0"/>
              <w:spacing w:before="0" w:after="283"/>
              <w:jc w:val="right"/>
              <w:rPr/>
            </w:pPr>
            <w:r>
              <w:rPr/>
              <w:t>1,839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$1,247 of commission expense in the year ended December 31, 2024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4655"/>
        <w:gridCol w:w="90"/>
        <w:gridCol w:w="238"/>
        <w:gridCol w:w="679"/>
        <w:gridCol w:w="175"/>
        <w:gridCol w:w="126"/>
        <w:gridCol w:w="238"/>
        <w:gridCol w:w="574"/>
        <w:gridCol w:w="170"/>
      </w:tblGrid>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679" w:type="dxa"/>
            <w:tcBorders/>
            <w:shd w:fill="CCEEFF" w:val="clear"/>
            <w:vAlign w:val="center"/>
          </w:tcPr>
          <w:p>
            <w:pPr>
              <w:pStyle w:val="TableContents"/>
              <w:bidi w:val="0"/>
              <w:spacing w:before="0" w:after="283"/>
              <w:jc w:val="right"/>
              <w:rPr/>
            </w:pPr>
            <w:r>
              <w:rPr/>
              <w:t>202</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574" w:type="dxa"/>
            <w:tcBorders/>
            <w:shd w:fill="CCEEFF" w:val="clear"/>
            <w:vAlign w:val="center"/>
          </w:tcPr>
          <w:p>
            <w:pPr>
              <w:pStyle w:val="TableContents"/>
              <w:bidi w:val="0"/>
              <w:spacing w:before="0" w:after="283"/>
              <w:jc w:val="right"/>
              <w:rPr/>
            </w:pPr>
            <w:r>
              <w:rPr/>
              <w:t>202</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Furniture and fixtures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right"/>
              <w:rPr/>
            </w:pPr>
            <w:r>
              <w:rPr/>
              <w:t>188</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right"/>
              <w:rPr/>
            </w:pPr>
            <w:r>
              <w:rPr/>
              <w:t>176</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Total cost</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tcMar>
              <w:bottom w:w="28" w:type="dxa"/>
            </w:tcMar>
            <w:vAlign w:val="center"/>
          </w:tcPr>
          <w:p>
            <w:pPr>
              <w:pStyle w:val="TableContents"/>
              <w:bidi w:val="0"/>
              <w:spacing w:before="0" w:after="283"/>
              <w:jc w:val="right"/>
              <w:rPr/>
            </w:pPr>
            <w:r>
              <w:rPr/>
              <w:t>463</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tcMar>
              <w:bottom w:w="28" w:type="dxa"/>
            </w:tcMar>
            <w:vAlign w:val="center"/>
          </w:tcPr>
          <w:p>
            <w:pPr>
              <w:pStyle w:val="TableContents"/>
              <w:bidi w:val="0"/>
              <w:spacing w:before="0" w:after="283"/>
              <w:jc w:val="right"/>
              <w:rPr/>
            </w:pPr>
            <w:r>
              <w:rPr/>
              <w:t>435</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9"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7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7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both"/>
              <w:rPr/>
            </w:pPr>
            <w:r>
              <w:rPr/>
              <w:t>Property and equipment, net</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679" w:type="dxa"/>
            <w:tcBorders>
              <w:bottom w:val="double" w:sz="10" w:space="0" w:color="000000"/>
            </w:tcBorders>
            <w:tcMar>
              <w:bottom w:w="28" w:type="dxa"/>
            </w:tcMar>
            <w:vAlign w:val="center"/>
          </w:tcPr>
          <w:p>
            <w:pPr>
              <w:pStyle w:val="TableContents"/>
              <w:bidi w:val="0"/>
              <w:spacing w:before="0" w:after="283"/>
              <w:jc w:val="right"/>
              <w:rPr/>
            </w:pPr>
            <w:r>
              <w:rPr/>
              <w:t>298</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574" w:type="dxa"/>
            <w:tcBorders>
              <w:bottom w:val="double" w:sz="10" w:space="0" w:color="000000"/>
            </w:tcBorders>
            <w:tcMar>
              <w:bottom w:w="28" w:type="dxa"/>
            </w:tcMar>
            <w:vAlign w:val="center"/>
          </w:tcPr>
          <w:p>
            <w:pPr>
              <w:pStyle w:val="TableContents"/>
              <w:bidi w:val="0"/>
              <w:spacing w:before="0" w:after="283"/>
              <w:jc w:val="right"/>
              <w:rPr/>
            </w:pPr>
            <w:r>
              <w:rPr/>
              <w:t>349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years ended December 31, 2024 and 2023 was $79 and $160,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088" w:type="dxa"/>
        <w:jc w:val="left"/>
        <w:tblInd w:w="0" w:type="dxa"/>
        <w:tblLayout w:type="fixed"/>
        <w:tblCellMar>
          <w:top w:w="0" w:type="dxa"/>
          <w:left w:w="0" w:type="dxa"/>
          <w:bottom w:w="0" w:type="dxa"/>
          <w:right w:w="0" w:type="dxa"/>
        </w:tblCellMar>
      </w:tblPr>
      <w:tblGrid>
        <w:gridCol w:w="4835"/>
        <w:gridCol w:w="90"/>
        <w:gridCol w:w="227"/>
        <w:gridCol w:w="787"/>
        <w:gridCol w:w="120"/>
        <w:gridCol w:w="120"/>
        <w:gridCol w:w="227"/>
        <w:gridCol w:w="547"/>
        <w:gridCol w:w="135"/>
      </w:tblGrid>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Accrued salaries, wages and related expenses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787" w:type="dxa"/>
            <w:tcBorders/>
            <w:shd w:fill="CCEEFF" w:val="clear"/>
            <w:vAlign w:val="center"/>
          </w:tcPr>
          <w:p>
            <w:pPr>
              <w:pStyle w:val="TableContents"/>
              <w:bidi w:val="0"/>
              <w:spacing w:before="0" w:after="283"/>
              <w:jc w:val="right"/>
              <w:rPr/>
            </w:pPr>
            <w:r>
              <w:rPr/>
              <w:t>120</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547" w:type="dxa"/>
            <w:tcBorders/>
            <w:shd w:fill="CCEEFF" w:val="clear"/>
            <w:vAlign w:val="center"/>
          </w:tcPr>
          <w:p>
            <w:pPr>
              <w:pStyle w:val="TableContents"/>
              <w:bidi w:val="0"/>
              <w:spacing w:before="0" w:after="283"/>
              <w:jc w:val="right"/>
              <w:rPr/>
            </w:pPr>
            <w:r>
              <w:rPr/>
              <w:t>124</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Legal fees payable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4,136</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Commissions payable</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1,814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32</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Accrued interest payable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47</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19</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Sales tax payable</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41</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Credit card obligation</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787" w:type="dxa"/>
            <w:tcBorders/>
            <w:vAlign w:val="center"/>
          </w:tcPr>
          <w:p>
            <w:pPr>
              <w:pStyle w:val="TableContents"/>
              <w:bidi w:val="0"/>
              <w:spacing w:before="0" w:after="283"/>
              <w:jc w:val="right"/>
              <w:rPr/>
            </w:pPr>
            <w:r>
              <w:rPr/>
              <w:t>101</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39</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Total accrued expenses and other current liabilities</w:t>
            </w:r>
          </w:p>
        </w:tc>
        <w:tc>
          <w:tcPr>
            <w:tcW w:w="9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787" w:type="dxa"/>
            <w:tcBorders>
              <w:bottom w:val="double" w:sz="10" w:space="0" w:color="000000"/>
            </w:tcBorders>
            <w:tcMar>
              <w:bottom w:w="28" w:type="dxa"/>
            </w:tcMar>
            <w:vAlign w:val="center"/>
          </w:tcPr>
          <w:p>
            <w:pPr>
              <w:pStyle w:val="TableContents"/>
              <w:bidi w:val="0"/>
              <w:spacing w:before="0" w:after="283"/>
              <w:jc w:val="right"/>
              <w:rPr/>
            </w:pPr>
            <w:r>
              <w:rPr/>
              <w:t>6,511</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547" w:type="dxa"/>
            <w:tcBorders>
              <w:bottom w:val="double" w:sz="10" w:space="0" w:color="000000"/>
            </w:tcBorders>
            <w:tcMar>
              <w:bottom w:w="28" w:type="dxa"/>
            </w:tcMar>
            <w:vAlign w:val="center"/>
          </w:tcPr>
          <w:p>
            <w:pPr>
              <w:pStyle w:val="TableContents"/>
              <w:bidi w:val="0"/>
              <w:spacing w:before="0" w:after="283"/>
              <w:jc w:val="right"/>
              <w:rPr/>
            </w:pPr>
            <w:r>
              <w:rPr/>
              <w:t>255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 xml:space="preserve">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details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dates.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line items in the balance sheets which include amounts for operating leases:</w:t>
      </w:r>
    </w:p>
    <w:p>
      <w:pPr>
        <w:pStyle w:val="TextBody"/>
        <w:bidi w:val="0"/>
        <w:spacing w:before="0" w:after="0"/>
        <w:ind w:left="0" w:right="0" w:hanging="0"/>
        <w:jc w:val="both"/>
        <w:rPr>
          <w:caps w:val="false"/>
          <w:smallCaps w:val="false"/>
        </w:rPr>
      </w:pPr>
      <w:r>
        <w:rPr>
          <w:caps w:val="false"/>
          <w:smallCaps w:val="false"/>
        </w:rPr>
        <w:t> </w:t>
      </w:r>
    </w:p>
    <w:tbl>
      <w:tblPr>
        <w:tblW w:w="6623" w:type="dxa"/>
        <w:jc w:val="left"/>
        <w:tblInd w:w="0" w:type="dxa"/>
        <w:tblLayout w:type="fixed"/>
        <w:tblCellMar>
          <w:top w:w="0" w:type="dxa"/>
          <w:left w:w="0" w:type="dxa"/>
          <w:bottom w:w="0" w:type="dxa"/>
          <w:right w:w="0" w:type="dxa"/>
        </w:tblCellMar>
      </w:tblPr>
      <w:tblGrid>
        <w:gridCol w:w="4370"/>
        <w:gridCol w:w="90"/>
        <w:gridCol w:w="257"/>
        <w:gridCol w:w="621"/>
        <w:gridCol w:w="136"/>
        <w:gridCol w:w="136"/>
        <w:gridCol w:w="257"/>
        <w:gridCol w:w="621"/>
        <w:gridCol w:w="135"/>
      </w:tblGrid>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506</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Current portion of operating lease liability</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119</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108</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Noncurrent portion of operating lease liability</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tcMar>
              <w:bottom w:w="28" w:type="dxa"/>
            </w:tcMar>
            <w:vAlign w:val="center"/>
          </w:tcPr>
          <w:p>
            <w:pPr>
              <w:pStyle w:val="TableContents"/>
              <w:bidi w:val="0"/>
              <w:spacing w:before="0" w:after="283"/>
              <w:jc w:val="right"/>
              <w:rPr/>
            </w:pPr>
            <w:r>
              <w:rPr/>
              <w:t>421</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1"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$108 and $80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terms and discount rates:</w:t>
      </w:r>
    </w:p>
    <w:p>
      <w:pPr>
        <w:pStyle w:val="TextBody"/>
        <w:bidi w:val="0"/>
        <w:spacing w:before="0" w:after="0"/>
        <w:ind w:left="0" w:right="0" w:hanging="0"/>
        <w:jc w:val="both"/>
        <w:rPr>
          <w:caps w:val="false"/>
          <w:smallCaps w:val="false"/>
        </w:rPr>
      </w:pPr>
      <w:r>
        <w:rPr>
          <w:caps w:val="false"/>
          <w:smallCaps w:val="false"/>
        </w:rPr>
        <w:t> </w:t>
      </w:r>
    </w:p>
    <w:tbl>
      <w:tblPr>
        <w:tblW w:w="6772" w:type="dxa"/>
        <w:jc w:val="left"/>
        <w:tblInd w:w="0" w:type="dxa"/>
        <w:tblLayout w:type="fixed"/>
        <w:tblCellMar>
          <w:top w:w="0" w:type="dxa"/>
          <w:left w:w="0" w:type="dxa"/>
          <w:bottom w:w="0" w:type="dxa"/>
          <w:right w:w="0" w:type="dxa"/>
        </w:tblCellMar>
      </w:tblPr>
      <w:tblGrid>
        <w:gridCol w:w="3785"/>
        <w:gridCol w:w="90"/>
        <w:gridCol w:w="209"/>
        <w:gridCol w:w="815"/>
        <w:gridCol w:w="409"/>
        <w:gridCol w:w="150"/>
        <w:gridCol w:w="209"/>
        <w:gridCol w:w="815"/>
        <w:gridCol w:w="290"/>
      </w:tblGrid>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9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09"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Weighted average remaining lease term</w:t>
            </w:r>
          </w:p>
        </w:tc>
        <w:tc>
          <w:tcPr>
            <w:tcW w:w="90" w:type="dxa"/>
            <w:tcBorders/>
            <w:shd w:fill="CCEEFF" w:val="clear"/>
            <w:vAlign w:val="center"/>
          </w:tcPr>
          <w:p>
            <w:pPr>
              <w:pStyle w:val="TableContents"/>
              <w:bidi w:val="0"/>
              <w:spacing w:before="0" w:after="283"/>
              <w:jc w:val="left"/>
              <w:rPr/>
            </w:pPr>
            <w:r>
              <w:rPr/>
              <w:t> </w:t>
            </w:r>
          </w:p>
        </w:tc>
        <w:tc>
          <w:tcPr>
            <w:tcW w:w="1024" w:type="dxa"/>
            <w:gridSpan w:val="2"/>
            <w:tcBorders/>
            <w:shd w:fill="CCEEFF" w:val="clear"/>
            <w:vAlign w:val="center"/>
          </w:tcPr>
          <w:p>
            <w:pPr>
              <w:pStyle w:val="TableContents"/>
              <w:bidi w:val="0"/>
              <w:spacing w:before="0" w:after="283"/>
              <w:jc w:val="right"/>
              <w:rPr/>
            </w:pPr>
            <w:r>
              <w:rPr/>
              <w:t>3.17 years</w:t>
            </w:r>
          </w:p>
        </w:tc>
        <w:tc>
          <w:tcPr>
            <w:tcW w:w="409"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24" w:type="dxa"/>
            <w:gridSpan w:val="2"/>
            <w:tcBorders/>
            <w:shd w:fill="CCEEFF" w:val="clear"/>
            <w:vAlign w:val="center"/>
          </w:tcPr>
          <w:p>
            <w:pPr>
              <w:pStyle w:val="TableContents"/>
              <w:bidi w:val="0"/>
              <w:spacing w:before="0" w:after="283"/>
              <w:jc w:val="right"/>
              <w:rPr/>
            </w:pPr>
            <w:r>
              <w:rPr/>
              <w:t>4.17 years</w:t>
            </w:r>
          </w:p>
        </w:tc>
        <w:tc>
          <w:tcPr>
            <w:tcW w:w="29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Weighted average discount rate</w:t>
            </w:r>
          </w:p>
        </w:tc>
        <w:tc>
          <w:tcPr>
            <w:tcW w:w="9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6.5</w:t>
            </w:r>
          </w:p>
        </w:tc>
        <w:tc>
          <w:tcPr>
            <w:tcW w:w="409"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right"/>
              <w:rPr/>
            </w:pPr>
            <w:r>
              <w:rPr/>
              <w:t>6.5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December 31, 2024, were as follows:</w:t>
      </w:r>
    </w:p>
    <w:p>
      <w:pPr>
        <w:pStyle w:val="TextBody"/>
        <w:bidi w:val="0"/>
        <w:spacing w:before="0" w:after="0"/>
        <w:ind w:left="0" w:right="0" w:hanging="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120"/>
        <w:gridCol w:w="90"/>
        <w:gridCol w:w="170"/>
        <w:gridCol w:w="410"/>
        <w:gridCol w:w="170"/>
      </w:tblGrid>
      <w:tr>
        <w:trPr/>
        <w:tc>
          <w:tcPr>
            <w:tcW w:w="2120" w:type="dxa"/>
            <w:tcBorders/>
            <w:vAlign w:val="center"/>
          </w:tcPr>
          <w:p>
            <w:pPr>
              <w:pStyle w:val="TableContents"/>
              <w:bidi w:val="0"/>
              <w:spacing w:before="0" w:after="283"/>
              <w:jc w:val="both"/>
              <w:rPr/>
            </w:pPr>
            <w:r>
              <w:rPr/>
              <w:t>Year ending:</w:t>
            </w:r>
          </w:p>
        </w:tc>
        <w:tc>
          <w:tcPr>
            <w:tcW w:w="9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142</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147</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151</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w:t>
            </w:r>
          </w:p>
        </w:tc>
      </w:tr>
      <w:tr>
        <w:trPr/>
        <w:tc>
          <w:tcPr>
            <w:tcW w:w="212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for further detail on the resolution of the matter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Incentive Units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6389" w:type="dxa"/>
        <w:jc w:val="left"/>
        <w:tblInd w:w="0" w:type="dxa"/>
        <w:tblLayout w:type="fixed"/>
        <w:tblCellMar>
          <w:top w:w="0" w:type="dxa"/>
          <w:left w:w="0" w:type="dxa"/>
          <w:bottom w:w="0" w:type="dxa"/>
          <w:right w:w="0" w:type="dxa"/>
        </w:tblCellMar>
      </w:tblPr>
      <w:tblGrid>
        <w:gridCol w:w="4595"/>
        <w:gridCol w:w="90"/>
        <w:gridCol w:w="172"/>
        <w:gridCol w:w="1362"/>
        <w:gridCol w:w="170"/>
      </w:tblGrid>
      <w:tr>
        <w:trPr/>
        <w:tc>
          <w:tcPr>
            <w:tcW w:w="45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Incentive units</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Incentive units outstanding, January 1, 2023</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62" w:type="dxa"/>
            <w:tcBorders/>
            <w:shd w:fill="CCEEFF" w:val="clear"/>
            <w:vAlign w:val="center"/>
          </w:tcPr>
          <w:p>
            <w:pPr>
              <w:pStyle w:val="TableContents"/>
              <w:bidi w:val="0"/>
              <w:spacing w:before="0" w:after="283"/>
              <w:jc w:val="right"/>
              <w:rPr/>
            </w:pPr>
            <w:r>
              <w:rPr/>
              <w:t>51,087</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62" w:type="dxa"/>
            <w:tcBorders/>
            <w:vAlign w:val="center"/>
          </w:tcPr>
          <w:p>
            <w:pPr>
              <w:pStyle w:val="TableContents"/>
              <w:bidi w:val="0"/>
              <w:spacing w:before="0" w:after="283"/>
              <w:jc w:val="right"/>
              <w:rPr/>
            </w:pPr>
            <w:r>
              <w:rPr/>
              <w:t>1,045</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Forfeited</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170" w:type="dxa"/>
            <w:tcBorders/>
            <w:shd w:fill="CCEEFF" w:val="clear"/>
            <w:vAlign w:val="center"/>
          </w:tcPr>
          <w:p>
            <w:pPr>
              <w:pStyle w:val="TableContents"/>
              <w:bidi w:val="0"/>
              <w:spacing w:before="0" w:after="283"/>
              <w:jc w:val="left"/>
              <w:rPr/>
            </w:pPr>
            <w:r>
              <w:rPr/>
              <w:t>)</w:t>
            </w:r>
          </w:p>
        </w:tc>
      </w:tr>
      <w:tr>
        <w:trPr/>
        <w:tc>
          <w:tcPr>
            <w:tcW w:w="4595" w:type="dxa"/>
            <w:tcBorders/>
            <w:vAlign w:val="center"/>
          </w:tcPr>
          <w:p>
            <w:pPr>
              <w:pStyle w:val="TableContents"/>
              <w:bidi w:val="0"/>
              <w:spacing w:before="0" w:after="283"/>
              <w:jc w:val="both"/>
              <w:rPr/>
            </w:pPr>
            <w:r>
              <w:rPr/>
              <w:t>Incentive units outstanding, December 31, 2023</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tcMar>
              <w:bottom w:w="28" w:type="dxa"/>
            </w:tcMar>
            <w:vAlign w:val="center"/>
          </w:tcPr>
          <w:p>
            <w:pPr>
              <w:pStyle w:val="TableContents"/>
              <w:bidi w:val="0"/>
              <w:spacing w:before="0" w:after="283"/>
              <w:jc w:val="right"/>
              <w:rPr/>
            </w:pPr>
            <w:r>
              <w:rPr/>
              <w:t>44,132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Granted</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2" w:type="dxa"/>
            <w:tcBorders>
              <w:bottom w:val="single" w:sz="12" w:space="0" w:color="000000"/>
            </w:tcBorders>
            <w:shd w:fill="CCEEFF" w:val="clear"/>
            <w:tcMar>
              <w:bottom w:w="28" w:type="dxa"/>
            </w:tcMar>
            <w:vAlign w:val="center"/>
          </w:tcPr>
          <w:p>
            <w:pPr>
              <w:pStyle w:val="TableContents"/>
              <w:bidi w:val="0"/>
              <w:spacing w:before="0" w:after="283"/>
              <w:jc w:val="right"/>
              <w:rPr/>
            </w:pPr>
            <w:r>
              <w:rPr/>
              <w:t>2,442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both"/>
              <w:rPr/>
            </w:pPr>
            <w:r>
              <w:rPr/>
              <w:t>Incentive units outstanding, December 31, 2024</w:t>
            </w:r>
          </w:p>
        </w:tc>
        <w:tc>
          <w:tcPr>
            <w:tcW w:w="90" w:type="dxa"/>
            <w:tcBorders/>
            <w:vAlign w:val="center"/>
          </w:tcPr>
          <w:p>
            <w:pPr>
              <w:pStyle w:val="TableContents"/>
              <w:bidi w:val="0"/>
              <w:spacing w:before="0" w:after="283"/>
              <w:jc w:val="left"/>
              <w:rPr/>
            </w:pPr>
            <w:r>
              <w:rPr/>
              <w:t> </w:t>
            </w:r>
          </w:p>
        </w:tc>
        <w:tc>
          <w:tcPr>
            <w:tcW w:w="172" w:type="dxa"/>
            <w:tcBorders>
              <w:bottom w:val="double" w:sz="10" w:space="0" w:color="000000"/>
            </w:tcBorders>
            <w:tcMar>
              <w:bottom w:w="28" w:type="dxa"/>
            </w:tcMar>
            <w:vAlign w:val="center"/>
          </w:tcPr>
          <w:p>
            <w:pPr>
              <w:pStyle w:val="TableContents"/>
              <w:bidi w:val="0"/>
              <w:spacing w:before="0" w:after="283"/>
              <w:jc w:val="left"/>
              <w:rPr/>
            </w:pPr>
            <w:r>
              <w:rPr/>
              <w:t> </w:t>
            </w:r>
          </w:p>
        </w:tc>
        <w:tc>
          <w:tcPr>
            <w:tcW w:w="1362" w:type="dxa"/>
            <w:tcBorders>
              <w:bottom w:val="double" w:sz="10" w:space="0" w:color="000000"/>
            </w:tcBorders>
            <w:tcMar>
              <w:bottom w:w="28" w:type="dxa"/>
            </w:tcMar>
            <w:vAlign w:val="center"/>
          </w:tcPr>
          <w:p>
            <w:pPr>
              <w:pStyle w:val="TableContents"/>
              <w:bidi w:val="0"/>
              <w:spacing w:before="0" w:after="283"/>
              <w:jc w:val="right"/>
              <w:rPr/>
            </w:pPr>
            <w:r>
              <w:rPr/>
              <w:t>46,574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5225"/>
        <w:gridCol w:w="90"/>
        <w:gridCol w:w="544"/>
        <w:gridCol w:w="1755"/>
        <w:gridCol w:w="290"/>
      </w:tblGrid>
      <w:tr>
        <w:trPr/>
        <w:tc>
          <w:tcPr>
            <w:tcW w:w="5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90" w:type="dxa"/>
            <w:tcBorders/>
            <w:vAlign w:val="center"/>
          </w:tcPr>
          <w:p>
            <w:pPr>
              <w:pStyle w:val="TableContents"/>
              <w:bidi w:val="0"/>
              <w:spacing w:before="0" w:after="283"/>
              <w:jc w:val="center"/>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January 1, 2023</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tcMar>
              <w:bottom w:w="28" w:type="dxa"/>
            </w:tcMar>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December 31, 2023</w:t>
            </w:r>
          </w:p>
        </w:tc>
        <w:tc>
          <w:tcPr>
            <w:tcW w:w="90" w:type="dxa"/>
            <w:tcBorders/>
            <w:shd w:fill="CCEEFF" w:val="clear"/>
            <w:vAlign w:val="center"/>
          </w:tcPr>
          <w:p>
            <w:pPr>
              <w:pStyle w:val="TableContents"/>
              <w:bidi w:val="0"/>
              <w:spacing w:before="0" w:after="283"/>
              <w:jc w:val="left"/>
              <w:rPr/>
            </w:pPr>
            <w:r>
              <w:rPr/>
              <w:t> </w:t>
            </w:r>
          </w:p>
        </w:tc>
        <w:tc>
          <w:tcPr>
            <w:tcW w:w="5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tcMar>
              <w:bottom w:w="28" w:type="dxa"/>
            </w:tcMar>
            <w:vAlign w:val="center"/>
          </w:tcPr>
          <w:p>
            <w:pPr>
              <w:pStyle w:val="TableContents"/>
              <w:bidi w:val="0"/>
              <w:spacing w:before="0" w:after="283"/>
              <w:jc w:val="right"/>
              <w:rPr/>
            </w:pPr>
            <w:r>
              <w:rPr/>
              <w:t>10</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December 31, 2024</w:t>
            </w:r>
          </w:p>
        </w:tc>
        <w:tc>
          <w:tcPr>
            <w:tcW w:w="90" w:type="dxa"/>
            <w:tcBorders/>
            <w:shd w:fill="CCEEFF" w:val="clear"/>
            <w:vAlign w:val="center"/>
          </w:tcPr>
          <w:p>
            <w:pPr>
              <w:pStyle w:val="TableContents"/>
              <w:bidi w:val="0"/>
              <w:spacing w:before="0" w:after="283"/>
              <w:jc w:val="left"/>
              <w:rPr/>
            </w:pPr>
            <w:r>
              <w:rPr/>
              <w:t> </w:t>
            </w:r>
          </w:p>
        </w:tc>
        <w:tc>
          <w:tcPr>
            <w:tcW w:w="5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The Company will continue to provide administrative support to the new company for a set monthly fee.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were not material. The discontinued operations included in the statement of operations and member’s deficit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3320"/>
        <w:gridCol w:w="90"/>
        <w:gridCol w:w="170"/>
        <w:gridCol w:w="665"/>
        <w:gridCol w:w="170"/>
      </w:tblGrid>
      <w:tr>
        <w:trPr/>
        <w:tc>
          <w:tcPr>
            <w:tcW w:w="3320" w:type="dxa"/>
            <w:tcBorders/>
            <w:shd w:fill="CCEEFF" w:val="clear"/>
            <w:vAlign w:val="center"/>
          </w:tcPr>
          <w:p>
            <w:pPr>
              <w:pStyle w:val="TableContents"/>
              <w:bidi w:val="0"/>
              <w:spacing w:before="0" w:after="283"/>
              <w:jc w:val="both"/>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(6,743</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both"/>
              <w:rPr/>
            </w:pPr>
            <w:r>
              <w:rPr/>
              <w:t>Discontinued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both"/>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321</w:t>
            </w:r>
          </w:p>
        </w:tc>
        <w:tc>
          <w:tcPr>
            <w:tcW w:w="17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both"/>
              <w:rPr/>
            </w:pPr>
            <w:r>
              <w:rPr/>
              <w:t>Cost of revenues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both"/>
              <w:rPr/>
            </w:pPr>
            <w:r>
              <w:rPr/>
              <w:t>Loss on disposal of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(315</w:t>
            </w:r>
          </w:p>
        </w:tc>
        <w:tc>
          <w:tcPr>
            <w:tcW w:w="170"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both"/>
              <w:rPr/>
            </w:pPr>
            <w:r>
              <w:rPr/>
              <w:t>Loss from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both"/>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(6,803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was loaned $1,000 by its sole member, who in turn was loaned the funds by one of its owners under a convertible promissory note. This transaction was accounted for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 and the six months ended June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510"/>
        <w:gridCol w:w="90"/>
        <w:gridCol w:w="575"/>
      </w:tblGrid>
      <w:tr>
        <w:trPr/>
        <w:tc>
          <w:tcPr>
            <w:tcW w:w="8510" w:type="dxa"/>
            <w:tcBorders/>
            <w:shd w:fill="CCEEFF" w:val="clear"/>
            <w:vAlign w:val="center"/>
          </w:tcPr>
          <w:p>
            <w:pPr>
              <w:pStyle w:val="TableContents"/>
              <w:bidi w:val="0"/>
              <w:spacing w:before="0" w:after="283"/>
              <w:ind w:left="0" w:right="0" w:hanging="180"/>
              <w:jc w:val="left"/>
              <w:rPr/>
            </w:pPr>
            <w:hyperlink w:anchor="E_001">
              <w:r>
                <w:rPr>
                  <w:rStyle w:val="InternetLink"/>
                  <w:rFonts w:ascii="Times New Roman;Times;Serif" w:hAnsi="Times New Roman;Times;Serif"/>
                  <w:b w:val="false"/>
                  <w:i w:val="false"/>
                  <w:caps w:val="false"/>
                  <w:smallCaps w:val="false"/>
                  <w:sz w:val="20"/>
                </w:rPr>
                <w:t>Balance Sheets as of June 30, 2025 (Unaudited) and December 31,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z w:val="20"/>
                </w:rPr>
                <w:t>Unaudited Statements of Operations for the six months ended June 30, 2025 and June 30,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z w:val="20"/>
                </w:rPr>
                <w:t>Unaudited Statements of Changes in Member’s Deficit for the six months ended June 30, 2025 and 2024</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z w:val="20"/>
                </w:rPr>
                <w:t>Unaudited Statements of Cash Flows for the six months ended June 30, 2025</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85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510"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z w:val="20"/>
                </w:rPr>
                <w:t>Notes to Unaudited Financial Statements</w:t>
              </w:r>
            </w:hyperlink>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E_001"/>
      <w:bookmarkEnd w:id="39"/>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7838" w:type="dxa"/>
        <w:jc w:val="left"/>
        <w:tblInd w:w="0" w:type="dxa"/>
        <w:tblLayout w:type="fixed"/>
        <w:tblCellMar>
          <w:top w:w="0" w:type="dxa"/>
          <w:left w:w="0" w:type="dxa"/>
          <w:bottom w:w="0" w:type="dxa"/>
          <w:right w:w="0" w:type="dxa"/>
        </w:tblCellMar>
      </w:tblPr>
      <w:tblGrid>
        <w:gridCol w:w="4640"/>
        <w:gridCol w:w="90"/>
        <w:gridCol w:w="227"/>
        <w:gridCol w:w="1052"/>
        <w:gridCol w:w="125"/>
        <w:gridCol w:w="90"/>
        <w:gridCol w:w="278"/>
        <w:gridCol w:w="1166"/>
        <w:gridCol w:w="170"/>
      </w:tblGrid>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30" w:type="dxa"/>
            </w:tcMar>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Cash</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762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1,524</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Restricted cash</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2,016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2,018</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5,315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2,991</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Due from related party</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559</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9,830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Total current assets</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17,923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20,600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298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Operating lease right-of-use assets</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397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Total assets</w:t>
            </w:r>
          </w:p>
        </w:tc>
        <w:tc>
          <w:tcPr>
            <w:tcW w:w="9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tcMar>
              <w:bottom w:w="28" w:type="dxa"/>
            </w:tcMar>
            <w:vAlign w:val="center"/>
          </w:tcPr>
          <w:p>
            <w:pPr>
              <w:pStyle w:val="TableContents"/>
              <w:bidi w:val="0"/>
              <w:spacing w:before="0" w:after="283"/>
              <w:jc w:val="right"/>
              <w:rPr/>
            </w:pPr>
            <w:r>
              <w:rPr/>
              <w:t>18,750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21,528</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b/>
              </w:rPr>
            </w:pPr>
            <w:r>
              <w:rPr>
                <w:b/>
              </w:rPr>
              <w:t>LIABILITIES AND MEMBER’S DEFICIT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Accounts payable</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right"/>
              <w:rPr/>
            </w:pPr>
            <w:r>
              <w:rPr/>
              <w:t>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1,402</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11,881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6,511</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Line of credit</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2,250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14,431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17,231</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Operating lease liability, current portion</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125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119</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29,497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27,513</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Operating lease liability, net of current portion</w:t>
            </w:r>
          </w:p>
        </w:tc>
        <w:tc>
          <w:tcPr>
            <w:tcW w:w="90" w:type="dxa"/>
            <w:tcBorders/>
            <w:vAlign w:val="center"/>
          </w:tcPr>
          <w:p>
            <w:pPr>
              <w:pStyle w:val="TableContents"/>
              <w:bidi w:val="0"/>
              <w:spacing w:before="0" w:after="283"/>
              <w:jc w:val="left"/>
              <w:rPr/>
            </w:pPr>
            <w:r>
              <w:rPr/>
              <w:t> </w:t>
            </w:r>
          </w:p>
        </w:tc>
        <w:tc>
          <w:tcPr>
            <w:tcW w:w="22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237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29,734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27,815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Commitments and contingencies (Note 12)</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both"/>
              <w:rPr/>
            </w:pPr>
            <w:r>
              <w:rPr/>
              <w:t>Member’s deficit</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(10,984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(6,287</w:t>
            </w:r>
          </w:p>
        </w:tc>
        <w:tc>
          <w:tcPr>
            <w:tcW w:w="170" w:type="dxa"/>
            <w:tcBorders/>
            <w:shd w:fill="CCEEFF" w:val="clear"/>
            <w:vAlign w:val="center"/>
          </w:tcPr>
          <w:p>
            <w:pPr>
              <w:pStyle w:val="TableContents"/>
              <w:bidi w:val="0"/>
              <w:spacing w:before="0" w:after="283"/>
              <w:jc w:val="left"/>
              <w:rPr/>
            </w:pPr>
            <w:r>
              <w:rPr/>
              <w:t>)</w:t>
            </w:r>
          </w:p>
        </w:tc>
      </w:tr>
      <w:tr>
        <w:trPr/>
        <w:tc>
          <w:tcPr>
            <w:tcW w:w="4640" w:type="dxa"/>
            <w:tcBorders/>
            <w:vAlign w:val="center"/>
          </w:tcPr>
          <w:p>
            <w:pPr>
              <w:pStyle w:val="TableContents"/>
              <w:bidi w:val="0"/>
              <w:spacing w:before="0" w:after="283"/>
              <w:jc w:val="both"/>
              <w:rPr/>
            </w:pPr>
            <w:r>
              <w:rPr/>
              <w:t>Total liabilities and member’s deficit</w:t>
            </w:r>
          </w:p>
        </w:tc>
        <w:tc>
          <w:tcPr>
            <w:tcW w:w="90" w:type="dxa"/>
            <w:tcBorders/>
            <w:vAlign w:val="center"/>
          </w:tcPr>
          <w:p>
            <w:pPr>
              <w:pStyle w:val="TableContents"/>
              <w:bidi w:val="0"/>
              <w:spacing w:before="0" w:after="283"/>
              <w:jc w:val="left"/>
              <w:rPr/>
            </w:pPr>
            <w:r>
              <w:rPr/>
              <w:t> </w:t>
            </w:r>
          </w:p>
        </w:tc>
        <w:tc>
          <w:tcPr>
            <w:tcW w:w="227" w:type="dxa"/>
            <w:tcBorders>
              <w:bottom w:val="double" w:sz="10" w:space="0" w:color="000000"/>
            </w:tcBorders>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tcMar>
              <w:bottom w:w="28" w:type="dxa"/>
            </w:tcMar>
            <w:vAlign w:val="center"/>
          </w:tcPr>
          <w:p>
            <w:pPr>
              <w:pStyle w:val="TableContents"/>
              <w:bidi w:val="0"/>
              <w:spacing w:before="0" w:after="283"/>
              <w:jc w:val="right"/>
              <w:rPr/>
            </w:pPr>
            <w:r>
              <w:rPr/>
              <w:t>18,750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21,528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E_002"/>
      <w:bookmarkEnd w:id="40"/>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230"/>
        <w:gridCol w:w="90"/>
        <w:gridCol w:w="238"/>
        <w:gridCol w:w="994"/>
        <w:gridCol w:w="175"/>
        <w:gridCol w:w="126"/>
        <w:gridCol w:w="238"/>
        <w:gridCol w:w="994"/>
        <w:gridCol w:w="17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40,012</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11,930</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33,339</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10,765</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771</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628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5,886</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45,568</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17,279</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7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(5,349</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(168</w:t>
            </w:r>
          </w:p>
        </w:tc>
        <w:tc>
          <w:tcPr>
            <w:tcW w:w="175"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33</w:t>
            </w:r>
          </w:p>
        </w:tc>
        <w:tc>
          <w:tcPr>
            <w:tcW w:w="175"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75"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tcMar>
              <w:bottom w:w="28" w:type="dxa"/>
            </w:tcMar>
            <w:vAlign w:val="center"/>
          </w:tcPr>
          <w:p>
            <w:pPr>
              <w:pStyle w:val="TableContents"/>
              <w:bidi w:val="0"/>
              <w:spacing w:before="0" w:after="283"/>
              <w:jc w:val="right"/>
              <w:rPr/>
            </w:pPr>
            <w:r>
              <w:rPr/>
              <w:t>815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75"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tcMar>
              <w:bottom w:w="28" w:type="dxa"/>
            </w:tcMar>
            <w:vAlign w:val="center"/>
          </w:tcPr>
          <w:p>
            <w:pPr>
              <w:pStyle w:val="TableContents"/>
              <w:bidi w:val="0"/>
              <w:spacing w:before="0" w:after="283"/>
              <w:jc w:val="right"/>
              <w:rPr/>
            </w:pPr>
            <w:r>
              <w:rPr/>
              <w:t>(5,681</w:t>
            </w:r>
          </w:p>
        </w:tc>
        <w:tc>
          <w:tcPr>
            <w:tcW w:w="175"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tcMar>
              <w:bottom w:w="28" w:type="dxa"/>
            </w:tcMar>
            <w:vAlign w:val="center"/>
          </w:tcPr>
          <w:p>
            <w:pPr>
              <w:pStyle w:val="TableContents"/>
              <w:bidi w:val="0"/>
              <w:spacing w:before="0" w:after="283"/>
              <w:jc w:val="right"/>
              <w:rPr/>
            </w:pPr>
            <w:r>
              <w:rPr/>
              <w:t>(4,620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E_003"/>
      <w:bookmarkEnd w:id="41"/>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CHANGES IN MEMBER’S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4970" w:type="dxa"/>
        <w:jc w:val="left"/>
        <w:tblInd w:w="0" w:type="dxa"/>
        <w:tblLayout w:type="fixed"/>
        <w:tblCellMar>
          <w:top w:w="0" w:type="dxa"/>
          <w:left w:w="0" w:type="dxa"/>
          <w:bottom w:w="0" w:type="dxa"/>
          <w:right w:w="0" w:type="dxa"/>
        </w:tblCellMar>
      </w:tblPr>
      <w:tblGrid>
        <w:gridCol w:w="3755"/>
        <w:gridCol w:w="90"/>
        <w:gridCol w:w="170"/>
        <w:gridCol w:w="785"/>
        <w:gridCol w:w="170"/>
      </w:tblGrid>
      <w:tr>
        <w:trPr/>
        <w:tc>
          <w:tcPr>
            <w:tcW w:w="3755" w:type="dxa"/>
            <w:tcBorders/>
            <w:shd w:fill="CCEEFF" w:val="clear"/>
            <w:vAlign w:val="center"/>
          </w:tcPr>
          <w:p>
            <w:pPr>
              <w:pStyle w:val="TableContents"/>
              <w:bidi w:val="0"/>
              <w:spacing w:before="0" w:after="283"/>
              <w:jc w:val="left"/>
              <w:rPr/>
            </w:pPr>
            <w:r>
              <w:rPr/>
              <w:t>Member’s deficit as of January 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(6,287</w:t>
            </w:r>
          </w:p>
        </w:tc>
        <w:tc>
          <w:tcPr>
            <w:tcW w:w="17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(5,681</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Capital contribution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1,000</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Distributions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Member’s deficit as of June 30,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(10,984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3755"/>
        <w:gridCol w:w="90"/>
        <w:gridCol w:w="170"/>
        <w:gridCol w:w="665"/>
        <w:gridCol w:w="170"/>
      </w:tblGrid>
      <w:tr>
        <w:trPr/>
        <w:tc>
          <w:tcPr>
            <w:tcW w:w="3755" w:type="dxa"/>
            <w:tcBorders/>
            <w:shd w:fill="CCEEFF" w:val="clear"/>
            <w:vAlign w:val="center"/>
          </w:tcPr>
          <w:p>
            <w:pPr>
              <w:pStyle w:val="TableContents"/>
              <w:bidi w:val="0"/>
              <w:spacing w:before="0" w:after="283"/>
              <w:jc w:val="left"/>
              <w:rPr/>
            </w:pPr>
            <w:r>
              <w:rPr/>
              <w:t>Member’s deficit as of January 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(3,675</w:t>
            </w:r>
          </w:p>
        </w:tc>
        <w:tc>
          <w:tcPr>
            <w:tcW w:w="170" w:type="dxa"/>
            <w:tcBorders/>
            <w:shd w:fill="CCEEFF" w:val="clear"/>
            <w:vAlign w:val="center"/>
          </w:tcPr>
          <w:p>
            <w:pPr>
              <w:pStyle w:val="TableContents"/>
              <w:bidi w:val="0"/>
              <w:spacing w:before="0" w:after="283"/>
              <w:jc w:val="left"/>
              <w:rPr/>
            </w:pPr>
            <w:r>
              <w:rPr/>
              <w:t>)</w:t>
            </w:r>
          </w:p>
        </w:tc>
      </w:tr>
      <w:tr>
        <w:trPr/>
        <w:tc>
          <w:tcPr>
            <w:tcW w:w="375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(4,620</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Capital contribution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1,800</w:t>
            </w:r>
          </w:p>
        </w:tc>
        <w:tc>
          <w:tcPr>
            <w:tcW w:w="170" w:type="dxa"/>
            <w:tcBorders/>
            <w:shd w:fill="CCEEFF" w:val="clear"/>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Distributions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(181</w:t>
            </w:r>
          </w:p>
        </w:tc>
        <w:tc>
          <w:tcPr>
            <w:tcW w:w="170" w:type="dxa"/>
            <w:tcBorders/>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Member’s deficit as of June 30, 2024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(6,676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E_004"/>
      <w:bookmarkEnd w:id="42"/>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882" w:type="dxa"/>
        <w:jc w:val="left"/>
        <w:tblInd w:w="0" w:type="dxa"/>
        <w:tblLayout w:type="fixed"/>
        <w:tblCellMar>
          <w:top w:w="0" w:type="dxa"/>
          <w:left w:w="0" w:type="dxa"/>
          <w:bottom w:w="0" w:type="dxa"/>
          <w:right w:w="0" w:type="dxa"/>
        </w:tblCellMar>
      </w:tblPr>
      <w:tblGrid>
        <w:gridCol w:w="6860"/>
        <w:gridCol w:w="90"/>
        <w:gridCol w:w="243"/>
        <w:gridCol w:w="952"/>
        <w:gridCol w:w="179"/>
        <w:gridCol w:w="128"/>
        <w:gridCol w:w="243"/>
        <w:gridCol w:w="1017"/>
        <w:gridCol w:w="170"/>
      </w:tblGrid>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2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(5,681</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(4,620</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40</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39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57</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53</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Provision for credit losses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433</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251</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(2,757</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(1,501</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Due from related entity</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559</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(519</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3,678</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(8,214</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6</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(592</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5,370</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1,796</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(2,800</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10,957</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(59</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(53</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7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Net cash used in investing activities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(2</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Borrowing on line of credit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500</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Capital contributions</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1,000</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1,800</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Distributions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(181</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984</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2,119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Net (decrease) increase in cash and cash equivalents</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(764</w:t>
            </w:r>
          </w:p>
        </w:tc>
        <w:tc>
          <w:tcPr>
            <w:tcW w:w="179"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284</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Cash and restricted cash at beginning of period</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3,542</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Cash and restricted cash at end of period</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tcMar>
              <w:bottom w:w="28" w:type="dxa"/>
            </w:tcMar>
            <w:vAlign w:val="center"/>
          </w:tcPr>
          <w:p>
            <w:pPr>
              <w:pStyle w:val="TableContents"/>
              <w:bidi w:val="0"/>
              <w:spacing w:before="0" w:after="283"/>
              <w:jc w:val="right"/>
              <w:rPr/>
            </w:pPr>
            <w:r>
              <w:rPr/>
              <w:t>2,778</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1,994</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Cash</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762</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017" w:type="dxa"/>
            <w:tcBorders/>
            <w:vAlign w:val="center"/>
          </w:tcPr>
          <w:p>
            <w:pPr>
              <w:pStyle w:val="TableContents"/>
              <w:bidi w:val="0"/>
              <w:spacing w:before="0" w:after="283"/>
              <w:jc w:val="right"/>
              <w:rPr/>
            </w:pPr>
            <w:r>
              <w:rPr/>
              <w:t>1,524</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pPr>
            <w:r>
              <w:rPr/>
              <w:t>2,018</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Cash and restricted cash</w:t>
            </w:r>
          </w:p>
        </w:tc>
        <w:tc>
          <w:tcPr>
            <w:tcW w:w="90"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tcMar>
              <w:bottom w:w="28" w:type="dxa"/>
            </w:tcMar>
            <w:vAlign w:val="center"/>
          </w:tcPr>
          <w:p>
            <w:pPr>
              <w:pStyle w:val="TableContents"/>
              <w:bidi w:val="0"/>
              <w:spacing w:before="0" w:after="283"/>
              <w:jc w:val="right"/>
              <w:rPr/>
            </w:pPr>
            <w:r>
              <w:rPr/>
              <w:t>2,778</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3,542</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b/>
              </w:rPr>
            </w:pPr>
            <w:r>
              <w:rPr>
                <w:b/>
              </w:rPr>
              <w:t>Supplemental disclosure of cash flow information:</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Cash paid during the period for interest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130</w:t>
            </w:r>
          </w:p>
        </w:tc>
        <w:tc>
          <w:tcPr>
            <w:tcW w:w="179"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58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E_005"/>
      <w:bookmarkEnd w:id="43"/>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 B and C accounted for 20%, 15% and 11%, of the Company’s revenue, respectively, for the six months ended June 30, 2025. Customers A, B and D accounted for 27%, 12% and 10% of the Company’s revenue, respectively,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promoting the Company’s goods and services are expensed in the years incurred. Advertising expense totaled $766 and $806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3650"/>
        <w:gridCol w:w="90"/>
        <w:gridCol w:w="202"/>
        <w:gridCol w:w="702"/>
        <w:gridCol w:w="125"/>
        <w:gridCol w:w="90"/>
        <w:gridCol w:w="322"/>
        <w:gridCol w:w="1122"/>
        <w:gridCol w:w="170"/>
      </w:tblGrid>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Trade accounts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2,640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1,199</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(548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(286</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Trade accounts receivable, net</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Contractor advances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759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786</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Transaction fee receivable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20</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Commissions overpayment receivable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1,574</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Allowance for credit losses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(487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Total due from sales representatives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3,223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Total accounts receivable, net</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5,315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double" w:sz="10" w:space="0" w:color="000000"/>
            </w:tcBorders>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tcMar>
              <w:bottom w:w="28" w:type="dxa"/>
            </w:tcMar>
            <w:vAlign w:val="center"/>
          </w:tcPr>
          <w:p>
            <w:pPr>
              <w:pStyle w:val="TableContents"/>
              <w:bidi w:val="0"/>
              <w:spacing w:before="0" w:after="283"/>
              <w:jc w:val="right"/>
              <w:rPr/>
            </w:pPr>
            <w:r>
              <w:rPr/>
              <w:t>2,991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r>
        <w:rPr>
          <w:rFonts w:ascii="Times New Roman;Times;Serif" w:hAnsi="Times New Roman;Times;Serif"/>
          <w:b/>
          <w:i/>
          <w:caps w:val="false"/>
          <w:smallCaps w:val="false"/>
          <w:sz w:val="20"/>
        </w:rPr>
        <w:t xml:space="preserve">.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allowances for credit losses for receivables by portfolio segment and the related activity for the six months ended June 30, 2025 and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4"/>
        <w:gridCol w:w="90"/>
        <w:gridCol w:w="442"/>
        <w:gridCol w:w="1071"/>
        <w:gridCol w:w="103"/>
        <w:gridCol w:w="103"/>
        <w:gridCol w:w="543"/>
        <w:gridCol w:w="928"/>
        <w:gridCol w:w="143"/>
        <w:gridCol w:w="103"/>
        <w:gridCol w:w="475"/>
        <w:gridCol w:w="1151"/>
        <w:gridCol w:w="143"/>
        <w:gridCol w:w="103"/>
        <w:gridCol w:w="544"/>
        <w:gridCol w:w="1317"/>
        <w:gridCol w:w="103"/>
        <w:gridCol w:w="103"/>
        <w:gridCol w:w="195"/>
        <w:gridCol w:w="678"/>
        <w:gridCol w:w="143"/>
      </w:tblGrid>
      <w:tr>
        <w:trPr/>
        <w:tc>
          <w:tcPr>
            <w:tcW w:w="17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4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2025</w:t>
            </w:r>
          </w:p>
        </w:tc>
        <w:tc>
          <w:tcPr>
            <w:tcW w:w="143" w:type="dxa"/>
            <w:tcBorders/>
            <w:vAlign w:val="center"/>
          </w:tcPr>
          <w:p>
            <w:pPr>
              <w:pStyle w:val="TableContents"/>
              <w:bidi w:val="0"/>
              <w:spacing w:before="0" w:after="283"/>
              <w:jc w:val="left"/>
              <w:rPr/>
            </w:pPr>
            <w:r>
              <w:rPr/>
              <w:t> </w:t>
            </w:r>
          </w:p>
        </w:tc>
      </w:tr>
      <w:tr>
        <w:trPr/>
        <w:tc>
          <w:tcPr>
            <w:tcW w:w="172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6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8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3" w:type="dxa"/>
            <w:tcBorders/>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286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1</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131</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w:t>
            </w:r>
          </w:p>
        </w:tc>
        <w:tc>
          <w:tcPr>
            <w:tcW w:w="1317" w:type="dxa"/>
            <w:tcBorders/>
            <w:shd w:fill="CCEEFF" w:val="clear"/>
            <w:vAlign w:val="center"/>
          </w:tcPr>
          <w:p>
            <w:pPr>
              <w:pStyle w:val="TableContents"/>
              <w:bidi w:val="0"/>
              <w:spacing w:before="0" w:after="283"/>
              <w:jc w:val="right"/>
              <w:rPr/>
            </w:pPr>
            <w:r>
              <w:rPr/>
              <w:t>170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588</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1724"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71" w:type="dxa"/>
            <w:tcBorders/>
            <w:vAlign w:val="center"/>
          </w:tcPr>
          <w:p>
            <w:pPr>
              <w:pStyle w:val="TableContents"/>
              <w:bidi w:val="0"/>
              <w:spacing w:before="0" w:after="283"/>
              <w:jc w:val="right"/>
              <w:rPr/>
            </w:pPr>
            <w:r>
              <w:rPr/>
              <w:t>248</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right"/>
              <w:rPr/>
            </w:pPr>
            <w:r>
              <w:rPr/>
              <w:t>(1</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(5</w:t>
            </w:r>
          </w:p>
        </w:tc>
        <w:tc>
          <w:tcPr>
            <w:tcW w:w="143"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191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pPr>
            <w:r>
              <w:rPr/>
              <w:t>433</w:t>
            </w:r>
          </w:p>
        </w:tc>
        <w:tc>
          <w:tcPr>
            <w:tcW w:w="143" w:type="dxa"/>
            <w:tcBorders/>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1724"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4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tcMar>
              <w:bottom w:w="28" w:type="dxa"/>
            </w:tcMar>
            <w:vAlign w:val="center"/>
          </w:tcPr>
          <w:p>
            <w:pPr>
              <w:pStyle w:val="TableContents"/>
              <w:bidi w:val="0"/>
              <w:spacing w:before="0" w:after="283"/>
              <w:jc w:val="right"/>
              <w:rPr/>
            </w:pPr>
            <w:r>
              <w:rPr/>
              <w:t>14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543" w:type="dxa"/>
            <w:tcBorders>
              <w:bottom w:val="single" w:sz="12" w:space="0" w:color="000000"/>
            </w:tcBorders>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4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w:t>
            </w:r>
          </w:p>
        </w:tc>
        <w:tc>
          <w:tcPr>
            <w:tcW w:w="14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5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12" w:space="0" w:color="000000"/>
            </w:tcBorders>
            <w:tcMar>
              <w:bottom w:w="28" w:type="dxa"/>
            </w:tcMar>
            <w:vAlign w:val="center"/>
          </w:tcPr>
          <w:p>
            <w:pPr>
              <w:pStyle w:val="TableContents"/>
              <w:bidi w:val="0"/>
              <w:spacing w:before="0" w:after="283"/>
              <w:jc w:val="right"/>
              <w:rPr/>
            </w:pPr>
            <w:r>
              <w:rPr/>
              <w:t>—</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78" w:type="dxa"/>
            <w:tcBorders>
              <w:bottom w:val="single" w:sz="12" w:space="0" w:color="000000"/>
            </w:tcBorders>
            <w:tcMar>
              <w:bottom w:w="28" w:type="dxa"/>
            </w:tcMar>
            <w:vAlign w:val="center"/>
          </w:tcPr>
          <w:p>
            <w:pPr>
              <w:pStyle w:val="TableContents"/>
              <w:bidi w:val="0"/>
              <w:spacing w:before="0" w:after="283"/>
              <w:jc w:val="right"/>
              <w:rPr/>
            </w:pPr>
            <w:r>
              <w:rPr/>
              <w:t>14</w:t>
            </w:r>
          </w:p>
        </w:tc>
        <w:tc>
          <w:tcPr>
            <w:tcW w:w="143" w:type="dxa"/>
            <w:tcBorders/>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4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1" w:type="dxa"/>
            <w:tcBorders>
              <w:bottom w:val="double" w:sz="10" w:space="0" w:color="000000"/>
            </w:tcBorders>
            <w:shd w:fill="CCEEFF" w:val="clear"/>
            <w:tcMar>
              <w:bottom w:w="28" w:type="dxa"/>
            </w:tcMar>
            <w:vAlign w:val="center"/>
          </w:tcPr>
          <w:p>
            <w:pPr>
              <w:pStyle w:val="TableContents"/>
              <w:bidi w:val="0"/>
              <w:spacing w:before="0" w:after="283"/>
              <w:jc w:val="right"/>
              <w:rPr/>
            </w:pPr>
            <w:r>
              <w:rPr/>
              <w:t>548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4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4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7"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8" w:type="dxa"/>
            <w:tcBorders>
              <w:bottom w:val="double" w:sz="10" w:space="0" w:color="000000"/>
            </w:tcBorders>
            <w:shd w:fill="CCEEFF" w:val="clear"/>
            <w:tcMar>
              <w:bottom w:w="28" w:type="dxa"/>
            </w:tcMar>
            <w:vAlign w:val="center"/>
          </w:tcPr>
          <w:p>
            <w:pPr>
              <w:pStyle w:val="TableContents"/>
              <w:bidi w:val="0"/>
              <w:spacing w:before="0" w:after="283"/>
              <w:jc w:val="right"/>
              <w:rPr/>
            </w:pPr>
            <w:r>
              <w:rPr/>
              <w:t>1,035</w:t>
            </w:r>
          </w:p>
        </w:tc>
        <w:tc>
          <w:tcPr>
            <w:tcW w:w="14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7"/>
        <w:gridCol w:w="90"/>
        <w:gridCol w:w="449"/>
        <w:gridCol w:w="1087"/>
        <w:gridCol w:w="151"/>
        <w:gridCol w:w="109"/>
        <w:gridCol w:w="547"/>
        <w:gridCol w:w="934"/>
        <w:gridCol w:w="151"/>
        <w:gridCol w:w="109"/>
        <w:gridCol w:w="482"/>
        <w:gridCol w:w="1167"/>
        <w:gridCol w:w="109"/>
        <w:gridCol w:w="109"/>
        <w:gridCol w:w="696"/>
        <w:gridCol w:w="1190"/>
        <w:gridCol w:w="109"/>
        <w:gridCol w:w="109"/>
        <w:gridCol w:w="211"/>
        <w:gridCol w:w="497"/>
        <w:gridCol w:w="142"/>
      </w:tblGrid>
      <w:tr>
        <w:trPr/>
        <w:tc>
          <w:tcPr>
            <w:tcW w:w="17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216"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2024</w:t>
            </w:r>
          </w:p>
        </w:tc>
        <w:tc>
          <w:tcPr>
            <w:tcW w:w="142" w:type="dxa"/>
            <w:tcBorders/>
            <w:vAlign w:val="center"/>
          </w:tcPr>
          <w:p>
            <w:pPr>
              <w:pStyle w:val="TableContents"/>
              <w:bidi w:val="0"/>
              <w:spacing w:before="0" w:after="283"/>
              <w:jc w:val="left"/>
              <w:rPr/>
            </w:pPr>
            <w:r>
              <w:rPr/>
              <w:t> </w:t>
            </w:r>
          </w:p>
        </w:tc>
      </w:tr>
      <w:tr>
        <w:trPr/>
        <w:tc>
          <w:tcPr>
            <w:tcW w:w="175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6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42" w:type="dxa"/>
            <w:tcBorders/>
            <w:vAlign w:val="center"/>
          </w:tcPr>
          <w:p>
            <w:pPr>
              <w:pStyle w:val="TableContents"/>
              <w:bidi w:val="0"/>
              <w:spacing w:before="0" w:after="283"/>
              <w:jc w:val="left"/>
              <w:rPr/>
            </w:pPr>
            <w:r>
              <w:rPr/>
              <w:t> </w:t>
            </w:r>
          </w:p>
        </w:tc>
      </w:tr>
      <w:tr>
        <w:trPr/>
        <w:tc>
          <w:tcPr>
            <w:tcW w:w="1757" w:type="dxa"/>
            <w:tcBorders/>
            <w:shd w:fill="CCEEFF" w:val="clear"/>
            <w:vAlign w:val="center"/>
          </w:tcPr>
          <w:p>
            <w:pPr>
              <w:pStyle w:val="TableContents"/>
              <w:bidi w:val="0"/>
              <w:spacing w:before="0" w:after="283"/>
              <w:jc w:val="both"/>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w:t>
            </w:r>
          </w:p>
        </w:tc>
        <w:tc>
          <w:tcPr>
            <w:tcW w:w="934" w:type="dxa"/>
            <w:tcBorders/>
            <w:shd w:fill="CCEEFF" w:val="clear"/>
            <w:vAlign w:val="center"/>
          </w:tcPr>
          <w:p>
            <w:pPr>
              <w:pStyle w:val="TableContents"/>
              <w:bidi w:val="0"/>
              <w:spacing w:before="0" w:after="283"/>
              <w:jc w:val="right"/>
              <w:rPr/>
            </w:pPr>
            <w:r>
              <w:rPr/>
              <w:t>5</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46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497" w:type="dxa"/>
            <w:tcBorders/>
            <w:shd w:fill="CCEEFF" w:val="clear"/>
            <w:vAlign w:val="center"/>
          </w:tcPr>
          <w:p>
            <w:pPr>
              <w:pStyle w:val="TableContents"/>
              <w:bidi w:val="0"/>
              <w:spacing w:before="0" w:after="283"/>
              <w:jc w:val="right"/>
              <w:rPr/>
            </w:pPr>
            <w:r>
              <w:rPr/>
              <w:t>54</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1757"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137</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w:t>
            </w:r>
          </w:p>
        </w:tc>
        <w:tc>
          <w:tcPr>
            <w:tcW w:w="15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right"/>
              <w:rPr/>
            </w:pPr>
            <w:r>
              <w:rPr/>
              <w:t>92</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right"/>
              <w:rPr/>
            </w:pPr>
            <w:r>
              <w:rPr/>
              <w:t>251</w:t>
            </w:r>
          </w:p>
        </w:tc>
        <w:tc>
          <w:tcPr>
            <w:tcW w:w="142" w:type="dxa"/>
            <w:tcBorders/>
            <w:vAlign w:val="center"/>
          </w:tcPr>
          <w:p>
            <w:pPr>
              <w:pStyle w:val="TableContents"/>
              <w:bidi w:val="0"/>
              <w:spacing w:before="0" w:after="283"/>
              <w:jc w:val="left"/>
              <w:rPr/>
            </w:pPr>
            <w:r>
              <w:rPr/>
              <w:t> </w:t>
            </w:r>
          </w:p>
        </w:tc>
      </w:tr>
      <w:tr>
        <w:trPr/>
        <w:tc>
          <w:tcPr>
            <w:tcW w:w="1757" w:type="dxa"/>
            <w:tcBorders/>
            <w:shd w:fill="CCEEFF" w:val="clear"/>
            <w:vAlign w:val="center"/>
          </w:tcPr>
          <w:p>
            <w:pPr>
              <w:pStyle w:val="TableContents"/>
              <w:bidi w:val="0"/>
              <w:spacing w:before="0" w:after="283"/>
              <w:jc w:val="both"/>
              <w:rPr/>
            </w:pPr>
            <w:r>
              <w:rPr/>
              <w:t>Write-offs</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1757" w:type="dxa"/>
            <w:tcBorders/>
            <w:vAlign w:val="center"/>
          </w:tcPr>
          <w:p>
            <w:pPr>
              <w:pStyle w:val="TableContents"/>
              <w:bidi w:val="0"/>
              <w:spacing w:before="0" w:after="283"/>
              <w:jc w:val="left"/>
              <w:rPr/>
            </w:pPr>
            <w:r>
              <w:rPr/>
              <w:t>Recoveries</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tcMar>
              <w:bottom w:w="28" w:type="dxa"/>
            </w:tcMar>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5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tcMar>
              <w:bottom w:w="28" w:type="dxa"/>
            </w:tcMar>
            <w:vAlign w:val="center"/>
          </w:tcPr>
          <w:p>
            <w:pPr>
              <w:pStyle w:val="TableContents"/>
              <w:bidi w:val="0"/>
              <w:spacing w:before="0" w:after="283"/>
              <w:jc w:val="right"/>
              <w:rPr/>
            </w:pPr>
            <w:r>
              <w:rPr/>
              <w:t>—</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4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7" w:type="dxa"/>
            <w:tcBorders>
              <w:bottom w:val="single" w:sz="12" w:space="0" w:color="000000"/>
            </w:tcBorders>
            <w:tcMar>
              <w:bottom w:w="28"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tcMar>
              <w:bottom w:w="28"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497" w:type="dxa"/>
            <w:tcBorders>
              <w:bottom w:val="single" w:sz="12" w:space="0" w:color="000000"/>
            </w:tcBorders>
            <w:tcMar>
              <w:bottom w:w="28" w:type="dxa"/>
            </w:tcMar>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 </w:t>
            </w:r>
          </w:p>
        </w:tc>
      </w:tr>
      <w:tr>
        <w:trPr/>
        <w:tc>
          <w:tcPr>
            <w:tcW w:w="1757"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7"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151"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5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7" w:type="dxa"/>
            <w:tcBorders>
              <w:bottom w:val="double" w:sz="10" w:space="0" w:color="000000"/>
            </w:tcBorders>
            <w:shd w:fill="CCEEFF" w:val="clear"/>
            <w:tcMar>
              <w:bottom w:w="28" w:type="dxa"/>
            </w:tcMar>
            <w:vAlign w:val="center"/>
          </w:tcPr>
          <w:p>
            <w:pPr>
              <w:pStyle w:val="TableContents"/>
              <w:bidi w:val="0"/>
              <w:spacing w:before="0" w:after="283"/>
              <w:jc w:val="right"/>
              <w:rPr/>
            </w:pPr>
            <w:r>
              <w:rPr/>
              <w:t>138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0" w:type="dxa"/>
            <w:tcBorders>
              <w:bottom w:val="double" w:sz="10" w:space="0" w:color="000000"/>
            </w:tcBorders>
            <w:shd w:fill="CCEEFF" w:val="clear"/>
            <w:tcMar>
              <w:bottom w:w="28" w:type="dxa"/>
            </w:tcMar>
            <w:vAlign w:val="center"/>
          </w:tcPr>
          <w:p>
            <w:pPr>
              <w:pStyle w:val="TableContents"/>
              <w:bidi w:val="0"/>
              <w:spacing w:before="0" w:after="283"/>
              <w:jc w:val="right"/>
              <w:rPr/>
            </w:pPr>
            <w:r>
              <w:rPr/>
              <w:t>26</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7" w:type="dxa"/>
            <w:tcBorders>
              <w:bottom w:val="double" w:sz="10" w:space="0" w:color="000000"/>
            </w:tcBorders>
            <w:shd w:fill="CCEEFF" w:val="clear"/>
            <w:tcMar>
              <w:bottom w:w="28" w:type="dxa"/>
            </w:tcMar>
            <w:vAlign w:val="center"/>
          </w:tcPr>
          <w:p>
            <w:pPr>
              <w:pStyle w:val="TableContents"/>
              <w:bidi w:val="0"/>
              <w:spacing w:before="0" w:after="283"/>
              <w:jc w:val="right"/>
              <w:rPr/>
            </w:pPr>
            <w:r>
              <w:rPr/>
              <w:t>305</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w:t>
      </w:r>
      <w:r>
        <w:rPr>
          <w:rFonts w:ascii="Times New Roman;Times;Serif" w:hAnsi="Times New Roman;Times;Serif"/>
          <w:b/>
          <w:i/>
          <w:caps w:val="false"/>
          <w:smallCaps w:val="false"/>
          <w:sz w:val="20"/>
        </w:rPr>
        <w: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19" w:type="dxa"/>
        <w:jc w:val="left"/>
        <w:tblInd w:w="0" w:type="dxa"/>
        <w:tblLayout w:type="fixed"/>
        <w:tblCellMar>
          <w:top w:w="0" w:type="dxa"/>
          <w:left w:w="0" w:type="dxa"/>
          <w:bottom w:w="0" w:type="dxa"/>
          <w:right w:w="0" w:type="dxa"/>
        </w:tblCellMar>
      </w:tblPr>
      <w:tblGrid>
        <w:gridCol w:w="3965"/>
        <w:gridCol w:w="90"/>
        <w:gridCol w:w="202"/>
        <w:gridCol w:w="702"/>
        <w:gridCol w:w="90"/>
        <w:gridCol w:w="90"/>
        <w:gridCol w:w="279"/>
        <w:gridCol w:w="1166"/>
        <w:gridCol w:w="135"/>
      </w:tblGrid>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Deferred commissions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9,609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12,840</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Bonus install commitment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208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435</w:t>
            </w:r>
          </w:p>
        </w:tc>
        <w:tc>
          <w:tcPr>
            <w:tcW w:w="13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35"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Prepaid expenses and other current assets</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9,830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double" w:sz="10" w:space="0" w:color="000000"/>
            </w:tcBorders>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tcMar>
              <w:bottom w:w="28" w:type="dxa"/>
            </w:tcMar>
            <w:vAlign w:val="center"/>
          </w:tcPr>
          <w:p>
            <w:pPr>
              <w:pStyle w:val="TableContents"/>
              <w:bidi w:val="0"/>
              <w:spacing w:before="0" w:after="283"/>
              <w:jc w:val="right"/>
              <w:rPr/>
            </w:pPr>
            <w:r>
              <w:rPr/>
              <w:t>13,508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$10,527 of commission expense in the six months ended June 30, 2025,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i/>
          <w:caps w:val="false"/>
          <w:smallCaps w:val="false"/>
          <w:sz w:val="20"/>
        </w:rPr>
        <w:t>.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4655"/>
        <w:gridCol w:w="90"/>
        <w:gridCol w:w="234"/>
        <w:gridCol w:w="670"/>
        <w:gridCol w:w="125"/>
        <w:gridCol w:w="90"/>
        <w:gridCol w:w="374"/>
        <w:gridCol w:w="1070"/>
        <w:gridCol w:w="170"/>
      </w:tblGrid>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202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202</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Furniture and fixtures</w:t>
            </w:r>
          </w:p>
        </w:tc>
        <w:tc>
          <w:tcPr>
            <w:tcW w:w="9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right"/>
              <w:rPr/>
            </w:pPr>
            <w:r>
              <w:rPr/>
              <w:t>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188</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both"/>
              <w:rPr/>
            </w:pPr>
            <w:r>
              <w:rPr/>
              <w:t>Total cost</w:t>
            </w:r>
          </w:p>
        </w:tc>
        <w:tc>
          <w:tcPr>
            <w:tcW w:w="90" w:type="dxa"/>
            <w:tcBorders/>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tcMar>
              <w:bottom w:w="28" w:type="dxa"/>
            </w:tcMar>
            <w:vAlign w:val="center"/>
          </w:tcPr>
          <w:p>
            <w:pPr>
              <w:pStyle w:val="TableContents"/>
              <w:bidi w:val="0"/>
              <w:spacing w:before="0" w:after="283"/>
              <w:jc w:val="right"/>
              <w:rPr/>
            </w:pPr>
            <w:r>
              <w:rPr/>
              <w:t>465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right"/>
              <w:rPr/>
            </w:pPr>
            <w:r>
              <w:rPr/>
              <w:t>463</w:t>
            </w:r>
          </w:p>
        </w:tc>
        <w:tc>
          <w:tcPr>
            <w:tcW w:w="17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both"/>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w:t>
            </w:r>
          </w:p>
        </w:tc>
      </w:tr>
      <w:tr>
        <w:trPr/>
        <w:tc>
          <w:tcPr>
            <w:tcW w:w="4655" w:type="dxa"/>
            <w:tcBorders/>
            <w:vAlign w:val="center"/>
          </w:tcPr>
          <w:p>
            <w:pPr>
              <w:pStyle w:val="TableContents"/>
              <w:bidi w:val="0"/>
              <w:spacing w:before="0" w:after="283"/>
              <w:jc w:val="both"/>
              <w:rPr/>
            </w:pPr>
            <w:r>
              <w:rPr/>
              <w:t>Property and equipment, net</w:t>
            </w:r>
          </w:p>
        </w:tc>
        <w:tc>
          <w:tcPr>
            <w:tcW w:w="90" w:type="dxa"/>
            <w:tcBorders/>
            <w:vAlign w:val="center"/>
          </w:tcPr>
          <w:p>
            <w:pPr>
              <w:pStyle w:val="TableContents"/>
              <w:bidi w:val="0"/>
              <w:spacing w:before="0" w:after="283"/>
              <w:jc w:val="left"/>
              <w:rPr/>
            </w:pPr>
            <w:r>
              <w:rPr/>
              <w:t> </w:t>
            </w:r>
          </w:p>
        </w:tc>
        <w:tc>
          <w:tcPr>
            <w:tcW w:w="234" w:type="dxa"/>
            <w:tcBorders>
              <w:bottom w:val="double" w:sz="10" w:space="0" w:color="000000"/>
            </w:tcBorders>
            <w:tcMar>
              <w:bottom w:w="28" w:type="dxa"/>
            </w:tcMar>
            <w:vAlign w:val="center"/>
          </w:tcPr>
          <w:p>
            <w:pPr>
              <w:pStyle w:val="TableContents"/>
              <w:bidi w:val="0"/>
              <w:spacing w:before="0" w:after="283"/>
              <w:jc w:val="left"/>
              <w:rPr/>
            </w:pPr>
            <w:r>
              <w:rPr/>
              <w:t>$</w:t>
            </w:r>
          </w:p>
        </w:tc>
        <w:tc>
          <w:tcPr>
            <w:tcW w:w="670" w:type="dxa"/>
            <w:tcBorders>
              <w:bottom w:val="double" w:sz="10" w:space="0" w:color="000000"/>
            </w:tcBorders>
            <w:tcMar>
              <w:bottom w:w="28" w:type="dxa"/>
            </w:tcMar>
            <w:vAlign w:val="center"/>
          </w:tcPr>
          <w:p>
            <w:pPr>
              <w:pStyle w:val="TableContents"/>
              <w:bidi w:val="0"/>
              <w:spacing w:before="0" w:after="283"/>
              <w:jc w:val="right"/>
              <w:rPr/>
            </w:pPr>
            <w:r>
              <w:rPr/>
              <w:t>260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4" w:type="dxa"/>
            <w:tcBorders>
              <w:bottom w:val="double" w:sz="10" w:space="0" w:color="000000"/>
            </w:tcBorders>
            <w:tcMar>
              <w:bottom w:w="28" w:type="dxa"/>
            </w:tcMar>
            <w:vAlign w:val="center"/>
          </w:tcPr>
          <w:p>
            <w:pPr>
              <w:pStyle w:val="TableContents"/>
              <w:bidi w:val="0"/>
              <w:spacing w:before="0" w:after="283"/>
              <w:jc w:val="left"/>
              <w:rPr/>
            </w:pPr>
            <w:r>
              <w:rPr/>
              <w:t>$</w:t>
            </w:r>
          </w:p>
        </w:tc>
        <w:tc>
          <w:tcPr>
            <w:tcW w:w="1070" w:type="dxa"/>
            <w:tcBorders>
              <w:bottom w:val="double" w:sz="10" w:space="0" w:color="000000"/>
            </w:tcBorders>
            <w:tcMar>
              <w:bottom w:w="28" w:type="dxa"/>
            </w:tcMar>
            <w:vAlign w:val="center"/>
          </w:tcPr>
          <w:p>
            <w:pPr>
              <w:pStyle w:val="TableContents"/>
              <w:bidi w:val="0"/>
              <w:spacing w:before="0" w:after="283"/>
              <w:jc w:val="right"/>
              <w:rPr/>
            </w:pPr>
            <w:r>
              <w:rPr/>
              <w:t>298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and 2024 was $40 and $39,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4835"/>
        <w:gridCol w:w="90"/>
        <w:gridCol w:w="174"/>
        <w:gridCol w:w="730"/>
        <w:gridCol w:w="90"/>
        <w:gridCol w:w="90"/>
        <w:gridCol w:w="322"/>
        <w:gridCol w:w="1122"/>
        <w:gridCol w:w="135"/>
      </w:tblGrid>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Accrued salaries, wages and related expenses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30" w:type="dxa"/>
            <w:tcBorders/>
            <w:shd w:fill="CCEEFF" w:val="cle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120</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Commissions payable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3,177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1,814</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Legal fees payable</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8,195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4,136</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Accrued interest payable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47</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Credit card obligation</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101</w:t>
            </w:r>
          </w:p>
        </w:tc>
        <w:tc>
          <w:tcPr>
            <w:tcW w:w="135" w:type="dxa"/>
            <w:tcBorders/>
            <w:shd w:fill="CCEEFF" w:val="clear"/>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Other</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tcMar>
              <w:bottom w:w="28" w:type="dxa"/>
            </w:tcMar>
            <w:vAlign w:val="center"/>
          </w:tcPr>
          <w:p>
            <w:pPr>
              <w:pStyle w:val="TableContents"/>
              <w:bidi w:val="0"/>
              <w:spacing w:before="0" w:after="283"/>
              <w:jc w:val="right"/>
              <w:rPr/>
            </w:pPr>
            <w:r>
              <w:rPr/>
              <w:t>317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293</w:t>
            </w:r>
          </w:p>
        </w:tc>
        <w:tc>
          <w:tcPr>
            <w:tcW w:w="13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both"/>
              <w:rPr/>
            </w:pPr>
            <w:r>
              <w:rPr/>
              <w:t>Total 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0" w:type="dxa"/>
            <w:tcBorders>
              <w:bottom w:val="double" w:sz="10" w:space="0" w:color="000000"/>
            </w:tcBorders>
            <w:shd w:fill="CCEEFF" w:val="clear"/>
            <w:tcMar>
              <w:bottom w:w="28" w:type="dxa"/>
            </w:tcMar>
            <w:vAlign w:val="center"/>
          </w:tcPr>
          <w:p>
            <w:pPr>
              <w:pStyle w:val="TableContents"/>
              <w:bidi w:val="0"/>
              <w:spacing w:before="0" w:after="283"/>
              <w:jc w:val="right"/>
              <w:rPr/>
            </w:pPr>
            <w:r>
              <w:rPr/>
              <w:t>11,881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6,511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Times;Serif" w:hAnsi="Times New Roman;Times;Serif"/>
          <w:b w:val="false"/>
          <w:i/>
          <w:caps w:val="false"/>
          <w:smallCaps w:val="false"/>
          <w:sz w:val="20"/>
        </w:rPr>
        <w:t>Liquidity Considerations and Sale of Company</w:t>
      </w:r>
      <w:r>
        <w:rPr>
          <w:rFonts w:ascii="Times New Roman;Times;Serif" w:hAnsi="Times New Roman;Times;Serif"/>
          <w:b w:val="false"/>
          <w:i w:val="false"/>
          <w:caps w:val="false"/>
          <w:smallCaps w:val="false"/>
          <w:sz w:val="20"/>
        </w:rPr>
        <w:t xml:space="preserve"> for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i/>
          <w:caps w:val="false"/>
          <w:smallCaps w:val="false"/>
          <w:sz w:val="20"/>
        </w:rPr>
        <w: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operating lease components recorded in the Company’s balance sheets as of June 30, 2025 and December 31, 2024</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23" w:type="dxa"/>
        <w:jc w:val="left"/>
        <w:tblInd w:w="0" w:type="dxa"/>
        <w:tblLayout w:type="fixed"/>
        <w:tblCellMar>
          <w:top w:w="0" w:type="dxa"/>
          <w:left w:w="0" w:type="dxa"/>
          <w:bottom w:w="0" w:type="dxa"/>
          <w:right w:w="0" w:type="dxa"/>
        </w:tblCellMar>
      </w:tblPr>
      <w:tblGrid>
        <w:gridCol w:w="4370"/>
        <w:gridCol w:w="90"/>
        <w:gridCol w:w="265"/>
        <w:gridCol w:w="639"/>
        <w:gridCol w:w="90"/>
        <w:gridCol w:w="90"/>
        <w:gridCol w:w="422"/>
        <w:gridCol w:w="1022"/>
        <w:gridCol w:w="135"/>
      </w:tblGrid>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5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Current portion of operating lease liability</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w:t>
            </w:r>
          </w:p>
        </w:tc>
        <w:tc>
          <w:tcPr>
            <w:tcW w:w="1022" w:type="dxa"/>
            <w:tcBorders/>
            <w:shd w:fill="CCEEFF" w:val="clear"/>
            <w:vAlign w:val="center"/>
          </w:tcPr>
          <w:p>
            <w:pPr>
              <w:pStyle w:val="TableContents"/>
              <w:bidi w:val="0"/>
              <w:spacing w:before="0" w:after="283"/>
              <w:jc w:val="right"/>
              <w:rPr/>
            </w:pPr>
            <w:r>
              <w:rPr/>
              <w:t>119</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Noncurrent portion of operating lease liability</w:t>
            </w:r>
          </w:p>
        </w:tc>
        <w:tc>
          <w:tcPr>
            <w:tcW w:w="90" w:type="dxa"/>
            <w:tcBorders/>
            <w:vAlign w:val="center"/>
          </w:tcPr>
          <w:p>
            <w:pPr>
              <w:pStyle w:val="TableContents"/>
              <w:bidi w:val="0"/>
              <w:spacing w:before="0" w:after="283"/>
              <w:jc w:val="lef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tcMar>
              <w:bottom w:w="28" w:type="dxa"/>
            </w:tcMar>
            <w:vAlign w:val="center"/>
          </w:tcPr>
          <w:p>
            <w:pPr>
              <w:pStyle w:val="TableContents"/>
              <w:bidi w:val="0"/>
              <w:spacing w:before="0" w:after="283"/>
              <w:jc w:val="right"/>
              <w:rPr/>
            </w:pPr>
            <w:r>
              <w:rPr/>
              <w:t>237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tcMar>
              <w:bottom w:w="28" w:type="dxa"/>
            </w:tcMar>
            <w:vAlign w:val="center"/>
          </w:tcPr>
          <w:p>
            <w:pPr>
              <w:pStyle w:val="TableContents"/>
              <w:bidi w:val="0"/>
              <w:spacing w:before="0" w:after="283"/>
              <w:jc w:val="right"/>
              <w:rPr/>
            </w:pPr>
            <w:r>
              <w:rPr/>
              <w:t>302</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2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$58 and $53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 and discount rates for the Company’s operating leases:</w:t>
      </w:r>
    </w:p>
    <w:p>
      <w:pPr>
        <w:pStyle w:val="TextBody"/>
        <w:bidi w:val="0"/>
        <w:spacing w:before="0" w:after="0"/>
        <w:ind w:left="0" w:right="0" w:hanging="0"/>
        <w:jc w:val="both"/>
        <w:rPr>
          <w:caps w:val="false"/>
          <w:smallCaps w:val="false"/>
        </w:rPr>
      </w:pPr>
      <w:r>
        <w:rPr>
          <w:caps w:val="false"/>
          <w:smallCaps w:val="false"/>
        </w:rPr>
        <w:t> </w:t>
      </w:r>
    </w:p>
    <w:tbl>
      <w:tblPr>
        <w:tblW w:w="6909" w:type="dxa"/>
        <w:jc w:val="left"/>
        <w:tblInd w:w="0" w:type="dxa"/>
        <w:tblLayout w:type="fixed"/>
        <w:tblCellMar>
          <w:top w:w="0" w:type="dxa"/>
          <w:left w:w="0" w:type="dxa"/>
          <w:bottom w:w="0" w:type="dxa"/>
          <w:right w:w="0" w:type="dxa"/>
        </w:tblCellMar>
      </w:tblPr>
      <w:tblGrid>
        <w:gridCol w:w="3785"/>
        <w:gridCol w:w="90"/>
        <w:gridCol w:w="90"/>
        <w:gridCol w:w="875"/>
        <w:gridCol w:w="245"/>
        <w:gridCol w:w="90"/>
        <w:gridCol w:w="231"/>
        <w:gridCol w:w="1213"/>
        <w:gridCol w:w="290"/>
      </w:tblGrid>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9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June 30,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29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pPr>
            <w:r>
              <w:rPr/>
              <w:t>Weighted average remaining lease term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 years</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 years</w:t>
            </w:r>
          </w:p>
        </w:tc>
        <w:tc>
          <w:tcPr>
            <w:tcW w:w="290"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both"/>
              <w:rPr/>
            </w:pPr>
            <w:r>
              <w:rPr/>
              <w:t>Weighted average discount rate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6.5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June 30, 2025, were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120"/>
        <w:gridCol w:w="90"/>
        <w:gridCol w:w="170"/>
        <w:gridCol w:w="410"/>
        <w:gridCol w:w="170"/>
      </w:tblGrid>
      <w:tr>
        <w:trPr/>
        <w:tc>
          <w:tcPr>
            <w:tcW w:w="2120" w:type="dxa"/>
            <w:tcBorders/>
            <w:vAlign w:val="center"/>
          </w:tcPr>
          <w:p>
            <w:pPr>
              <w:pStyle w:val="TableContents"/>
              <w:bidi w:val="0"/>
              <w:spacing w:before="0" w:after="283"/>
              <w:jc w:val="both"/>
              <w:rPr/>
            </w:pPr>
            <w:r>
              <w:rPr/>
              <w:t>Years ending:</w:t>
            </w:r>
          </w:p>
        </w:tc>
        <w:tc>
          <w:tcPr>
            <w:tcW w:w="9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Remainder of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71</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147</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151</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both"/>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170"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w:t>
            </w:r>
          </w:p>
        </w:tc>
      </w:tr>
      <w:tr>
        <w:trPr/>
        <w:tc>
          <w:tcPr>
            <w:tcW w:w="2120" w:type="dxa"/>
            <w:tcBorders/>
            <w:shd w:fill="CCEEFF" w:val="clear"/>
            <w:vAlign w:val="center"/>
          </w:tcPr>
          <w:p>
            <w:pPr>
              <w:pStyle w:val="TableContents"/>
              <w:bidi w:val="0"/>
              <w:spacing w:before="0" w:after="283"/>
              <w:jc w:val="both"/>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obtained a number of insurance policies to help protect the Company from potential losses through a captive insurance company related by common ownership.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activity in the Incentive Units during the six months ended June 30, 2025. The number of outstanding Incentive Units was 46,574 at each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activity for the six months ended June 30, 2025 is presented below:</w:t>
      </w:r>
    </w:p>
    <w:p>
      <w:pPr>
        <w:pStyle w:val="TextBody"/>
        <w:bidi w:val="0"/>
        <w:spacing w:before="0" w:after="0"/>
        <w:ind w:left="0" w:right="0" w:hanging="0"/>
        <w:jc w:val="both"/>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5225"/>
        <w:gridCol w:w="90"/>
        <w:gridCol w:w="544"/>
        <w:gridCol w:w="1755"/>
        <w:gridCol w:w="290"/>
      </w:tblGrid>
      <w:tr>
        <w:trPr/>
        <w:tc>
          <w:tcPr>
            <w:tcW w:w="52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Compensation award outstanding, December 31, 2024</w:t>
            </w:r>
          </w:p>
        </w:tc>
        <w:tc>
          <w:tcPr>
            <w:tcW w:w="90"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both"/>
              <w:rPr/>
            </w:pPr>
            <w:r>
              <w:rPr/>
              <w:t>Granted</w:t>
            </w:r>
          </w:p>
        </w:tc>
        <w:tc>
          <w:tcPr>
            <w:tcW w:w="90"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pPr>
            <w:r>
              <w:rPr/>
              <w:t>Forfeitures</w:t>
            </w:r>
          </w:p>
        </w:tc>
        <w:tc>
          <w:tcPr>
            <w:tcW w:w="90" w:type="dxa"/>
            <w:tcBorders/>
            <w:shd w:fill="CCEEFF" w:val="clear"/>
            <w:vAlign w:val="center"/>
          </w:tcPr>
          <w:p>
            <w:pPr>
              <w:pStyle w:val="TableContents"/>
              <w:bidi w:val="0"/>
              <w:spacing w:before="0" w:after="283"/>
              <w:jc w:val="left"/>
              <w:rPr/>
            </w:pPr>
            <w:r>
              <w:rPr/>
              <w:t> </w:t>
            </w:r>
          </w:p>
        </w:tc>
        <w:tc>
          <w:tcPr>
            <w:tcW w:w="5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5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w:t>
            </w:r>
          </w:p>
        </w:tc>
      </w:tr>
      <w:tr>
        <w:trPr/>
        <w:tc>
          <w:tcPr>
            <w:tcW w:w="5225" w:type="dxa"/>
            <w:tcBorders/>
            <w:vAlign w:val="center"/>
          </w:tcPr>
          <w:p>
            <w:pPr>
              <w:pStyle w:val="TableContents"/>
              <w:bidi w:val="0"/>
              <w:spacing w:before="0" w:after="283"/>
              <w:jc w:val="both"/>
              <w:rPr/>
            </w:pPr>
            <w:r>
              <w:rPr/>
              <w:t>Compensation award outstanding, June 30, 2025</w:t>
            </w:r>
          </w:p>
        </w:tc>
        <w:tc>
          <w:tcPr>
            <w:tcW w:w="90" w:type="dxa"/>
            <w:tcBorders/>
            <w:vAlign w:val="center"/>
          </w:tcPr>
          <w:p>
            <w:pPr>
              <w:pStyle w:val="TableContents"/>
              <w:bidi w:val="0"/>
              <w:spacing w:before="0" w:after="283"/>
              <w:jc w:val="left"/>
              <w:rPr/>
            </w:pPr>
            <w:r>
              <w:rPr/>
              <w:t> </w:t>
            </w:r>
          </w:p>
        </w:tc>
        <w:tc>
          <w:tcPr>
            <w:tcW w:w="544" w:type="dxa"/>
            <w:tcBorders>
              <w:bottom w:val="double" w:sz="10" w:space="0" w:color="000000"/>
            </w:tcBorders>
            <w:tcMar>
              <w:bottom w:w="28" w:type="dxa"/>
            </w:tcMar>
            <w:vAlign w:val="center"/>
          </w:tcPr>
          <w:p>
            <w:pPr>
              <w:pStyle w:val="TableContents"/>
              <w:bidi w:val="0"/>
              <w:spacing w:before="0" w:after="283"/>
              <w:jc w:val="left"/>
              <w:rPr/>
            </w:pPr>
            <w:r>
              <w:rPr/>
              <w:t> </w:t>
            </w:r>
          </w:p>
        </w:tc>
        <w:tc>
          <w:tcPr>
            <w:tcW w:w="1755" w:type="dxa"/>
            <w:tcBorders>
              <w:bottom w:val="double" w:sz="10" w:space="0" w:color="000000"/>
            </w:tcBorders>
            <w:tcMar>
              <w:bottom w:w="28" w:type="dxa"/>
            </w:tcMar>
            <w:vAlign w:val="center"/>
          </w:tcPr>
          <w:p>
            <w:pPr>
              <w:pStyle w:val="TableContents"/>
              <w:bidi w:val="0"/>
              <w:spacing w:before="0" w:after="283"/>
              <w:jc w:val="right"/>
              <w:rPr/>
            </w:pPr>
            <w:r>
              <w:rPr/>
              <w:t>9</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30480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48000" cy="20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G_001"/>
      <w:bookmarkEnd w:id="44"/>
      <w:r>
        <w:rPr>
          <w:rFonts w:ascii="Times New Roman;Times;Serif" w:hAnsi="Times New Roman;Times;Serif"/>
          <w:b/>
          <w:i w:val="false"/>
          <w:caps w:val="false"/>
          <w:smallCaps w:val="false"/>
          <w:sz w:val="20"/>
        </w:rPr>
        <w:t>To the Members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auditing standards generally accepted in the United States of America (US GAAS). Our responsibilities under those standards are further described in the </w:t>
      </w:r>
      <w:r>
        <w:rPr>
          <w:rFonts w:ascii="Times New Roman;Times;Serif" w:hAnsi="Times New Roman;Times;Serif"/>
          <w:b w:val="false"/>
          <w:i/>
          <w:caps w:val="false"/>
          <w:smallCaps w:val="false"/>
          <w:sz w:val="20"/>
        </w:rPr>
        <w:t>Auditors’ Responsibilities for the Audit of the Financial Statements</w:t>
      </w:r>
      <w:r>
        <w:rPr>
          <w:rFonts w:ascii="Times New Roman;Times;Serif" w:hAnsi="Times New Roman;Times;Serif"/>
          <w:b w:val="false"/>
          <w:i w:val="false"/>
          <w:caps w:val="false"/>
          <w:smallCaps w:val="false"/>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generally accepted auditing standards, we:</w:t>
      </w:r>
    </w:p>
    <w:p>
      <w:pPr>
        <w:pStyle w:val="TextBody"/>
        <w:bidi w:val="0"/>
        <w:spacing w:before="0" w:after="0"/>
        <w:ind w:left="0" w:right="0" w:hanging="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68"/>
        <w:gridCol w:w="200"/>
        <w:gridCol w:w="8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 xml:space="preserve">Exercise professional judgment and maintain professional skepticism throughout the audit.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5" w:name="G_002"/>
      <w:bookmarkEnd w:id="45"/>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8609" w:type="dxa"/>
        <w:jc w:val="left"/>
        <w:tblInd w:w="0" w:type="dxa"/>
        <w:tblLayout w:type="fixed"/>
        <w:tblCellMar>
          <w:top w:w="0" w:type="dxa"/>
          <w:left w:w="0" w:type="dxa"/>
          <w:bottom w:w="0" w:type="dxa"/>
          <w:right w:w="0" w:type="dxa"/>
        </w:tblCellMar>
      </w:tblPr>
      <w:tblGrid>
        <w:gridCol w:w="6410"/>
        <w:gridCol w:w="90"/>
        <w:gridCol w:w="253"/>
        <w:gridCol w:w="1686"/>
        <w:gridCol w:w="170"/>
      </w:tblGrid>
      <w:tr>
        <w:trPr/>
        <w:tc>
          <w:tcPr>
            <w:tcW w:w="6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As of December 31,</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Assets</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1,043,269</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$123,000</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1,010,295</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4,601,890</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366,027</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 receivable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423,719</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3,511,328</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6,137,615</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531,238</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17,625,381</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385,192</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740,654</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1,971,170</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116,819</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vAlign w:val="center"/>
          </w:tcPr>
          <w:p>
            <w:pPr>
              <w:pStyle w:val="TableContents"/>
              <w:bidi w:val="0"/>
              <w:spacing w:before="0" w:after="283"/>
              <w:jc w:val="left"/>
              <w:rPr/>
            </w:pPr>
            <w:r>
              <w:rPr/>
              <w:t> </w:t>
            </w:r>
          </w:p>
        </w:tc>
        <w:tc>
          <w:tcPr>
            <w:tcW w:w="25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Liabilities and Member’s Deficit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2,168,566</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2,799,860</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commissions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180,114</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accounts payable</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509,649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10,585,293</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401,456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finance lease liabilities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315,541</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16,960,479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367,346</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liabilities, net of current portion</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1,228,546</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lines of credit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2,175,000</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notes payable</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7,140,109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27,871,480</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(7,032,264</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member’s deficit</w:t>
            </w:r>
          </w:p>
        </w:tc>
        <w:tc>
          <w:tcPr>
            <w:tcW w:w="90" w:type="dxa"/>
            <w:tcBorders/>
            <w:vAlign w:val="center"/>
          </w:tcPr>
          <w:p>
            <w:pPr>
              <w:pStyle w:val="TableContents"/>
              <w:bidi w:val="0"/>
              <w:spacing w:before="0" w:after="283"/>
              <w:jc w:val="left"/>
              <w:rPr/>
            </w:pPr>
            <w:r>
              <w:rPr/>
              <w:t> </w:t>
            </w:r>
          </w:p>
        </w:tc>
        <w:tc>
          <w:tcPr>
            <w:tcW w:w="25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 w:name="G_003"/>
      <w:bookmarkEnd w:id="46"/>
      <w:r>
        <w:rPr>
          <w:rFonts w:ascii="Times New Roman;Times;Serif" w:hAnsi="Times New Roman;Times;Serif"/>
          <w:b/>
          <w:i/>
          <w:caps w:val="false"/>
          <w:smallCaps w:val="false"/>
          <w:sz w:val="20"/>
        </w:rPr>
        <w:t>Statement of Operations and Member’s Deficit</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3800"/>
        <w:gridCol w:w="90"/>
        <w:gridCol w:w="253"/>
        <w:gridCol w:w="1686"/>
        <w:gridCol w:w="170"/>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vAlign w:val="center"/>
          </w:tcPr>
          <w:p>
            <w:pPr>
              <w:pStyle w:val="TableContents"/>
              <w:bidi w:val="0"/>
              <w:spacing w:before="0" w:after="283"/>
              <w:jc w:val="center"/>
              <w:rPr>
                <w:i/>
              </w:rPr>
            </w:pPr>
            <w:r>
              <w:rPr>
                <w:i/>
              </w:rPr>
              <w:t>For the Year Ended</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54,273,721</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31,932,462</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22,341,259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11,156,319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Commissions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14,399,701</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Rent</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1,198,814</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401,665</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27,156,499</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Operating loss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(4,815,240</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Other expense:</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686" w:type="dxa"/>
            <w:tcBorders/>
            <w:vAlign w:val="center"/>
          </w:tcPr>
          <w:p>
            <w:pPr>
              <w:pStyle w:val="TableContents"/>
              <w:bidi w:val="0"/>
              <w:spacing w:before="0" w:after="283"/>
              <w:jc w:val="right"/>
              <w:rPr/>
            </w:pPr>
            <w:r>
              <w:rPr/>
              <w:t>(1,233,685</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Other expense</w:t>
            </w:r>
          </w:p>
        </w:tc>
        <w:tc>
          <w:tcPr>
            <w:tcW w:w="9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(204,126</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Total other expense</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(1,437,811</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(6,253,051</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Member’s deficit, beginning of the year</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1686" w:type="dxa"/>
            <w:tcBorders/>
            <w:vAlign w:val="center"/>
          </w:tcPr>
          <w:p>
            <w:pPr>
              <w:pStyle w:val="TableContents"/>
              <w:bidi w:val="0"/>
              <w:spacing w:before="0" w:after="283"/>
              <w:jc w:val="right"/>
              <w:rPr/>
            </w:pPr>
            <w:r>
              <w:rPr/>
              <w:t>(5,112,377</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Member’s contribution</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4,333,164</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tcMar>
              <w:bottom w:w="28" w:type="dxa"/>
            </w:tcMar>
            <w:vAlign w:val="center"/>
          </w:tcPr>
          <w:p>
            <w:pPr>
              <w:pStyle w:val="TableContents"/>
              <w:bidi w:val="0"/>
              <w:spacing w:before="0" w:after="283"/>
              <w:jc w:val="right"/>
              <w:rPr/>
            </w:pPr>
            <w:r>
              <w:rPr/>
              <w:t>(6,253,051</w:t>
            </w:r>
          </w:p>
        </w:tc>
        <w:tc>
          <w:tcPr>
            <w:tcW w:w="170" w:type="dxa"/>
            <w:tcBorders/>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Member’s deficit, end of the year</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(7,032,264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 w:name="G_004"/>
      <w:bookmarkEnd w:id="47"/>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1"/>
        <w:gridCol w:w="90"/>
        <w:gridCol w:w="261"/>
        <w:gridCol w:w="1672"/>
        <w:gridCol w:w="171"/>
      </w:tblGrid>
      <w:tr>
        <w:trPr/>
        <w:tc>
          <w:tcPr>
            <w:tcW w:w="801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933" w:type="dxa"/>
            <w:gridSpan w:val="2"/>
            <w:tcBorders/>
            <w:vAlign w:val="center"/>
          </w:tcPr>
          <w:p>
            <w:pPr>
              <w:pStyle w:val="TableContents"/>
              <w:bidi w:val="0"/>
              <w:spacing w:before="0" w:after="283"/>
              <w:jc w:val="center"/>
              <w:rPr>
                <w:i/>
              </w:rPr>
            </w:pPr>
            <w:r>
              <w:rPr>
                <w:i/>
              </w:rPr>
              <w:t>For the Year Ended</w:t>
              <w:br/>
              <w:t>December 31,</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933"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72" w:type="dxa"/>
            <w:tcBorders/>
            <w:shd w:fill="CCEEFF" w:val="clear"/>
            <w:vAlign w:val="center"/>
          </w:tcPr>
          <w:p>
            <w:pPr>
              <w:pStyle w:val="TableContents"/>
              <w:bidi w:val="0"/>
              <w:spacing w:before="0" w:after="283"/>
              <w:jc w:val="right"/>
              <w:rPr/>
            </w:pPr>
            <w:r>
              <w:rPr/>
              <w:t>(6,253,051</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Amortization of operating right-of-use assets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759,705</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401,665</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(854,494</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(685,328</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(70,215</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Sales commissions receivable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143,272</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74,447</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Deferred costs and commissions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(701,857</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(323,190</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(14,304</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696,549</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2,009,806</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Accrued commissions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180,114</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Related-party accounts payable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89,561</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(1,076,155</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shd w:fill="CCEEFF" w:val="clear"/>
            <w:tcMar>
              <w:bottom w:w="28" w:type="dxa"/>
            </w:tcMar>
            <w:vAlign w:val="center"/>
          </w:tcPr>
          <w:p>
            <w:pPr>
              <w:pStyle w:val="TableContents"/>
              <w:bidi w:val="0"/>
              <w:spacing w:before="0" w:after="283"/>
              <w:jc w:val="right"/>
              <w:rPr/>
            </w:pPr>
            <w:r>
              <w:rPr/>
              <w:t>(698,091</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(6,321,566</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Purchase of property and equipment</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(335,303</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Proceeds from related-party notes payable and revolving lines of credit</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8,925,000</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Payments on related-party notes payable and revolving lines of credit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(3,305,747</w:t>
            </w:r>
          </w:p>
        </w:tc>
        <w:tc>
          <w:tcPr>
            <w:tcW w:w="171" w:type="dxa"/>
            <w:tcBorders/>
            <w:shd w:fill="CCEEFF" w:val="clear"/>
            <w:vAlign w:val="center"/>
          </w:tcPr>
          <w:p>
            <w:pPr>
              <w:pStyle w:val="TableContents"/>
              <w:bidi w:val="0"/>
              <w:spacing w:before="0" w:after="283"/>
              <w:ind w:left="0" w:right="0" w:hanging="180"/>
              <w:jc w:val="left"/>
              <w:rPr/>
            </w:pPr>
            <w:r>
              <w:rPr/>
              <w:t>)</w:t>
            </w:r>
          </w:p>
        </w:tc>
      </w:tr>
      <w:tr>
        <w:trPr/>
        <w:tc>
          <w:tcPr>
            <w:tcW w:w="8011" w:type="dxa"/>
            <w:tcBorders/>
            <w:vAlign w:val="center"/>
          </w:tcPr>
          <w:p>
            <w:pPr>
              <w:pStyle w:val="TableContents"/>
              <w:bidi w:val="0"/>
              <w:spacing w:before="0" w:after="283"/>
              <w:jc w:val="left"/>
              <w:rPr/>
            </w:pPr>
            <w:r>
              <w:rPr/>
              <w:t>Payments on finance lease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(530,918</w:t>
            </w:r>
          </w:p>
        </w:tc>
        <w:tc>
          <w:tcPr>
            <w:tcW w:w="171" w:type="dxa"/>
            <w:tcBorders/>
            <w:vAlign w:val="center"/>
          </w:tcPr>
          <w:p>
            <w:pPr>
              <w:pStyle w:val="TableContents"/>
              <w:bidi w:val="0"/>
              <w:spacing w:before="0" w:after="283"/>
              <w:ind w:left="0" w:right="0" w:hanging="180"/>
              <w:jc w:val="left"/>
              <w:rPr/>
            </w:pPr>
            <w:r>
              <w:rPr/>
              <w:t>)</w:t>
            </w:r>
          </w:p>
        </w:tc>
      </w:tr>
      <w:tr>
        <w:trPr/>
        <w:tc>
          <w:tcPr>
            <w:tcW w:w="8011" w:type="dxa"/>
            <w:tcBorders/>
            <w:shd w:fill="CCEEFF" w:val="clear"/>
            <w:vAlign w:val="center"/>
          </w:tcPr>
          <w:p>
            <w:pPr>
              <w:pStyle w:val="TableContents"/>
              <w:bidi w:val="0"/>
              <w:spacing w:before="0" w:after="283"/>
              <w:jc w:val="left"/>
              <w:rPr/>
            </w:pPr>
            <w:r>
              <w:rPr/>
              <w:t>Proceeds from members’ contribution</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shd w:fill="CCEEFF" w:val="clear"/>
            <w:tcMar>
              <w:bottom w:w="28" w:type="dxa"/>
            </w:tcMar>
            <w:vAlign w:val="center"/>
          </w:tcPr>
          <w:p>
            <w:pPr>
              <w:pStyle w:val="TableContents"/>
              <w:bidi w:val="0"/>
              <w:spacing w:before="0" w:after="283"/>
              <w:jc w:val="right"/>
              <w:rPr/>
            </w:pPr>
            <w:r>
              <w:rPr/>
              <w:t>1,883,164</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6,971,499</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Net change in cash</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314,630</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Cash at beginning of year</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672" w:type="dxa"/>
            <w:tcBorders>
              <w:bottom w:val="single" w:sz="12" w:space="0" w:color="000000"/>
            </w:tcBorders>
            <w:tcMar>
              <w:bottom w:w="28" w:type="dxa"/>
            </w:tcMar>
            <w:vAlign w:val="center"/>
          </w:tcPr>
          <w:p>
            <w:pPr>
              <w:pStyle w:val="TableContents"/>
              <w:bidi w:val="0"/>
              <w:spacing w:before="0" w:after="283"/>
              <w:jc w:val="right"/>
              <w:rPr/>
            </w:pPr>
            <w:r>
              <w:rPr/>
              <w:t>728,639</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Cash at end of year</w:t>
            </w:r>
          </w:p>
        </w:tc>
        <w:tc>
          <w:tcPr>
            <w:tcW w:w="90"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72" w:type="dxa"/>
            <w:tcBorders>
              <w:bottom w:val="double" w:sz="10" w:space="0" w:color="000000"/>
            </w:tcBorders>
            <w:shd w:fill="CCEEFF" w:val="clear"/>
            <w:tcMar>
              <w:bottom w:w="28" w:type="dxa"/>
            </w:tcMar>
            <w:vAlign w:val="center"/>
          </w:tcPr>
          <w:p>
            <w:pPr>
              <w:pStyle w:val="TableContents"/>
              <w:bidi w:val="0"/>
              <w:spacing w:before="0" w:after="283"/>
              <w:jc w:val="right"/>
              <w:rPr/>
            </w:pPr>
            <w:r>
              <w:rPr/>
              <w:t>1,043,269</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b/>
              </w:rPr>
            </w:pPr>
            <w:r>
              <w:rPr>
                <w:b/>
              </w:rPr>
              <w:t>Supplemental disclosure of cash flow information:</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72" w:type="dxa"/>
            <w:tcBorders/>
            <w:shd w:fill="CCEEFF" w:val="clear"/>
            <w:vAlign w:val="center"/>
          </w:tcPr>
          <w:p>
            <w:pPr>
              <w:pStyle w:val="TableContents"/>
              <w:bidi w:val="0"/>
              <w:spacing w:before="0" w:after="283"/>
              <w:jc w:val="right"/>
              <w:rPr/>
            </w:pPr>
            <w:r>
              <w:rPr/>
              <w:t>235,503</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b/>
              </w:rPr>
            </w:pPr>
            <w:r>
              <w:rPr>
                <w:b/>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72" w:type="dxa"/>
            <w:tcBorders/>
            <w:shd w:fill="CCEEFF" w:val="clear"/>
            <w:vAlign w:val="center"/>
          </w:tcPr>
          <w:p>
            <w:pPr>
              <w:pStyle w:val="TableContents"/>
              <w:bidi w:val="0"/>
              <w:spacing w:before="0" w:after="283"/>
              <w:jc w:val="right"/>
              <w:rPr/>
            </w:pPr>
            <w:r>
              <w:rPr/>
              <w:t>61,313</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8011" w:type="dxa"/>
            <w:tcBorders/>
            <w:vAlign w:val="center"/>
          </w:tcPr>
          <w:p>
            <w:pPr>
              <w:pStyle w:val="TableContents"/>
              <w:bidi w:val="0"/>
              <w:spacing w:before="0" w:after="283"/>
              <w:jc w:val="left"/>
              <w:rPr/>
            </w:pPr>
            <w:r>
              <w:rPr/>
              <w:t>Finance lease right-of-use assets obtained in exchange for finance lease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1,477,040</w:t>
            </w:r>
          </w:p>
        </w:tc>
        <w:tc>
          <w:tcPr>
            <w:tcW w:w="171" w:type="dxa"/>
            <w:tcBorders/>
            <w:vAlign w:val="center"/>
          </w:tcPr>
          <w:p>
            <w:pPr>
              <w:pStyle w:val="TableContents"/>
              <w:bidi w:val="0"/>
              <w:spacing w:before="0" w:after="283"/>
              <w:ind w:left="0" w:right="0" w:hanging="180"/>
              <w:jc w:val="left"/>
              <w:rPr/>
            </w:pPr>
            <w:r>
              <w:rPr/>
              <w:t> </w:t>
            </w:r>
          </w:p>
        </w:tc>
      </w:tr>
      <w:tr>
        <w:trPr/>
        <w:tc>
          <w:tcPr>
            <w:tcW w:w="8011" w:type="dxa"/>
            <w:tcBorders/>
            <w:shd w:fill="CCEEFF" w:val="clear"/>
            <w:vAlign w:val="center"/>
          </w:tcPr>
          <w:p>
            <w:pPr>
              <w:pStyle w:val="TableContents"/>
              <w:bidi w:val="0"/>
              <w:spacing w:before="0" w:after="283"/>
              <w:jc w:val="left"/>
              <w:rPr/>
            </w:pPr>
            <w:r>
              <w:rPr/>
              <w:t>Conversion of related-party notes payable to members’ equity</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2,450,000</w:t>
            </w:r>
          </w:p>
        </w:tc>
        <w:tc>
          <w:tcPr>
            <w:tcW w:w="17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8" w:name="G_005"/>
      <w:bookmarkEnd w:id="48"/>
      <w:r>
        <w:rPr>
          <w:rFonts w:ascii="Times New Roman;Times;Serif" w:hAnsi="Times New Roman;Times;Serif"/>
          <w:b/>
          <w:i/>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68"/>
        <w:gridCol w:w="230"/>
        <w:gridCol w:w="225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1.</w:t>
            </w:r>
          </w:p>
        </w:tc>
        <w:tc>
          <w:tcPr>
            <w:tcW w:w="2255"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68"/>
        <w:gridCol w:w="230"/>
        <w:gridCol w:w="453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2.</w:t>
            </w:r>
          </w:p>
        </w:tc>
        <w:tc>
          <w:tcPr>
            <w:tcW w:w="453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1890" w:type="dxa"/>
        <w:jc w:val="left"/>
        <w:tblInd w:w="0" w:type="dxa"/>
        <w:tblLayout w:type="fixed"/>
        <w:tblCellMar>
          <w:top w:w="0" w:type="dxa"/>
          <w:left w:w="0" w:type="dxa"/>
          <w:bottom w:w="0" w:type="dxa"/>
          <w:right w:w="0" w:type="dxa"/>
        </w:tblCellMar>
      </w:tblPr>
      <w:tblGrid>
        <w:gridCol w:w="980"/>
        <w:gridCol w:w="90"/>
        <w:gridCol w:w="125"/>
        <w:gridCol w:w="405"/>
        <w:gridCol w:w="290"/>
      </w:tblGrid>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Lender A</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64</w:t>
            </w:r>
          </w:p>
        </w:tc>
        <w:tc>
          <w:tcPr>
            <w:tcW w:w="290" w:type="dxa"/>
            <w:tcBorders/>
            <w:shd w:fill="CCEEFF" w:val="clear"/>
            <w:vAlign w:val="center"/>
          </w:tcPr>
          <w:p>
            <w:pPr>
              <w:pStyle w:val="TableContents"/>
              <w:bidi w:val="0"/>
              <w:spacing w:before="0" w:after="283"/>
              <w:jc w:val="left"/>
              <w:rPr/>
            </w:pPr>
            <w:r>
              <w:rPr/>
              <w:t>%</w:t>
            </w:r>
          </w:p>
        </w:tc>
      </w:tr>
      <w:tr>
        <w:trPr/>
        <w:tc>
          <w:tcPr>
            <w:tcW w:w="980" w:type="dxa"/>
            <w:tcBorders/>
            <w:vAlign w:val="center"/>
          </w:tcPr>
          <w:p>
            <w:pPr>
              <w:pStyle w:val="TableContents"/>
              <w:bidi w:val="0"/>
              <w:spacing w:before="0" w:after="283"/>
              <w:jc w:val="left"/>
              <w:rPr/>
            </w:pPr>
            <w:r>
              <w:rPr/>
              <w:t>Lender B</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right"/>
              <w:rPr/>
            </w:pPr>
            <w:r>
              <w:rPr/>
              <w:t>26</w:t>
            </w:r>
          </w:p>
        </w:tc>
        <w:tc>
          <w:tcPr>
            <w:tcW w:w="290" w:type="dxa"/>
            <w:tcBorders/>
            <w:vAlign w:val="center"/>
          </w:tcPr>
          <w:p>
            <w:pPr>
              <w:pStyle w:val="TableContents"/>
              <w:bidi w:val="0"/>
              <w:spacing w:before="0" w:after="283"/>
              <w:jc w:val="left"/>
              <w:rPr/>
            </w:pPr>
            <w:r>
              <w:rPr/>
              <w:t>%</w:t>
            </w:r>
          </w:p>
        </w:tc>
      </w:tr>
      <w:tr>
        <w:trPr/>
        <w:tc>
          <w:tcPr>
            <w:tcW w:w="980" w:type="dxa"/>
            <w:tcBorders/>
            <w:shd w:fill="CCEEFF" w:val="clear"/>
            <w:vAlign w:val="center"/>
          </w:tcPr>
          <w:p>
            <w:pPr>
              <w:pStyle w:val="TableContents"/>
              <w:bidi w:val="0"/>
              <w:spacing w:before="0" w:after="283"/>
              <w:jc w:val="left"/>
              <w:rPr/>
            </w:pPr>
            <w:r>
              <w:rPr/>
              <w:t>Lender C</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185"/>
        <w:gridCol w:w="4835"/>
      </w:tblGrid>
      <w:tr>
        <w:trPr/>
        <w:tc>
          <w:tcPr>
            <w:tcW w:w="185" w:type="dxa"/>
            <w:tcBorders/>
            <w:vAlign w:val="center"/>
          </w:tcPr>
          <w:p>
            <w:pPr>
              <w:pStyle w:val="TableContents"/>
              <w:bidi w:val="0"/>
              <w:spacing w:before="0" w:after="283"/>
              <w:jc w:val="left"/>
              <w:rPr>
                <w:i/>
              </w:rPr>
            </w:pPr>
            <w:r>
              <w:rPr>
                <w:i/>
              </w:rPr>
              <w:t>*</w:t>
            </w:r>
          </w:p>
        </w:tc>
        <w:tc>
          <w:tcPr>
            <w:tcW w:w="4835" w:type="dxa"/>
            <w:tcBorders/>
            <w:vAlign w:val="center"/>
          </w:tcPr>
          <w:p>
            <w:pPr>
              <w:pStyle w:val="TableContents"/>
              <w:bidi w:val="0"/>
              <w:spacing w:before="0" w:after="283"/>
              <w:jc w:val="both"/>
              <w:rPr>
                <w:i/>
              </w:rPr>
            </w:pPr>
            <w:r>
              <w:rPr>
                <w:i/>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December 31:</w:t>
      </w:r>
    </w:p>
    <w:p>
      <w:pPr>
        <w:pStyle w:val="TextBody"/>
        <w:bidi w:val="0"/>
        <w:spacing w:before="0" w:after="0"/>
        <w:ind w:left="0" w:right="0" w:hanging="0"/>
        <w:jc w:val="both"/>
        <w:rPr>
          <w:caps w:val="false"/>
          <w:smallCaps w:val="false"/>
        </w:rPr>
      </w:pPr>
      <w:r>
        <w:rPr>
          <w:caps w:val="false"/>
          <w:smallCaps w:val="false"/>
        </w:rPr>
        <w:t> </w:t>
      </w:r>
    </w:p>
    <w:tbl>
      <w:tblPr>
        <w:tblW w:w="1890" w:type="dxa"/>
        <w:jc w:val="left"/>
        <w:tblInd w:w="0" w:type="dxa"/>
        <w:tblLayout w:type="fixed"/>
        <w:tblCellMar>
          <w:top w:w="0" w:type="dxa"/>
          <w:left w:w="0" w:type="dxa"/>
          <w:bottom w:w="0" w:type="dxa"/>
          <w:right w:w="0" w:type="dxa"/>
        </w:tblCellMar>
      </w:tblPr>
      <w:tblGrid>
        <w:gridCol w:w="980"/>
        <w:gridCol w:w="90"/>
        <w:gridCol w:w="125"/>
        <w:gridCol w:w="405"/>
        <w:gridCol w:w="290"/>
      </w:tblGrid>
      <w:tr>
        <w:trPr/>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Lender A</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46</w:t>
            </w:r>
          </w:p>
        </w:tc>
        <w:tc>
          <w:tcPr>
            <w:tcW w:w="290" w:type="dxa"/>
            <w:tcBorders/>
            <w:shd w:fill="CCEEFF" w:val="clear"/>
            <w:vAlign w:val="center"/>
          </w:tcPr>
          <w:p>
            <w:pPr>
              <w:pStyle w:val="TableContents"/>
              <w:bidi w:val="0"/>
              <w:spacing w:before="0" w:after="283"/>
              <w:jc w:val="left"/>
              <w:rPr/>
            </w:pPr>
            <w:r>
              <w:rPr/>
              <w:t>%</w:t>
            </w:r>
          </w:p>
        </w:tc>
      </w:tr>
      <w:tr>
        <w:trPr/>
        <w:tc>
          <w:tcPr>
            <w:tcW w:w="980" w:type="dxa"/>
            <w:tcBorders/>
            <w:vAlign w:val="center"/>
          </w:tcPr>
          <w:p>
            <w:pPr>
              <w:pStyle w:val="TableContents"/>
              <w:bidi w:val="0"/>
              <w:spacing w:before="0" w:after="283"/>
              <w:jc w:val="left"/>
              <w:rPr/>
            </w:pPr>
            <w:r>
              <w:rPr/>
              <w:t>Lender B</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right"/>
              <w:rPr/>
            </w:pPr>
            <w:r>
              <w:rPr/>
              <w:t>31</w:t>
            </w:r>
          </w:p>
        </w:tc>
        <w:tc>
          <w:tcPr>
            <w:tcW w:w="290" w:type="dxa"/>
            <w:tcBorders/>
            <w:vAlign w:val="center"/>
          </w:tcPr>
          <w:p>
            <w:pPr>
              <w:pStyle w:val="TableContents"/>
              <w:bidi w:val="0"/>
              <w:spacing w:before="0" w:after="283"/>
              <w:jc w:val="left"/>
              <w:rPr/>
            </w:pPr>
            <w:r>
              <w:rPr/>
              <w:t>%</w:t>
            </w:r>
          </w:p>
        </w:tc>
      </w:tr>
      <w:tr>
        <w:trPr/>
        <w:tc>
          <w:tcPr>
            <w:tcW w:w="980" w:type="dxa"/>
            <w:tcBorders/>
            <w:shd w:fill="CCEEFF" w:val="clear"/>
            <w:vAlign w:val="center"/>
          </w:tcPr>
          <w:p>
            <w:pPr>
              <w:pStyle w:val="TableContents"/>
              <w:bidi w:val="0"/>
              <w:spacing w:before="0" w:after="283"/>
              <w:jc w:val="left"/>
              <w:rPr/>
            </w:pPr>
            <w:r>
              <w:rPr/>
              <w:t>Lender D</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185"/>
        <w:gridCol w:w="6830"/>
      </w:tblGrid>
      <w:tr>
        <w:trPr/>
        <w:tc>
          <w:tcPr>
            <w:tcW w:w="185"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pPr>
            <w:r>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purchases. The following was a major vendor for the year ended December 31:</w:t>
      </w:r>
    </w:p>
    <w:p>
      <w:pPr>
        <w:pStyle w:val="TextBody"/>
        <w:bidi w:val="0"/>
        <w:spacing w:before="0" w:after="0"/>
        <w:ind w:left="0" w:right="0" w:hanging="0"/>
        <w:jc w:val="right"/>
        <w:rPr>
          <w:caps w:val="false"/>
          <w:smallCaps w:val="false"/>
        </w:rPr>
      </w:pPr>
      <w:r>
        <w:rPr>
          <w:caps w:val="false"/>
          <w:smallCaps w:val="false"/>
        </w:rPr>
        <w:t> </w:t>
      </w:r>
    </w:p>
    <w:tbl>
      <w:tblPr>
        <w:tblW w:w="1935" w:type="dxa"/>
        <w:jc w:val="left"/>
        <w:tblInd w:w="0" w:type="dxa"/>
        <w:tblLayout w:type="fixed"/>
        <w:tblCellMar>
          <w:top w:w="0" w:type="dxa"/>
          <w:left w:w="0" w:type="dxa"/>
          <w:bottom w:w="0" w:type="dxa"/>
          <w:right w:w="0" w:type="dxa"/>
        </w:tblCellMar>
      </w:tblPr>
      <w:tblGrid>
        <w:gridCol w:w="1025"/>
        <w:gridCol w:w="90"/>
        <w:gridCol w:w="125"/>
        <w:gridCol w:w="405"/>
        <w:gridCol w:w="290"/>
      </w:tblGrid>
      <w:tr>
        <w:trPr/>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Vendor A</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143750" cy="57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571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435"/>
        <w:gridCol w:w="90"/>
        <w:gridCol w:w="965"/>
      </w:tblGrid>
      <w:tr>
        <w:trPr/>
        <w:tc>
          <w:tcPr>
            <w:tcW w:w="2435" w:type="dxa"/>
            <w:tcBorders/>
            <w:shd w:fill="CCEEFF" w:val="clear"/>
            <w:vAlign w:val="center"/>
          </w:tcPr>
          <w:p>
            <w:pPr>
              <w:pStyle w:val="TableContents"/>
              <w:bidi w:val="0"/>
              <w:spacing w:before="0" w:after="283"/>
              <w:jc w:val="left"/>
              <w:rPr/>
            </w:pPr>
            <w:r>
              <w:rPr/>
              <w:t>Tools and gear</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3 years</w:t>
            </w:r>
          </w:p>
        </w:tc>
      </w:tr>
      <w:tr>
        <w:trPr/>
        <w:tc>
          <w:tcPr>
            <w:tcW w:w="2435" w:type="dxa"/>
            <w:tcBorders/>
            <w:vAlign w:val="center"/>
          </w:tcPr>
          <w:p>
            <w:pPr>
              <w:pStyle w:val="TableContents"/>
              <w:bidi w:val="0"/>
              <w:spacing w:before="0" w:after="283"/>
              <w:jc w:val="left"/>
              <w:rPr/>
            </w:pPr>
            <w:r>
              <w:rPr/>
              <w:t>Computer equipment</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3 years</w:t>
            </w:r>
          </w:p>
        </w:tc>
      </w:tr>
      <w:tr>
        <w:trPr/>
        <w:tc>
          <w:tcPr>
            <w:tcW w:w="2435" w:type="dxa"/>
            <w:tcBorders/>
            <w:shd w:fill="CCEEFF" w:val="clear"/>
            <w:vAlign w:val="center"/>
          </w:tcPr>
          <w:p>
            <w:pPr>
              <w:pStyle w:val="TableContents"/>
              <w:bidi w:val="0"/>
              <w:spacing w:before="0" w:after="283"/>
              <w:jc w:val="left"/>
              <w:rPr/>
            </w:pPr>
            <w:r>
              <w:rPr/>
              <w:t>Furniture</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5 years</w:t>
            </w:r>
          </w:p>
        </w:tc>
      </w:tr>
      <w:tr>
        <w:trPr/>
        <w:tc>
          <w:tcPr>
            <w:tcW w:w="2435" w:type="dxa"/>
            <w:tcBorders/>
            <w:vAlign w:val="center"/>
          </w:tcPr>
          <w:p>
            <w:pPr>
              <w:pStyle w:val="TableContents"/>
              <w:bidi w:val="0"/>
              <w:spacing w:before="0" w:after="283"/>
              <w:jc w:val="left"/>
              <w:rPr/>
            </w:pPr>
            <w:r>
              <w:rPr/>
              <w:t>Vehicles</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3 years</w:t>
            </w:r>
          </w:p>
        </w:tc>
      </w:tr>
      <w:tr>
        <w:trPr/>
        <w:tc>
          <w:tcPr>
            <w:tcW w:w="2435" w:type="dxa"/>
            <w:tcBorders/>
            <w:shd w:fill="CCEEFF" w:val="clear"/>
            <w:vAlign w:val="center"/>
          </w:tcPr>
          <w:p>
            <w:pPr>
              <w:pStyle w:val="TableContents"/>
              <w:bidi w:val="0"/>
              <w:spacing w:before="0" w:after="283"/>
              <w:jc w:val="left"/>
              <w:rPr/>
            </w:pPr>
            <w:r>
              <w:rPr/>
              <w:t>Leasehold improvements</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1-3 years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49"/>
        <w:gridCol w:w="9738"/>
      </w:tblGrid>
      <w:tr>
        <w:trPr/>
        <w:tc>
          <w:tcPr>
            <w:tcW w:w="11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contract, or contracts, with a customer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4"/>
        <w:gridCol w:w="9745"/>
      </w:tblGrid>
      <w:tr>
        <w:trPr/>
        <w:tc>
          <w:tcPr>
            <w:tcW w:w="1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520"/>
        <w:gridCol w:w="9508"/>
      </w:tblGrid>
      <w:tr>
        <w:trPr/>
        <w:tc>
          <w:tcPr>
            <w:tcW w:w="17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pPr>
            <w:r>
              <w:rPr/>
              <w:t>●</w:t>
            </w:r>
          </w:p>
        </w:tc>
        <w:tc>
          <w:tcPr>
            <w:tcW w:w="95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the transaction price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9"/>
        <w:gridCol w:w="9859"/>
      </w:tblGrid>
      <w:tr>
        <w:trPr/>
        <w:tc>
          <w:tcPr>
            <w:tcW w:w="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8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Allocation of the transaction price to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269"/>
        <w:gridCol w:w="9845"/>
      </w:tblGrid>
      <w:tr>
        <w:trPr/>
        <w:tc>
          <w:tcPr>
            <w:tcW w:w="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Sales Dealer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2720"/>
        <w:gridCol w:w="90"/>
        <w:gridCol w:w="170"/>
        <w:gridCol w:w="1130"/>
        <w:gridCol w:w="13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Installation services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54,164,441</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Sales dealer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109,280</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54,273,721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2000"/>
        <w:gridCol w:w="90"/>
        <w:gridCol w:w="258"/>
        <w:gridCol w:w="1726"/>
        <w:gridCol w:w="90"/>
        <w:gridCol w:w="90"/>
        <w:gridCol w:w="220"/>
        <w:gridCol w:w="1464"/>
        <w:gridCol w:w="135"/>
      </w:tblGrid>
      <w:tr>
        <w:trPr/>
        <w:tc>
          <w:tcPr>
            <w:tcW w:w="20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 2024</w:t>
            </w:r>
          </w:p>
        </w:tc>
        <w:tc>
          <w:tcPr>
            <w:tcW w:w="135" w:type="dxa"/>
            <w:tcBorders/>
            <w:vAlign w:val="center"/>
          </w:tcPr>
          <w:p>
            <w:pPr>
              <w:pStyle w:val="TableContents"/>
              <w:bidi w:val="0"/>
              <w:spacing w:before="0" w:after="283"/>
              <w:jc w:val="center"/>
              <w:rPr/>
            </w:pPr>
            <w:r>
              <w:rPr/>
              <w:t> </w:t>
            </w:r>
          </w:p>
        </w:tc>
      </w:tr>
      <w:tr>
        <w:trPr/>
        <w:tc>
          <w:tcPr>
            <w:tcW w:w="200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726" w:type="dxa"/>
            <w:tcBorders/>
            <w:shd w:fill="CCEEFF" w:val="clear"/>
            <w:vAlign w:val="center"/>
          </w:tcPr>
          <w:p>
            <w:pPr>
              <w:pStyle w:val="TableContents"/>
              <w:bidi w:val="0"/>
              <w:spacing w:before="0" w:after="283"/>
              <w:jc w:val="right"/>
              <w:rPr/>
            </w:pPr>
            <w:r>
              <w:rPr/>
              <w:t>1,010,295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464" w:type="dxa"/>
            <w:tcBorders/>
            <w:shd w:fill="CCEEFF" w:val="clear"/>
            <w:vAlign w:val="center"/>
          </w:tcPr>
          <w:p>
            <w:pPr>
              <w:pStyle w:val="TableContents"/>
              <w:bidi w:val="0"/>
              <w:spacing w:before="0" w:after="283"/>
              <w:jc w:val="right"/>
              <w:rPr/>
            </w:pPr>
            <w:r>
              <w:rPr/>
              <w:t>155,801</w:t>
            </w:r>
          </w:p>
        </w:tc>
        <w:tc>
          <w:tcPr>
            <w:tcW w:w="13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Unbilled receivables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4,601,890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3,916,562</w:t>
            </w:r>
          </w:p>
        </w:tc>
        <w:tc>
          <w:tcPr>
            <w:tcW w:w="13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10,585,293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11,661,448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year ended December 31, 2024 totaled approximately $291,000.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December 22, 2025,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68"/>
        <w:gridCol w:w="230"/>
        <w:gridCol w:w="104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3.</w:t>
            </w:r>
          </w:p>
        </w:tc>
        <w:tc>
          <w:tcPr>
            <w:tcW w:w="1040" w:type="dxa"/>
            <w:tcBorders/>
            <w:vAlign w:val="center"/>
          </w:tcPr>
          <w:p>
            <w:pPr>
              <w:pStyle w:val="TableContents"/>
              <w:bidi w:val="0"/>
              <w:spacing w:before="0" w:after="283"/>
              <w:jc w:val="both"/>
              <w:rPr>
                <w:b/>
              </w:rPr>
            </w:pPr>
            <w:r>
              <w:rPr>
                <w:b/>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230"/>
        <w:gridCol w:w="266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4.</w:t>
            </w:r>
          </w:p>
        </w:tc>
        <w:tc>
          <w:tcPr>
            <w:tcW w:w="266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0" w:right="0" w:hanging="0"/>
        <w:jc w:val="both"/>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4595"/>
        <w:gridCol w:w="90"/>
        <w:gridCol w:w="170"/>
        <w:gridCol w:w="905"/>
        <w:gridCol w:w="170"/>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Tools and gear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296,085</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76,701</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Vehicles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52,552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Computer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54,392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Furniture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30,946</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510,676</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Less accumulated 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(125,484</w:t>
            </w:r>
          </w:p>
        </w:tc>
        <w:tc>
          <w:tcPr>
            <w:tcW w:w="170" w:type="dxa"/>
            <w:tcBorders/>
            <w:shd w:fill="CCEEFF" w:val="clear"/>
            <w:vAlign w:val="center"/>
          </w:tcPr>
          <w:p>
            <w:pPr>
              <w:pStyle w:val="TableContents"/>
              <w:bidi w:val="0"/>
              <w:spacing w:before="0" w:after="283"/>
              <w:jc w:val="left"/>
              <w:rPr/>
            </w:pPr>
            <w:r>
              <w:rPr/>
              <w:t>)</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385,192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68"/>
        <w:gridCol w:w="230"/>
        <w:gridCol w:w="302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5.</w:t>
            </w:r>
          </w:p>
        </w:tc>
        <w:tc>
          <w:tcPr>
            <w:tcW w:w="3020" w:type="dxa"/>
            <w:tcBorders/>
            <w:vAlign w:val="center"/>
          </w:tcPr>
          <w:p>
            <w:pPr>
              <w:pStyle w:val="TableContents"/>
              <w:bidi w:val="0"/>
              <w:spacing w:before="0" w:after="283"/>
              <w:jc w:val="both"/>
              <w:rPr>
                <w:b/>
              </w:rPr>
            </w:pPr>
            <w:r>
              <w:rPr>
                <w:b/>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3,100,000</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4,040,109</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7,140,109</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68"/>
        <w:gridCol w:w="230"/>
        <w:gridCol w:w="311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6.</w:t>
            </w:r>
          </w:p>
        </w:tc>
        <w:tc>
          <w:tcPr>
            <w:tcW w:w="3110" w:type="dxa"/>
            <w:tcBorders/>
            <w:vAlign w:val="center"/>
          </w:tcPr>
          <w:p>
            <w:pPr>
              <w:pStyle w:val="TableContents"/>
              <w:bidi w:val="0"/>
              <w:spacing w:before="0" w:after="283"/>
              <w:jc w:val="both"/>
              <w:rPr>
                <w:b/>
              </w:rPr>
            </w:pPr>
            <w:r>
              <w:rPr>
                <w:b/>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2,175,000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0" w:type="dxa"/>
            <w:tcBorders>
              <w:bottom w:val="double" w:sz="10" w:space="0" w:color="000000"/>
            </w:tcBorders>
            <w:vAlign w:val="center"/>
          </w:tcPr>
          <w:p>
            <w:pPr>
              <w:pStyle w:val="TableContents"/>
              <w:bidi w:val="0"/>
              <w:spacing w:before="0" w:after="283"/>
              <w:jc w:val="right"/>
              <w:rPr/>
            </w:pPr>
            <w:r>
              <w:rPr/>
              <w:t>2,175,000</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68"/>
        <w:gridCol w:w="230"/>
        <w:gridCol w:w="185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7.</w:t>
            </w:r>
          </w:p>
        </w:tc>
        <w:tc>
          <w:tcPr>
            <w:tcW w:w="1850" w:type="dxa"/>
            <w:tcBorders/>
            <w:vAlign w:val="center"/>
          </w:tcPr>
          <w:p>
            <w:pPr>
              <w:pStyle w:val="TableContents"/>
              <w:bidi w:val="0"/>
              <w:spacing w:before="0" w:after="283"/>
              <w:jc w:val="both"/>
              <w:rPr>
                <w:b/>
              </w:rPr>
            </w:pPr>
            <w:r>
              <w:rPr>
                <w:b/>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a 100% of the membership interests outstanding are held by Ambia Holdings, Inc.</w:t>
      </w:r>
    </w:p>
    <w:p>
      <w:pPr>
        <w:pStyle w:val="TextBody"/>
        <w:bidi w:val="0"/>
        <w:spacing w:before="0" w:after="0"/>
        <w:ind w:left="0" w:right="0" w:hanging="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68"/>
        <w:gridCol w:w="230"/>
        <w:gridCol w:w="345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8.</w:t>
            </w:r>
          </w:p>
        </w:tc>
        <w:tc>
          <w:tcPr>
            <w:tcW w:w="345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68"/>
        <w:gridCol w:w="230"/>
        <w:gridCol w:w="77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9.</w:t>
            </w:r>
          </w:p>
        </w:tc>
        <w:tc>
          <w:tcPr>
            <w:tcW w:w="77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$313,445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6215" w:type="dxa"/>
        <w:jc w:val="left"/>
        <w:tblInd w:w="0" w:type="dxa"/>
        <w:tblLayout w:type="fixed"/>
        <w:tblCellMar>
          <w:top w:w="0" w:type="dxa"/>
          <w:left w:w="0" w:type="dxa"/>
          <w:bottom w:w="28" w:type="dxa"/>
          <w:right w:w="0" w:type="dxa"/>
        </w:tblCellMar>
      </w:tblPr>
      <w:tblGrid>
        <w:gridCol w:w="1820"/>
        <w:gridCol w:w="90"/>
        <w:gridCol w:w="2900"/>
        <w:gridCol w:w="90"/>
        <w:gridCol w:w="170"/>
        <w:gridCol w:w="1010"/>
        <w:gridCol w:w="135"/>
      </w:tblGrid>
      <w:tr>
        <w:trPr/>
        <w:tc>
          <w:tcPr>
            <w:tcW w:w="1820" w:type="dxa"/>
            <w:tcBorders>
              <w:bottom w:val="single" w:sz="12" w:space="0" w:color="000000"/>
            </w:tcBorders>
            <w:vAlign w:val="center"/>
          </w:tcPr>
          <w:p>
            <w:pPr>
              <w:pStyle w:val="TableContents"/>
              <w:bidi w:val="0"/>
              <w:spacing w:before="0" w:after="283"/>
              <w:jc w:val="left"/>
              <w:rPr>
                <w:b/>
              </w:rPr>
            </w:pPr>
            <w:r>
              <w:rPr>
                <w:b/>
              </w:rPr>
              <w:t>Lease Cost</w:t>
            </w:r>
          </w:p>
        </w:tc>
        <w:tc>
          <w:tcPr>
            <w:tcW w:w="9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283"/>
              <w:jc w:val="center"/>
              <w:rPr>
                <w:b/>
              </w:rPr>
            </w:pPr>
            <w:r>
              <w:rPr>
                <w:b/>
              </w:rPr>
              <w:t>Classification</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Operating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759,705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Finance:</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Asset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299,985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Interest on liability</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Net interest expense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44,223</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Net lease 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1,103,913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December 31, 2024:</w:t>
      </w:r>
    </w:p>
    <w:p>
      <w:pPr>
        <w:pStyle w:val="TextBody"/>
        <w:bidi w:val="0"/>
        <w:jc w:val="left"/>
        <w:rPr>
          <w:caps w:val="false"/>
          <w:smallCaps w:val="false"/>
        </w:rPr>
      </w:pPr>
      <w:r>
        <w:rPr>
          <w:caps w:val="false"/>
          <w:smallCaps w:val="false"/>
        </w:rPr>
        <w:t> </w:t>
      </w:r>
    </w:p>
    <w:tbl>
      <w:tblPr>
        <w:tblW w:w="5430" w:type="dxa"/>
        <w:jc w:val="left"/>
        <w:tblInd w:w="0" w:type="dxa"/>
        <w:tblLayout w:type="fixed"/>
        <w:tblCellMar>
          <w:top w:w="0" w:type="dxa"/>
          <w:left w:w="0" w:type="dxa"/>
          <w:bottom w:w="28" w:type="dxa"/>
          <w:right w:w="0" w:type="dxa"/>
        </w:tblCellMar>
      </w:tblPr>
      <w:tblGrid>
        <w:gridCol w:w="4490"/>
        <w:gridCol w:w="90"/>
        <w:gridCol w:w="90"/>
        <w:gridCol w:w="470"/>
        <w:gridCol w:w="290"/>
      </w:tblGrid>
      <w:tr>
        <w:trPr/>
        <w:tc>
          <w:tcPr>
            <w:tcW w:w="449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Weighted average remaining lease term (years)</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Operating leases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2.26</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Finance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4.36</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Weighted average discount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Operating leases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4.07</w:t>
            </w:r>
          </w:p>
        </w:tc>
        <w:tc>
          <w:tcPr>
            <w:tcW w:w="290"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283"/>
              <w:jc w:val="left"/>
              <w:rPr/>
            </w:pPr>
            <w:r>
              <w:rPr/>
              <w:t>Finance leaess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4.31</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December 31, 2024:</w:t>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3545"/>
        <w:gridCol w:w="90"/>
        <w:gridCol w:w="184"/>
        <w:gridCol w:w="901"/>
        <w:gridCol w:w="125"/>
        <w:gridCol w:w="90"/>
        <w:gridCol w:w="170"/>
        <w:gridCol w:w="1010"/>
        <w:gridCol w:w="170"/>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901" w:type="dxa"/>
            <w:tcBorders/>
            <w:shd w:fill="CCEEFF" w:val="clear"/>
            <w:tcMar>
              <w:bottom w:w="0" w:type="dxa"/>
            </w:tcMar>
            <w:vAlign w:val="center"/>
          </w:tcPr>
          <w:p>
            <w:pPr>
              <w:pStyle w:val="TableContents"/>
              <w:bidi w:val="0"/>
              <w:spacing w:before="0" w:after="283"/>
              <w:jc w:val="right"/>
              <w:rPr/>
            </w:pPr>
            <w:r>
              <w:rPr/>
              <w:t>424,140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375,721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901" w:type="dxa"/>
            <w:tcBorders/>
            <w:tcMar>
              <w:bottom w:w="0" w:type="dxa"/>
            </w:tcMar>
            <w:vAlign w:val="center"/>
          </w:tcPr>
          <w:p>
            <w:pPr>
              <w:pStyle w:val="TableContents"/>
              <w:bidi w:val="0"/>
              <w:spacing w:before="0" w:after="283"/>
              <w:jc w:val="right"/>
              <w:rPr/>
            </w:pPr>
            <w:r>
              <w:rPr/>
              <w:t>215,620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374,183</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93,048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374,183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901" w:type="dxa"/>
            <w:tcBorders/>
            <w:tcMar>
              <w:bottom w:w="0" w:type="dxa"/>
            </w:tcMar>
            <w:vAlign w:val="center"/>
          </w:tcPr>
          <w:p>
            <w:pPr>
              <w:pStyle w:val="TableContents"/>
              <w:bidi w:val="0"/>
              <w:spacing w:before="0" w:after="283"/>
              <w:jc w:val="right"/>
              <w:rPr/>
            </w:pPr>
            <w:r>
              <w:rPr/>
              <w:t>70,521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353,318</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vAlign w:val="center"/>
          </w:tcPr>
          <w:p>
            <w:pPr>
              <w:pStyle w:val="TableContents"/>
              <w:bidi w:val="0"/>
              <w:spacing w:before="0" w:after="283"/>
              <w:jc w:val="left"/>
              <w:rPr/>
            </w:pPr>
            <w:r>
              <w:rPr/>
              <w:t> </w:t>
            </w:r>
          </w:p>
        </w:tc>
        <w:tc>
          <w:tcPr>
            <w:tcW w:w="901" w:type="dxa"/>
            <w:tcBorders>
              <w:bottom w:val="single" w:sz="1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231,674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Total lease payments</w:t>
            </w:r>
          </w:p>
        </w:tc>
        <w:tc>
          <w:tcPr>
            <w:tcW w:w="90" w:type="dxa"/>
            <w:tcBorders/>
            <w:tcMar>
              <w:bottom w:w="0" w:type="dxa"/>
            </w:tcMar>
            <w:vAlign w:val="center"/>
          </w:tcPr>
          <w:p>
            <w:pPr>
              <w:pStyle w:val="TableContents"/>
              <w:bidi w:val="0"/>
              <w:spacing w:before="0" w:after="283"/>
              <w:jc w:val="left"/>
              <w:rPr/>
            </w:pPr>
            <w:r>
              <w:rPr/>
              <w:t> </w:t>
            </w:r>
          </w:p>
        </w:tc>
        <w:tc>
          <w:tcPr>
            <w:tcW w:w="184" w:type="dxa"/>
            <w:tcBorders/>
            <w:tcMar>
              <w:bottom w:w="0" w:type="dxa"/>
            </w:tcMar>
            <w:vAlign w:val="center"/>
          </w:tcPr>
          <w:p>
            <w:pPr>
              <w:pStyle w:val="TableContents"/>
              <w:bidi w:val="0"/>
              <w:spacing w:before="0" w:after="283"/>
              <w:jc w:val="left"/>
              <w:rPr/>
            </w:pPr>
            <w:r>
              <w:rPr/>
              <w:t> </w:t>
            </w:r>
          </w:p>
        </w:tc>
        <w:tc>
          <w:tcPr>
            <w:tcW w:w="901" w:type="dxa"/>
            <w:tcBorders/>
            <w:tcMar>
              <w:bottom w:w="0" w:type="dxa"/>
            </w:tcMar>
            <w:vAlign w:val="center"/>
          </w:tcPr>
          <w:p>
            <w:pPr>
              <w:pStyle w:val="TableContents"/>
              <w:bidi w:val="0"/>
              <w:spacing w:before="0" w:after="283"/>
              <w:jc w:val="right"/>
              <w:rPr/>
            </w:pPr>
            <w:r>
              <w:rPr/>
              <w:t>803,329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1,709,079</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Less: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12" w:space="0" w:color="000000"/>
            </w:tcBorders>
            <w:shd w:fill="CCEEFF" w:val="clear"/>
            <w:vAlign w:val="center"/>
          </w:tcPr>
          <w:p>
            <w:pPr>
              <w:pStyle w:val="TableContents"/>
              <w:bidi w:val="0"/>
              <w:spacing w:before="0" w:after="283"/>
              <w:jc w:val="left"/>
              <w:rPr/>
            </w:pPr>
            <w:r>
              <w:rPr/>
              <w:t> </w:t>
            </w:r>
          </w:p>
        </w:tc>
        <w:tc>
          <w:tcPr>
            <w:tcW w:w="901" w:type="dxa"/>
            <w:tcBorders>
              <w:bottom w:val="single" w:sz="12" w:space="0" w:color="000000"/>
            </w:tcBorders>
            <w:shd w:fill="CCEEFF" w:val="clear"/>
            <w:vAlign w:val="center"/>
          </w:tcPr>
          <w:p>
            <w:pPr>
              <w:pStyle w:val="TableContents"/>
              <w:bidi w:val="0"/>
              <w:spacing w:before="0" w:after="283"/>
              <w:jc w:val="right"/>
              <w:rPr/>
            </w:pPr>
            <w:r>
              <w:rPr/>
              <w:t>(34,527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(164,992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283"/>
              <w:jc w:val="left"/>
              <w:rPr/>
            </w:pPr>
            <w:r>
              <w:rPr/>
              <w:t>Present value of lease liabilities</w:t>
            </w:r>
          </w:p>
        </w:tc>
        <w:tc>
          <w:tcPr>
            <w:tcW w:w="90" w:type="dxa"/>
            <w:tcBorders/>
            <w:tcMar>
              <w:bottom w:w="0" w:type="dxa"/>
            </w:tcMar>
            <w:vAlign w:val="center"/>
          </w:tcPr>
          <w:p>
            <w:pPr>
              <w:pStyle w:val="TableContents"/>
              <w:bidi w:val="0"/>
              <w:spacing w:before="0" w:after="283"/>
              <w:jc w:val="left"/>
              <w:rPr/>
            </w:pPr>
            <w:r>
              <w:rPr/>
              <w:t> </w:t>
            </w:r>
          </w:p>
        </w:tc>
        <w:tc>
          <w:tcPr>
            <w:tcW w:w="184" w:type="dxa"/>
            <w:tcBorders>
              <w:bottom w:val="double" w:sz="10" w:space="0" w:color="000000"/>
            </w:tcBorders>
            <w:vAlign w:val="center"/>
          </w:tcPr>
          <w:p>
            <w:pPr>
              <w:pStyle w:val="TableContents"/>
              <w:bidi w:val="0"/>
              <w:spacing w:before="0" w:after="283"/>
              <w:jc w:val="left"/>
              <w:rPr/>
            </w:pPr>
            <w:r>
              <w:rPr/>
              <w:t>$</w:t>
            </w:r>
          </w:p>
        </w:tc>
        <w:tc>
          <w:tcPr>
            <w:tcW w:w="901" w:type="dxa"/>
            <w:tcBorders>
              <w:bottom w:val="double" w:sz="10" w:space="0" w:color="000000"/>
            </w:tcBorders>
            <w:vAlign w:val="center"/>
          </w:tcPr>
          <w:p>
            <w:pPr>
              <w:pStyle w:val="TableContents"/>
              <w:bidi w:val="0"/>
              <w:spacing w:before="0" w:after="283"/>
              <w:jc w:val="right"/>
              <w:rPr/>
            </w:pPr>
            <w:r>
              <w:rPr/>
              <w:t>768,802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pPr>
            <w:r>
              <w:rPr/>
              <w:t>$</w:t>
            </w:r>
          </w:p>
        </w:tc>
        <w:tc>
          <w:tcPr>
            <w:tcW w:w="1010" w:type="dxa"/>
            <w:tcBorders>
              <w:bottom w:val="double" w:sz="10" w:space="0" w:color="000000"/>
            </w:tcBorders>
            <w:vAlign w:val="center"/>
          </w:tcPr>
          <w:p>
            <w:pPr>
              <w:pStyle w:val="TableContents"/>
              <w:bidi w:val="0"/>
              <w:spacing w:before="0" w:after="283"/>
              <w:jc w:val="right"/>
              <w:rPr/>
            </w:pPr>
            <w:r>
              <w:rPr/>
              <w:t>1,544,087</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68"/>
        <w:gridCol w:w="350"/>
        <w:gridCol w:w="5435"/>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10.</w:t>
            </w:r>
          </w:p>
        </w:tc>
        <w:tc>
          <w:tcPr>
            <w:tcW w:w="5435" w:type="dxa"/>
            <w:tcBorders/>
            <w:vAlign w:val="center"/>
          </w:tcPr>
          <w:p>
            <w:pPr>
              <w:pStyle w:val="TableContents"/>
              <w:bidi w:val="0"/>
              <w:spacing w:before="0" w:after="283"/>
              <w:jc w:val="both"/>
              <w:rPr>
                <w:b/>
              </w:rPr>
            </w:pPr>
            <w:r>
              <w:rPr>
                <w:b/>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December 31, 2024 in the amount of approximately $424,000.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December 31, 2024, the Company owed approximately $510,000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accrued interest to related parties of approximately $1,091,000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pStyle w:val="TextBody"/>
        <w:bidi w:val="0"/>
        <w:spacing w:before="0" w:after="0"/>
        <w:ind w:left="0" w:right="0" w:hanging="0"/>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68"/>
        <w:gridCol w:w="350"/>
        <w:gridCol w:w="134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11.</w:t>
            </w:r>
          </w:p>
        </w:tc>
        <w:tc>
          <w:tcPr>
            <w:tcW w:w="1340" w:type="dxa"/>
            <w:tcBorders/>
            <w:vAlign w:val="center"/>
          </w:tcPr>
          <w:p>
            <w:pPr>
              <w:pStyle w:val="TableContents"/>
              <w:bidi w:val="0"/>
              <w:spacing w:before="0" w:after="283"/>
              <w:jc w:val="both"/>
              <w:rPr>
                <w:b/>
              </w:rPr>
            </w:pPr>
            <w:r>
              <w:rPr>
                <w:b/>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68"/>
        <w:gridCol w:w="350"/>
        <w:gridCol w:w="2030"/>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b/>
              </w:rPr>
            </w:pPr>
            <w:r>
              <w:rPr>
                <w:b/>
              </w:rPr>
              <w:t>12.</w:t>
            </w:r>
          </w:p>
        </w:tc>
        <w:tc>
          <w:tcPr>
            <w:tcW w:w="203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existing related-party lenders loaned the Company a combined $500,000 in additional funds to increase maximum line of credit balances that were in place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signed a lease agreement extending the lease for its main office through May 31, 2030. Total lease payments to be made during the 5 year extension are $3,533,133.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September 30, 2025 and December 31, 2024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Nine Months Ended September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9" w:name="H_001"/>
      <w:bookmarkEnd w:id="49"/>
      <w:r>
        <w:rPr>
          <w:rFonts w:ascii="Times New Roman;Times;Serif" w:hAnsi="Times New Roman;Times;Serif"/>
          <w:b/>
          <w:i/>
          <w:caps w:val="false"/>
          <w:smallCaps w:val="false"/>
          <w:sz w:val="20"/>
        </w:rPr>
        <w:t>Unaudited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1"/>
        <w:gridCol w:w="90"/>
        <w:gridCol w:w="187"/>
        <w:gridCol w:w="1249"/>
        <w:gridCol w:w="125"/>
        <w:gridCol w:w="90"/>
        <w:gridCol w:w="179"/>
        <w:gridCol w:w="1192"/>
        <w:gridCol w:w="172"/>
      </w:tblGrid>
      <w:tr>
        <w:trPr/>
        <w:tc>
          <w:tcPr>
            <w:tcW w:w="69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b/>
                <w:i/>
              </w:rPr>
            </w:pPr>
            <w:r>
              <w:rPr>
                <w:b/>
                <w:i/>
              </w:rPr>
              <w:t xml:space="preserve">As of </w:t>
              <w:br/>
              <w:t xml:space="preserve">September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b/>
                <w:i/>
              </w:rPr>
            </w:pPr>
            <w:r>
              <w:rPr>
                <w:b/>
                <w:i/>
              </w:rPr>
              <w:t>As of</w:t>
              <w:br/>
              <w:t>December 31,</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b/>
                <w:u w:val="single"/>
              </w:rPr>
            </w:pPr>
            <w:r>
              <w:rPr>
                <w:b/>
                <w:u w:val="single"/>
              </w:rPr>
              <w:t>Assets</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693,520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1,043,269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Accounts receivable, net of allowance for credit losses of $225,000 and $123,000, respectively</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1,293,174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1,010,295</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5,715,605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4,601,890</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485,863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366,027</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Sales commissions receivable, net of allowance of $760,413</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1,580,974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423,719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Deferred commissions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1,145,672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3,511,328</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Deferred costs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3,943,059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6,137,615</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343,410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531,238</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15,201,277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17,625,381</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424,031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385,192</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2,856,409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740,654</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Finance lease right-of-use assets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1,602,376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1,971,170</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181,510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116,819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20,265,603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20,839,216</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b/>
                <w:u w:val="single"/>
              </w:rPr>
            </w:pPr>
            <w:r>
              <w:rPr>
                <w:b/>
                <w:u w:val="single"/>
              </w:rPr>
              <w:t>Liabilities and Member’s Deficit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1249" w:type="dxa"/>
            <w:tcBorders/>
            <w:vAlign w:val="center"/>
          </w:tcPr>
          <w:p>
            <w:pPr>
              <w:pStyle w:val="TableContents"/>
              <w:bidi w:val="0"/>
              <w:spacing w:before="0" w:after="283"/>
              <w:jc w:val="right"/>
              <w:rPr/>
            </w:pPr>
            <w:r>
              <w:rPr/>
              <w:t>2,489,153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2,168,566</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3,431,906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2,799,860</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Accrued commissions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212,469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180,114</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Merchant cash advance, net of debt discount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487,500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Related-party accounts payable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294,384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509,649</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7,701,532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10,585,293</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Current portion of operating lease liabilities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622,419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401,456</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Current portion of finance lease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308,794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315,541</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15,548,157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16,960,479</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Operating lease liabilities, net of current portion</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2,145,929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367,346</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Finance lease liabilities, net of current portion</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985,849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1,228,546</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Related-party lines of credit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2,675,000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2,175,000</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Related-party notes payable</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7,140,109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7,140,109</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28,495,044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27,871,480</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Commitments and contingencies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Member’s deficit</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(8,229,441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(7,032,264</w:t>
            </w:r>
          </w:p>
        </w:tc>
        <w:tc>
          <w:tcPr>
            <w:tcW w:w="172" w:type="dxa"/>
            <w:tcBorders/>
            <w:vAlign w:val="center"/>
          </w:tcPr>
          <w:p>
            <w:pPr>
              <w:pStyle w:val="TableContents"/>
              <w:bidi w:val="0"/>
              <w:spacing w:before="0" w:after="283"/>
              <w:jc w:val="left"/>
              <w:rPr/>
            </w:pPr>
            <w:r>
              <w:rPr/>
              <w:t>)</w:t>
            </w:r>
          </w:p>
        </w:tc>
      </w:tr>
      <w:tr>
        <w:trPr/>
        <w:tc>
          <w:tcPr>
            <w:tcW w:w="69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921" w:type="dxa"/>
            <w:tcBorders/>
            <w:vAlign w:val="center"/>
          </w:tcPr>
          <w:p>
            <w:pPr>
              <w:pStyle w:val="TableContents"/>
              <w:bidi w:val="0"/>
              <w:spacing w:before="0" w:after="283"/>
              <w:jc w:val="left"/>
              <w:rPr/>
            </w:pPr>
            <w:r>
              <w:rPr/>
              <w:t>Total liabilities and member’s deficit</w:t>
            </w:r>
          </w:p>
        </w:tc>
        <w:tc>
          <w:tcPr>
            <w:tcW w:w="90" w:type="dxa"/>
            <w:tcBorders/>
            <w:vAlign w:val="center"/>
          </w:tcPr>
          <w:p>
            <w:pPr>
              <w:pStyle w:val="TableContents"/>
              <w:bidi w:val="0"/>
              <w:spacing w:before="0" w:after="283"/>
              <w:jc w:val="left"/>
              <w:rPr/>
            </w:pPr>
            <w:r>
              <w:rPr/>
              <w:t> </w:t>
            </w:r>
          </w:p>
        </w:tc>
        <w:tc>
          <w:tcPr>
            <w:tcW w:w="187" w:type="dxa"/>
            <w:tcBorders>
              <w:bottom w:val="single" w:sz="12" w:space="0" w:color="000000"/>
            </w:tcBorders>
            <w:tcMar>
              <w:bottom w:w="28" w:type="dxa"/>
            </w:tcMar>
            <w:vAlign w:val="center"/>
          </w:tcPr>
          <w:p>
            <w:pPr>
              <w:pStyle w:val="TableContents"/>
              <w:bidi w:val="0"/>
              <w:spacing w:before="0" w:after="283"/>
              <w:jc w:val="left"/>
              <w:rPr/>
            </w:pPr>
            <w:r>
              <w:rPr/>
              <w:t>$</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20,265,603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20,839,216</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0" w:name="H_002"/>
      <w:bookmarkEnd w:id="50"/>
      <w:r>
        <w:rPr>
          <w:rFonts w:ascii="Times New Roman;Times;Serif" w:hAnsi="Times New Roman;Times;Serif"/>
          <w:b/>
          <w:i/>
          <w:caps w:val="false"/>
          <w:smallCaps w:val="false"/>
          <w:sz w:val="20"/>
        </w:rPr>
        <w:t xml:space="preserve">Unaudited Statements of Operations and Member’s Deficit </w:t>
      </w:r>
    </w:p>
    <w:p>
      <w:pPr>
        <w:pStyle w:val="TextBody"/>
        <w:bidi w:val="0"/>
        <w:spacing w:before="0" w:after="0"/>
        <w:ind w:left="0" w:right="0" w:hanging="0"/>
        <w:jc w:val="both"/>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5690"/>
        <w:gridCol w:w="90"/>
        <w:gridCol w:w="155"/>
        <w:gridCol w:w="980"/>
        <w:gridCol w:w="110"/>
        <w:gridCol w:w="90"/>
        <w:gridCol w:w="155"/>
        <w:gridCol w:w="1040"/>
        <w:gridCol w:w="155"/>
      </w:tblGrid>
      <w:tr>
        <w:trPr/>
        <w:tc>
          <w:tcPr>
            <w:tcW w:w="5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15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61,075,725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28,114,668</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32,622,179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20,517,813</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28,453,546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7,596,855</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10,845,446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7,303,877</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16,003,211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8,043,929</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1,038,258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888,362</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28,381,482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16,472,472</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72,064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(8,875,617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(1,285,993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(925,263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 net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(1,269,241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(936,233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beginning of the period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(5,112,377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contribution and conversion of related-party notes payable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4,333,164</w:t>
            </w:r>
          </w:p>
        </w:tc>
        <w:tc>
          <w:tcPr>
            <w:tcW w:w="155" w:type="dxa"/>
            <w:tcBorders/>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end of the period</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(10,591,063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1" w:name="H_003"/>
      <w:bookmarkEnd w:id="51"/>
      <w:r>
        <w:rPr>
          <w:rFonts w:ascii="Times New Roman;Times;Serif" w:hAnsi="Times New Roman;Times;Serif"/>
          <w:b/>
          <w:i/>
          <w:caps w:val="false"/>
          <w:smallCaps w:val="false"/>
          <w:sz w:val="20"/>
        </w:rPr>
        <w:t>Unaudited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0"/>
        <w:gridCol w:w="90"/>
        <w:gridCol w:w="155"/>
        <w:gridCol w:w="935"/>
        <w:gridCol w:w="110"/>
        <w:gridCol w:w="90"/>
        <w:gridCol w:w="155"/>
        <w:gridCol w:w="935"/>
        <w:gridCol w:w="155"/>
      </w:tblGrid>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15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right-of-use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643,603</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(282,879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(413,593</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(1,113,715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739,308</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(119,836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295,812</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(1,157,255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(134,894</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74,447</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 and commissions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4,560,212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(848,215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187,828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(427,389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106,122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539,602</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3,229,015</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395,000</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51,411</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(2,883,761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(1,314,260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(618,953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(1,185,693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(7,377,989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(191,243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(222,908</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related-party revolving lines of credit and notes payable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8,925,000</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related-party revolving lines of credits and notes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(3,305,747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member’s contribution</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1,883,164</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repayments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finance lease liabilities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(222,813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(363,900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1,027,187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7,138,517</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(349,749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(462,380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beginning of period</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728,639</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end of period</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266,259</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50,441</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2,424,642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125,849</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operating right-of-use assets and accounts payable for lessor owned tenant improvements paid by the Company</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 obtained in exchange for finance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1,169,095</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terminations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related-party notes payable to member’s equity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2,450,000</w:t>
            </w:r>
          </w:p>
        </w:tc>
        <w:tc>
          <w:tcPr>
            <w:tcW w:w="155"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accrued guaranteed interest payment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52" w:name="H_004"/>
      <w:bookmarkEnd w:id="52"/>
      <w:r>
        <w:rPr>
          <w:rFonts w:ascii="Times New Roman;Times;Serif" w:hAnsi="Times New Roman;Times;Serif"/>
          <w:b/>
          <w:i/>
          <w:caps w:val="false"/>
          <w:smallCaps w:val="false"/>
          <w:sz w:val="20"/>
        </w:rPr>
        <w:t>Notes to Unaudited Financial Statements</w:t>
      </w:r>
    </w:p>
    <w:p>
      <w:pPr>
        <w:pStyle w:val="TextBody"/>
        <w:bidi w:val="0"/>
        <w:spacing w:before="0" w:after="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15"/>
        <w:gridCol w:w="188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15"/>
        <w:gridCol w:w="381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815"/>
        <w:gridCol w:w="90"/>
        <w:gridCol w:w="120"/>
        <w:gridCol w:w="350"/>
        <w:gridCol w:w="215"/>
        <w:gridCol w:w="90"/>
        <w:gridCol w:w="120"/>
        <w:gridCol w:w="350"/>
        <w:gridCol w:w="260"/>
      </w:tblGrid>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D</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70"/>
        <w:gridCol w:w="4160"/>
      </w:tblGrid>
      <w:tr>
        <w:trPr/>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1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815"/>
        <w:gridCol w:w="90"/>
        <w:gridCol w:w="120"/>
        <w:gridCol w:w="350"/>
        <w:gridCol w:w="215"/>
        <w:gridCol w:w="90"/>
        <w:gridCol w:w="120"/>
        <w:gridCol w:w="350"/>
        <w:gridCol w:w="260"/>
      </w:tblGrid>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170"/>
        <w:gridCol w:w="5975"/>
      </w:tblGrid>
      <w:tr>
        <w:trPr/>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59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solar materials costs. The following was a major vendor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845"/>
        <w:gridCol w:w="90"/>
        <w:gridCol w:w="120"/>
        <w:gridCol w:w="350"/>
        <w:gridCol w:w="215"/>
        <w:gridCol w:w="90"/>
        <w:gridCol w:w="120"/>
        <w:gridCol w:w="350"/>
        <w:gridCol w:w="260"/>
      </w:tblGrid>
      <w:tr>
        <w:trPr/>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B</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70"/>
        <w:gridCol w:w="4775"/>
      </w:tblGrid>
      <w:tr>
        <w:trPr/>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7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Vendor did not represent more than 10% of expenditures.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105"/>
        <w:gridCol w:w="90"/>
        <w:gridCol w:w="90"/>
        <w:gridCol w:w="785"/>
        <w:gridCol w:w="135"/>
      </w:tblGrid>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gear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equipment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135" w:type="dxa"/>
            <w:tcBorders/>
            <w:shd w:fill="CCEEFF"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00"/>
        <w:gridCol w:w="48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391"/>
        <w:gridCol w:w="9682"/>
      </w:tblGrid>
      <w:tr>
        <w:trPr/>
        <w:tc>
          <w:tcPr>
            <w:tcW w:w="1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594"/>
        <w:gridCol w:w="9410"/>
      </w:tblGrid>
      <w:tr>
        <w:trPr/>
        <w:tc>
          <w:tcPr>
            <w:tcW w:w="20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296"/>
        <w:gridCol w:w="9809"/>
      </w:tblGrid>
      <w:tr>
        <w:trPr/>
        <w:tc>
          <w:tcPr>
            <w:tcW w:w="1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11"/>
        <w:gridCol w:w="9788"/>
      </w:tblGrid>
      <w:tr>
        <w:trPr/>
        <w:tc>
          <w:tcPr>
            <w:tcW w:w="1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HVAC and Roofing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installation of the HVAC system or roof. The Company recognizes revenue upon the completion of the HVAC system or roof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720"/>
        <w:gridCol w:w="90"/>
        <w:gridCol w:w="170"/>
        <w:gridCol w:w="1130"/>
        <w:gridCol w:w="90"/>
        <w:gridCol w:w="90"/>
        <w:gridCol w:w="170"/>
        <w:gridCol w:w="1130"/>
        <w:gridCol w:w="13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Installation services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59,438,442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28,114,668</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HVAC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990,177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Roofing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647,106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61,075,725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28,114,668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683" w:type="dxa"/>
        <w:jc w:val="left"/>
        <w:tblInd w:w="0" w:type="dxa"/>
        <w:tblLayout w:type="fixed"/>
        <w:tblCellMar>
          <w:top w:w="0" w:type="dxa"/>
          <w:left w:w="0" w:type="dxa"/>
          <w:bottom w:w="28" w:type="dxa"/>
          <w:right w:w="0" w:type="dxa"/>
        </w:tblCellMar>
      </w:tblPr>
      <w:tblGrid>
        <w:gridCol w:w="2000"/>
        <w:gridCol w:w="90"/>
        <w:gridCol w:w="186"/>
        <w:gridCol w:w="1108"/>
        <w:gridCol w:w="90"/>
        <w:gridCol w:w="90"/>
        <w:gridCol w:w="170"/>
        <w:gridCol w:w="1130"/>
        <w:gridCol w:w="90"/>
        <w:gridCol w:w="90"/>
        <w:gridCol w:w="196"/>
        <w:gridCol w:w="1308"/>
        <w:gridCol w:w="135"/>
      </w:tblGrid>
      <w:tr>
        <w:trPr/>
        <w:tc>
          <w:tcPr>
            <w:tcW w:w="2000" w:type="dxa"/>
            <w:tcBorders>
              <w:bottom w:val="single" w:sz="12" w:space="0" w:color="000000"/>
            </w:tcBorders>
            <w:vAlign w:val="center"/>
          </w:tcPr>
          <w:p>
            <w:pPr>
              <w:pStyle w:val="TableContents"/>
              <w:bidi w:val="0"/>
              <w:spacing w:before="0" w:after="283"/>
              <w:jc w:val="left"/>
              <w:rPr>
                <w:b/>
              </w:rPr>
            </w:pPr>
            <w:r>
              <w:rPr>
                <w:b/>
              </w:rPr>
              <w:t>As of:</w:t>
            </w:r>
          </w:p>
        </w:tc>
        <w:tc>
          <w:tcPr>
            <w:tcW w:w="9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2024 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2023</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Accounts receivable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w:t>
            </w:r>
          </w:p>
        </w:tc>
        <w:tc>
          <w:tcPr>
            <w:tcW w:w="1108" w:type="dxa"/>
            <w:tcBorders/>
            <w:shd w:fill="CCEEFF" w:val="clear"/>
            <w:tcMar>
              <w:bottom w:w="0" w:type="dxa"/>
            </w:tcMar>
            <w:vAlign w:val="center"/>
          </w:tcPr>
          <w:p>
            <w:pPr>
              <w:pStyle w:val="TableContents"/>
              <w:bidi w:val="0"/>
              <w:spacing w:before="0" w:after="283"/>
              <w:jc w:val="right"/>
              <w:rPr/>
            </w:pPr>
            <w:r>
              <w:rPr/>
              <w:t>1,293,174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1,010,295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155,801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Unbilled receivables</w:t>
            </w:r>
          </w:p>
        </w:tc>
        <w:tc>
          <w:tcPr>
            <w:tcW w:w="90" w:type="dxa"/>
            <w:tcBorders/>
            <w:tcMar>
              <w:bottom w:w="0" w:type="dxa"/>
            </w:tcMar>
            <w:vAlign w:val="center"/>
          </w:tcPr>
          <w:p>
            <w:pPr>
              <w:pStyle w:val="TableContents"/>
              <w:bidi w:val="0"/>
              <w:spacing w:before="0" w:after="283"/>
              <w:jc w:val="left"/>
              <w:rPr/>
            </w:pPr>
            <w:r>
              <w:rPr/>
              <w:t> </w:t>
            </w:r>
          </w:p>
        </w:tc>
        <w:tc>
          <w:tcPr>
            <w:tcW w:w="186" w:type="dxa"/>
            <w:tcBorders/>
            <w:tcMar>
              <w:bottom w:w="0" w:type="dxa"/>
            </w:tcMar>
            <w:vAlign w:val="center"/>
          </w:tcPr>
          <w:p>
            <w:pPr>
              <w:pStyle w:val="TableContents"/>
              <w:bidi w:val="0"/>
              <w:spacing w:before="0" w:after="283"/>
              <w:jc w:val="left"/>
              <w:rPr/>
            </w:pPr>
            <w:r>
              <w:rPr/>
              <w:t> </w:t>
            </w:r>
          </w:p>
        </w:tc>
        <w:tc>
          <w:tcPr>
            <w:tcW w:w="1108" w:type="dxa"/>
            <w:tcBorders/>
            <w:tcMar>
              <w:bottom w:w="0" w:type="dxa"/>
            </w:tcMar>
            <w:vAlign w:val="center"/>
          </w:tcPr>
          <w:p>
            <w:pPr>
              <w:pStyle w:val="TableContents"/>
              <w:bidi w:val="0"/>
              <w:spacing w:before="0" w:after="283"/>
              <w:jc w:val="right"/>
              <w:rPr/>
            </w:pPr>
            <w:r>
              <w:rPr/>
              <w:t>5,715,605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4,601,890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6"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3,916,562</w:t>
            </w:r>
          </w:p>
        </w:tc>
        <w:tc>
          <w:tcPr>
            <w:tcW w:w="135" w:type="dxa"/>
            <w:tcBorders/>
            <w:tcMar>
              <w:bottom w:w="0" w:type="dxa"/>
            </w:tcMar>
            <w:vAlign w:val="center"/>
          </w:tcPr>
          <w:p>
            <w:pPr>
              <w:pStyle w:val="TableContents"/>
              <w:bidi w:val="0"/>
              <w:spacing w:before="0" w:after="283"/>
              <w:jc w:val="left"/>
              <w:rPr/>
            </w:pPr>
            <w:r>
              <w:rPr/>
              <w:t> </w:t>
            </w:r>
          </w:p>
        </w:tc>
      </w:tr>
      <w:tr>
        <w:trPr/>
        <w:tc>
          <w:tcPr>
            <w:tcW w:w="2000" w:type="dxa"/>
            <w:tcBorders/>
            <w:shd w:fill="CCEEFF" w:val="clear"/>
            <w:tcMar>
              <w:bottom w:w="0" w:type="dxa"/>
            </w:tcMar>
            <w:vAlign w:val="center"/>
          </w:tcPr>
          <w:p>
            <w:pPr>
              <w:pStyle w:val="TableContents"/>
              <w:bidi w:val="0"/>
              <w:spacing w:before="0" w:after="283"/>
              <w:jc w:val="left"/>
              <w:rPr/>
            </w:pPr>
            <w:r>
              <w:rPr/>
              <w:t>Deferred revenue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7,701,532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10,585,293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11,661,448</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nine months ended September 30, 2025 and 2024 totaled approximately $304,000 and $140,000,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January 12, 2026,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15"/>
        <w:gridCol w:w="89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15"/>
        <w:gridCol w:w="219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1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4595"/>
        <w:gridCol w:w="90"/>
        <w:gridCol w:w="170"/>
        <w:gridCol w:w="905"/>
        <w:gridCol w:w="125"/>
        <w:gridCol w:w="90"/>
        <w:gridCol w:w="170"/>
        <w:gridCol w:w="905"/>
        <w:gridCol w:w="170"/>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Office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251,199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Tools and gear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152,426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296,085</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Computer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95,530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54,392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Leasehold improvements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92,373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76,701</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Vehicles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77,990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52,552</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Furniture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32,400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30,946</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701,918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510,676</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Less accumulated 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(277,887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(125,484</w:t>
            </w:r>
          </w:p>
        </w:tc>
        <w:tc>
          <w:tcPr>
            <w:tcW w:w="170" w:type="dxa"/>
            <w:tcBorders/>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424,031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385,192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215"/>
        <w:gridCol w:w="252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 (Remainder)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3,100,000</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4,040,109</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7,140,109</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15"/>
        <w:gridCol w:w="258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5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3545"/>
        <w:gridCol w:w="90"/>
        <w:gridCol w:w="170"/>
        <w:gridCol w:w="1010"/>
        <w:gridCol w:w="135"/>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center"/>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 (Remainder)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2,675,000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10" w:type="dxa"/>
            <w:tcBorders>
              <w:bottom w:val="single" w:sz="12" w:space="0" w:color="000000"/>
            </w:tcBorders>
            <w:shd w:fill="CCEEFF" w:val="clear"/>
            <w:vAlign w:val="center"/>
          </w:tcPr>
          <w:p>
            <w:pPr>
              <w:pStyle w:val="TableContents"/>
              <w:bidi w:val="0"/>
              <w:spacing w:before="0" w:after="283"/>
              <w:jc w:val="right"/>
              <w:rPr/>
            </w:pPr>
            <w:r>
              <w:rPr/>
              <w:t>2,675,000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215"/>
        <w:gridCol w:w="216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Merchant Cash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808"/>
        <w:gridCol w:w="9122"/>
      </w:tblGrid>
      <w:tr>
        <w:trPr/>
        <w:tc>
          <w:tcPr>
            <w:tcW w:w="27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$862,500.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808"/>
        <w:gridCol w:w="9122"/>
      </w:tblGrid>
      <w:tr>
        <w:trPr/>
        <w:tc>
          <w:tcPr>
            <w:tcW w:w="27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60 days, $892,500.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5"/>
        <w:gridCol w:w="808"/>
        <w:gridCol w:w="9122"/>
      </w:tblGrid>
      <w:tr>
        <w:trPr/>
        <w:tc>
          <w:tcPr>
            <w:tcW w:w="27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90 days, $922,500.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777"/>
        <w:gridCol w:w="9165"/>
      </w:tblGrid>
      <w:tr>
        <w:trPr/>
        <w:tc>
          <w:tcPr>
            <w:tcW w:w="2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pPr>
            <w:r>
              <w:rPr/>
              <w:t>●</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120 days, $952,500.</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781"/>
        <w:gridCol w:w="9159"/>
      </w:tblGrid>
      <w:tr>
        <w:trPr/>
        <w:tc>
          <w:tcPr>
            <w:tcW w:w="26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pPr>
            <w:r>
              <w:rPr/>
              <w:t>●</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120 days, $1,012,500.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5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1"/>
        <w:gridCol w:w="650"/>
        <w:gridCol w:w="9334"/>
      </w:tblGrid>
      <w:tr>
        <w:trPr/>
        <w:tc>
          <w:tcPr>
            <w:tcW w:w="22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320"/>
        <w:gridCol w:w="6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$632,934 and $187,249, respectively,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1820"/>
        <w:gridCol w:w="90"/>
        <w:gridCol w:w="2900"/>
        <w:gridCol w:w="90"/>
        <w:gridCol w:w="170"/>
        <w:gridCol w:w="1010"/>
        <w:gridCol w:w="90"/>
        <w:gridCol w:w="90"/>
        <w:gridCol w:w="170"/>
        <w:gridCol w:w="830"/>
        <w:gridCol w:w="135"/>
      </w:tblGrid>
      <w:tr>
        <w:trPr/>
        <w:tc>
          <w:tcPr>
            <w:tcW w:w="1820" w:type="dxa"/>
            <w:tcBorders>
              <w:bottom w:val="single" w:sz="12" w:space="0" w:color="000000"/>
            </w:tcBorders>
            <w:vAlign w:val="center"/>
          </w:tcPr>
          <w:p>
            <w:pPr>
              <w:pStyle w:val="TableContents"/>
              <w:bidi w:val="0"/>
              <w:spacing w:before="0" w:after="283"/>
              <w:jc w:val="left"/>
              <w:rPr>
                <w:b/>
              </w:rPr>
            </w:pPr>
            <w:r>
              <w:rPr>
                <w:b/>
              </w:rPr>
              <w:t>Lease Cost</w:t>
            </w:r>
          </w:p>
        </w:tc>
        <w:tc>
          <w:tcPr>
            <w:tcW w:w="90" w:type="dxa"/>
            <w:tcBorders/>
            <w:tcMar>
              <w:bottom w:w="0" w:type="dxa"/>
            </w:tcMar>
            <w:vAlign w:val="center"/>
          </w:tcPr>
          <w:p>
            <w:pPr>
              <w:pStyle w:val="TableContents"/>
              <w:bidi w:val="0"/>
              <w:spacing w:before="0" w:after="283"/>
              <w:jc w:val="left"/>
              <w:rPr/>
            </w:pPr>
            <w:r>
              <w:rPr/>
              <w:t> </w:t>
            </w:r>
          </w:p>
        </w:tc>
        <w:tc>
          <w:tcPr>
            <w:tcW w:w="2900" w:type="dxa"/>
            <w:tcBorders>
              <w:bottom w:val="single" w:sz="12" w:space="0" w:color="000000"/>
            </w:tcBorders>
            <w:vAlign w:val="center"/>
          </w:tcPr>
          <w:p>
            <w:pPr>
              <w:pStyle w:val="TableContents"/>
              <w:bidi w:val="0"/>
              <w:spacing w:before="0" w:after="283"/>
              <w:jc w:val="center"/>
              <w:rPr>
                <w:b/>
              </w:rPr>
            </w:pPr>
            <w:r>
              <w:rPr>
                <w:b/>
              </w:rPr>
              <w:t>Classification</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Operating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Rent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611,224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830" w:type="dxa"/>
            <w:tcBorders/>
            <w:shd w:fill="CCEEFF" w:val="clear"/>
            <w:tcMar>
              <w:bottom w:w="0" w:type="dxa"/>
            </w:tcMar>
            <w:vAlign w:val="center"/>
          </w:tcPr>
          <w:p>
            <w:pPr>
              <w:pStyle w:val="TableContents"/>
              <w:bidi w:val="0"/>
              <w:spacing w:before="0" w:after="283"/>
              <w:jc w:val="right"/>
              <w:rPr/>
            </w:pPr>
            <w:r>
              <w:rPr/>
              <w:t>632,804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Finance: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Asset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Depreciation and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342,163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173,790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Interest on liability</w:t>
            </w:r>
          </w:p>
        </w:tc>
        <w:tc>
          <w:tcPr>
            <w:tcW w:w="90" w:type="dxa"/>
            <w:tcBorders/>
            <w:tcMar>
              <w:bottom w:w="0" w:type="dxa"/>
            </w:tcMar>
            <w:vAlign w:val="center"/>
          </w:tcPr>
          <w:p>
            <w:pPr>
              <w:pStyle w:val="TableContents"/>
              <w:bidi w:val="0"/>
              <w:spacing w:before="0" w:after="283"/>
              <w:jc w:val="left"/>
              <w:rPr/>
            </w:pPr>
            <w:r>
              <w:rPr/>
              <w:t> </w:t>
            </w:r>
          </w:p>
        </w:tc>
        <w:tc>
          <w:tcPr>
            <w:tcW w:w="2900" w:type="dxa"/>
            <w:tcBorders/>
            <w:tcMar>
              <w:bottom w:w="0" w:type="dxa"/>
            </w:tcMar>
            <w:vAlign w:val="center"/>
          </w:tcPr>
          <w:p>
            <w:pPr>
              <w:pStyle w:val="TableContents"/>
              <w:bidi w:val="0"/>
              <w:spacing w:before="0" w:after="283"/>
              <w:jc w:val="left"/>
              <w:rPr/>
            </w:pPr>
            <w:r>
              <w:rPr/>
              <w:t>Net interest expense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47,543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27,937</w:t>
            </w:r>
          </w:p>
        </w:tc>
        <w:tc>
          <w:tcPr>
            <w:tcW w:w="13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Net lease cost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1010" w:type="dxa"/>
            <w:tcBorders>
              <w:bottom w:val="single" w:sz="12" w:space="0" w:color="000000"/>
            </w:tcBorders>
            <w:shd w:fill="CCEEFF" w:val="clear"/>
            <w:vAlign w:val="center"/>
          </w:tcPr>
          <w:p>
            <w:pPr>
              <w:pStyle w:val="TableContents"/>
              <w:bidi w:val="0"/>
              <w:spacing w:before="0" w:after="283"/>
              <w:jc w:val="right"/>
              <w:rPr/>
            </w:pPr>
            <w:r>
              <w:rPr/>
              <w:t>1,000,930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w:t>
            </w:r>
          </w:p>
        </w:tc>
        <w:tc>
          <w:tcPr>
            <w:tcW w:w="830" w:type="dxa"/>
            <w:tcBorders>
              <w:bottom w:val="single" w:sz="12" w:space="0" w:color="000000"/>
            </w:tcBorders>
            <w:shd w:fill="CCEEFF" w:val="clear"/>
            <w:vAlign w:val="center"/>
          </w:tcPr>
          <w:p>
            <w:pPr>
              <w:pStyle w:val="TableContents"/>
              <w:bidi w:val="0"/>
              <w:spacing w:before="0" w:after="283"/>
              <w:jc w:val="right"/>
              <w:rPr/>
            </w:pPr>
            <w:r>
              <w:rPr/>
              <w:t>834,531</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28" w:type="dxa"/>
          <w:right w:w="0" w:type="dxa"/>
        </w:tblCellMar>
      </w:tblPr>
      <w:tblGrid>
        <w:gridCol w:w="4490"/>
        <w:gridCol w:w="90"/>
        <w:gridCol w:w="90"/>
        <w:gridCol w:w="470"/>
        <w:gridCol w:w="245"/>
        <w:gridCol w:w="90"/>
        <w:gridCol w:w="90"/>
        <w:gridCol w:w="470"/>
        <w:gridCol w:w="290"/>
      </w:tblGrid>
      <w:tr>
        <w:trPr/>
        <w:tc>
          <w:tcPr>
            <w:tcW w:w="449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Weighted average remaining lease term (years)</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Operating leases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4.23</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2.34</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 xml:space="preserve">Finance leases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3.69</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4.51</w:t>
            </w:r>
          </w:p>
        </w:tc>
        <w:tc>
          <w:tcPr>
            <w:tcW w:w="290" w:type="dxa"/>
            <w:tcBorders/>
            <w:tcMar>
              <w:bottom w:w="0" w:type="dxa"/>
            </w:tcMar>
            <w:vAlign w:val="center"/>
          </w:tcPr>
          <w:p>
            <w:pPr>
              <w:pStyle w:val="TableContents"/>
              <w:bidi w:val="0"/>
              <w:spacing w:before="0" w:after="283"/>
              <w:jc w:val="left"/>
              <w:rPr/>
            </w:pPr>
            <w:r>
              <w:rPr/>
              <w:t> </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Weighted average discount rate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4490" w:type="dxa"/>
            <w:tcBorders/>
            <w:tcMar>
              <w:bottom w:w="0" w:type="dxa"/>
            </w:tcMar>
            <w:vAlign w:val="center"/>
          </w:tcPr>
          <w:p>
            <w:pPr>
              <w:pStyle w:val="TableContents"/>
              <w:bidi w:val="0"/>
              <w:spacing w:before="0" w:after="283"/>
              <w:jc w:val="left"/>
              <w:rPr/>
            </w:pPr>
            <w:r>
              <w:rPr/>
              <w:t xml:space="preserve">Operating leases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6.60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right"/>
              <w:rPr/>
            </w:pPr>
            <w:r>
              <w:rPr/>
              <w:t>4.25</w:t>
            </w:r>
          </w:p>
        </w:tc>
        <w:tc>
          <w:tcPr>
            <w:tcW w:w="290"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283"/>
              <w:jc w:val="left"/>
              <w:rPr/>
            </w:pPr>
            <w:r>
              <w:rPr/>
              <w:t xml:space="preserve">Finance leaess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4.31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right"/>
              <w:rPr/>
            </w:pPr>
            <w:r>
              <w:rPr/>
              <w:t>4.13</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September 30, 2025:</w:t>
      </w:r>
    </w:p>
    <w:p>
      <w:pPr>
        <w:pStyle w:val="TextBody"/>
        <w:bidi w:val="0"/>
        <w:spacing w:before="0" w:after="0"/>
        <w:ind w:left="0" w:right="0" w:hanging="0"/>
        <w:jc w:val="both"/>
        <w:rPr>
          <w:caps w:val="false"/>
          <w:smallCaps w:val="false"/>
        </w:rPr>
      </w:pPr>
      <w:r>
        <w:rPr>
          <w:caps w:val="false"/>
          <w:smallCaps w:val="false"/>
        </w:rPr>
        <w:t> </w:t>
      </w:r>
    </w:p>
    <w:tbl>
      <w:tblPr>
        <w:tblW w:w="6380" w:type="dxa"/>
        <w:jc w:val="left"/>
        <w:tblInd w:w="0" w:type="dxa"/>
        <w:tblLayout w:type="fixed"/>
        <w:tblCellMar>
          <w:top w:w="0" w:type="dxa"/>
          <w:left w:w="0" w:type="dxa"/>
          <w:bottom w:w="28" w:type="dxa"/>
          <w:right w:w="0" w:type="dxa"/>
        </w:tblCellMar>
      </w:tblPr>
      <w:tblGrid>
        <w:gridCol w:w="3545"/>
        <w:gridCol w:w="90"/>
        <w:gridCol w:w="170"/>
        <w:gridCol w:w="1010"/>
        <w:gridCol w:w="125"/>
        <w:gridCol w:w="90"/>
        <w:gridCol w:w="170"/>
        <w:gridCol w:w="1010"/>
        <w:gridCol w:w="170"/>
      </w:tblGrid>
      <w:tr>
        <w:trPr/>
        <w:tc>
          <w:tcPr>
            <w:tcW w:w="354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2025 (Remainder)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187,097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114,134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570,490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364,512</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689,483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374,183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759,660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399,923</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741,734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232,443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2030</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312,086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45" w:type="dxa"/>
            <w:tcBorders/>
            <w:tcMar>
              <w:bottom w:w="0" w:type="dxa"/>
            </w:tcMar>
            <w:vAlign w:val="center"/>
          </w:tcPr>
          <w:p>
            <w:pPr>
              <w:pStyle w:val="TableContents"/>
              <w:bidi w:val="0"/>
              <w:spacing w:before="0" w:after="283"/>
              <w:jc w:val="left"/>
              <w:rPr/>
            </w:pPr>
            <w:r>
              <w:rPr/>
              <w:t>Total lease payments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3,260,550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1,485,195</w:t>
            </w:r>
          </w:p>
        </w:tc>
        <w:tc>
          <w:tcPr>
            <w:tcW w:w="170" w:type="dxa"/>
            <w:tcBorders/>
            <w:tcMar>
              <w:bottom w:w="0" w:type="dxa"/>
            </w:tcMar>
            <w:vAlign w:val="center"/>
          </w:tcPr>
          <w:p>
            <w:pPr>
              <w:pStyle w:val="TableContents"/>
              <w:bidi w:val="0"/>
              <w:spacing w:before="0" w:after="283"/>
              <w:jc w:val="left"/>
              <w:rPr/>
            </w:pPr>
            <w:r>
              <w:rPr/>
              <w:t> </w:t>
            </w:r>
          </w:p>
        </w:tc>
      </w:tr>
      <w:tr>
        <w:trPr/>
        <w:tc>
          <w:tcPr>
            <w:tcW w:w="3545" w:type="dxa"/>
            <w:tcBorders/>
            <w:shd w:fill="CCEEFF" w:val="clear"/>
            <w:tcMar>
              <w:bottom w:w="0" w:type="dxa"/>
            </w:tcMar>
            <w:vAlign w:val="center"/>
          </w:tcPr>
          <w:p>
            <w:pPr>
              <w:pStyle w:val="TableContents"/>
              <w:bidi w:val="0"/>
              <w:spacing w:before="0" w:after="283"/>
              <w:jc w:val="left"/>
              <w:rPr/>
            </w:pPr>
            <w:r>
              <w:rPr/>
              <w:t>Less: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(492,202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(190,552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283"/>
              <w:jc w:val="left"/>
              <w:rPr/>
            </w:pPr>
            <w:r>
              <w:rPr/>
              <w:t>Present value of lease liabilities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2,768,348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w:t>
            </w:r>
          </w:p>
        </w:tc>
        <w:tc>
          <w:tcPr>
            <w:tcW w:w="1010" w:type="dxa"/>
            <w:tcBorders>
              <w:bottom w:val="single" w:sz="12" w:space="0" w:color="000000"/>
            </w:tcBorders>
            <w:vAlign w:val="center"/>
          </w:tcPr>
          <w:p>
            <w:pPr>
              <w:pStyle w:val="TableContents"/>
              <w:bidi w:val="0"/>
              <w:spacing w:before="0" w:after="283"/>
              <w:jc w:val="right"/>
              <w:rPr/>
            </w:pPr>
            <w:r>
              <w:rPr/>
              <w:t>1,294,643</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20"/>
        <w:gridCol w:w="452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5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accrued interest due to related parties of approximately $1,343,000 and $1,091,000, respectively,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1"/>
        <w:gridCol w:w="2071"/>
        <w:gridCol w:w="7673"/>
      </w:tblGrid>
      <w:tr>
        <w:trPr/>
        <w:tc>
          <w:tcPr>
            <w:tcW w:w="4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673"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2"/>
        <w:gridCol w:w="1534"/>
        <w:gridCol w:w="8329"/>
      </w:tblGrid>
      <w:tr>
        <w:trPr/>
        <w:tc>
          <w:tcPr>
            <w:tcW w:w="3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32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cost savings, operating synergies or revenue synergies that may result from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has been developed from and should be read in conjunction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2"/>
        <w:gridCol w:w="9895"/>
      </w:tblGrid>
      <w:tr>
        <w:trPr/>
        <w:tc>
          <w:tcPr>
            <w:tcW w:w="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the accompanying notes to the Unaudited Pro Forma Combined Statement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financial statements of the Company for the fiscal year ended December 28, 2025 and the related notes in its Annual Report for such fiscal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Ambia as of and for the year ended December 31, 2024, and the unaudited financial statements of Ambia as of and for the nine months ended September 30,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Sunder as of and for the year ended December 31, 2024, and the unaudited financial statements of Sunder as of and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k_001"/>
      <w:bookmarkEnd w:id="53"/>
      <w:r>
        <w:rPr>
          <w:rFonts w:ascii="Times New Roman;Times;Serif" w:hAnsi="Times New Roman;Times;Serif"/>
          <w:b/>
          <w:i w:val="false"/>
          <w:caps w:val="false"/>
          <w:smallCaps w:val="false"/>
          <w:sz w:val="20"/>
        </w:rPr>
        <w:t>UNAUDITED PRO FORMA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28,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2970" w:type="dxa"/>
        <w:jc w:val="left"/>
        <w:tblInd w:w="0" w:type="dxa"/>
        <w:tblLayout w:type="fixed"/>
        <w:tblCellMar>
          <w:top w:w="0" w:type="dxa"/>
          <w:left w:w="0" w:type="dxa"/>
          <w:bottom w:w="0" w:type="dxa"/>
          <w:right w:w="0" w:type="dxa"/>
        </w:tblCellMar>
      </w:tblPr>
      <w:tblGrid>
        <w:gridCol w:w="1040"/>
        <w:gridCol w:w="90"/>
        <w:gridCol w:w="156"/>
        <w:gridCol w:w="959"/>
        <w:gridCol w:w="110"/>
        <w:gridCol w:w="90"/>
        <w:gridCol w:w="175"/>
        <w:gridCol w:w="685"/>
        <w:gridCol w:w="110"/>
        <w:gridCol w:w="90"/>
        <w:gridCol w:w="146"/>
        <w:gridCol w:w="804"/>
        <w:gridCol w:w="275"/>
        <w:gridCol w:w="90"/>
        <w:gridCol w:w="140"/>
        <w:gridCol w:w="770"/>
        <w:gridCol w:w="110"/>
        <w:gridCol w:w="90"/>
        <w:gridCol w:w="175"/>
        <w:gridCol w:w="685"/>
        <w:gridCol w:w="110"/>
        <w:gridCol w:w="90"/>
        <w:gridCol w:w="140"/>
        <w:gridCol w:w="1490"/>
        <w:gridCol w:w="290"/>
        <w:gridCol w:w="90"/>
        <w:gridCol w:w="140"/>
        <w:gridCol w:w="860"/>
        <w:gridCol w:w="230"/>
        <w:gridCol w:w="90"/>
        <w:gridCol w:w="140"/>
        <w:gridCol w:w="860"/>
        <w:gridCol w:w="110"/>
        <w:gridCol w:w="90"/>
        <w:gridCol w:w="200"/>
        <w:gridCol w:w="1115"/>
        <w:gridCol w:w="135"/>
      </w:tblGrid>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Sunder Energy LLC</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90" w:type="dxa"/>
            <w:gridSpan w:val="14"/>
            <w:tcBorders>
              <w:bottom w:val="single" w:sz="12" w:space="0" w:color="000000"/>
            </w:tcBorders>
            <w:tcMar>
              <w:bottom w:w="28" w:type="dxa"/>
            </w:tcMar>
            <w:vAlign w:val="center"/>
          </w:tcPr>
          <w:p>
            <w:pPr>
              <w:pStyle w:val="TableContents"/>
              <w:bidi w:val="0"/>
              <w:spacing w:before="0" w:after="283"/>
              <w:jc w:val="center"/>
              <w:rPr>
                <w:b/>
                <w:sz w:val="16"/>
              </w:rPr>
            </w:pPr>
            <w:r>
              <w:rPr>
                <w:b/>
                <w:sz w:val="16"/>
              </w:rPr>
              <w:t>Ambia Energy LLC</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SunPower</w:t>
              <w:br/>
            </w:r>
            <w:r>
              <w:rPr>
                <w:b/>
                <w:sz w:val="16"/>
              </w:rPr>
              <w:t>Historical</w:t>
              <w:br/>
              <w:t>Results of</w:t>
              <w:br/>
              <w:t>Operations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Reclassification</w:t>
              <w:br/>
              <w:t>Adjustments</w:t>
              <w:br/>
              <w:t>(Note 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center"/>
              <w:rPr>
                <w:b/>
              </w:rPr>
            </w:pPr>
            <w:r>
              <w:rPr>
                <w:b/>
              </w:rPr>
              <w:t>Combined</w:t>
              <w:br/>
            </w:r>
            <w:r>
              <w:rPr>
                <w:b/>
                <w:sz w:val="16"/>
              </w:rPr>
              <w:t>Pro Forma Results of</w:t>
              <w:br/>
              <w:t>Operations</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Revenues</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16"/>
              </w:rPr>
            </w:pPr>
            <w:r>
              <w:rPr>
                <w:sz w:val="16"/>
              </w:rPr>
              <w:t>$</w:t>
            </w:r>
          </w:p>
        </w:tc>
        <w:tc>
          <w:tcPr>
            <w:tcW w:w="959" w:type="dxa"/>
            <w:tcBorders/>
            <w:shd w:fill="CCEEFF" w:val="clear"/>
            <w:vAlign w:val="center"/>
          </w:tcPr>
          <w:p>
            <w:pPr>
              <w:pStyle w:val="TableContents"/>
              <w:bidi w:val="0"/>
              <w:spacing w:before="0" w:after="283"/>
              <w:jc w:val="right"/>
              <w:rPr>
                <w:sz w:val="16"/>
              </w:rPr>
            </w:pPr>
            <w:r>
              <w:rPr>
                <w:sz w:val="16"/>
              </w:rPr>
              <w:t>300,000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16"/>
              </w:rPr>
            </w:pPr>
            <w:r>
              <w:rPr>
                <w:sz w:val="16"/>
              </w:rPr>
              <w:t>$</w:t>
            </w:r>
          </w:p>
        </w:tc>
        <w:tc>
          <w:tcPr>
            <w:tcW w:w="685" w:type="dxa"/>
            <w:tcBorders/>
            <w:shd w:fill="CCEEFF" w:val="clear"/>
            <w:vAlign w:val="center"/>
          </w:tcPr>
          <w:p>
            <w:pPr>
              <w:pStyle w:val="TableContents"/>
              <w:bidi w:val="0"/>
              <w:spacing w:before="0" w:after="283"/>
              <w:jc w:val="right"/>
              <w:rPr>
                <w:sz w:val="16"/>
              </w:rPr>
            </w:pPr>
            <w:r>
              <w:rPr>
                <w:sz w:val="16"/>
              </w:rPr>
              <w:t>56,084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804" w:type="dxa"/>
            <w:tcBorders/>
            <w:shd w:fill="CCEEFF" w:val="cle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770" w:type="dxa"/>
            <w:tcBorders/>
            <w:shd w:fill="CCEEFF" w:val="clear"/>
            <w:vAlign w:val="center"/>
          </w:tcPr>
          <w:p>
            <w:pPr>
              <w:pStyle w:val="TableContents"/>
              <w:bidi w:val="0"/>
              <w:spacing w:before="0" w:after="283"/>
              <w:jc w:val="right"/>
              <w:rPr>
                <w:sz w:val="16"/>
              </w:rPr>
            </w:pPr>
            <w:r>
              <w:rPr>
                <w:sz w:val="16"/>
              </w:rPr>
              <w:t>56,084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16"/>
              </w:rPr>
            </w:pPr>
            <w:r>
              <w:rPr>
                <w:sz w:val="16"/>
              </w:rPr>
              <w:t>$</w:t>
            </w:r>
          </w:p>
        </w:tc>
        <w:tc>
          <w:tcPr>
            <w:tcW w:w="685" w:type="dxa"/>
            <w:tcBorders/>
            <w:shd w:fill="CCEEFF" w:val="clear"/>
            <w:vAlign w:val="center"/>
          </w:tcPr>
          <w:p>
            <w:pPr>
              <w:pStyle w:val="TableContents"/>
              <w:bidi w:val="0"/>
              <w:spacing w:before="0" w:after="283"/>
              <w:jc w:val="right"/>
              <w:rPr>
                <w:sz w:val="16"/>
              </w:rPr>
            </w:pPr>
            <w:r>
              <w:rPr>
                <w:sz w:val="16"/>
              </w:rPr>
              <w:t>73,604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1490" w:type="dxa"/>
            <w:tcBorders/>
            <w:shd w:fill="CCEEFF" w:val="clear"/>
            <w:vAlign w:val="center"/>
          </w:tcPr>
          <w:p>
            <w:pPr>
              <w:pStyle w:val="TableContents"/>
              <w:bidi w:val="0"/>
              <w:spacing w:before="0" w:after="283"/>
              <w:jc w:val="right"/>
              <w:rPr/>
            </w:pPr>
            <w:r>
              <w:rPr/>
              <w:t>                       </w:t>
            </w: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6"/>
              </w:rPr>
            </w:pPr>
            <w:r>
              <w:rPr>
                <w:sz w:val="16"/>
              </w:rPr>
              <w:t>$</w:t>
            </w:r>
          </w:p>
        </w:tc>
        <w:tc>
          <w:tcPr>
            <w:tcW w:w="860" w:type="dxa"/>
            <w:tcBorders/>
            <w:shd w:fill="CCEEFF" w:val="clear"/>
            <w:vAlign w:val="center"/>
          </w:tcPr>
          <w:p>
            <w:pPr>
              <w:pStyle w:val="TableContents"/>
              <w:bidi w:val="0"/>
              <w:spacing w:before="0" w:after="283"/>
              <w:jc w:val="right"/>
              <w:rPr>
                <w:sz w:val="16"/>
              </w:rPr>
            </w:pPr>
            <w:r>
              <w:rPr>
                <w:sz w:val="16"/>
              </w:rPr>
              <w:t>73,604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r>
              <w:rPr>
                <w:sz w:val="16"/>
              </w:rPr>
              <w:t>$</w:t>
            </w:r>
          </w:p>
        </w:tc>
        <w:tc>
          <w:tcPr>
            <w:tcW w:w="1115" w:type="dxa"/>
            <w:tcBorders/>
            <w:shd w:fill="CCEEFF" w:val="clear"/>
            <w:vAlign w:val="center"/>
          </w:tcPr>
          <w:p>
            <w:pPr>
              <w:pStyle w:val="TableContents"/>
              <w:bidi w:val="0"/>
              <w:spacing w:before="0" w:after="283"/>
              <w:jc w:val="right"/>
              <w:rPr>
                <w:sz w:val="16"/>
              </w:rPr>
            </w:pPr>
            <w:r>
              <w:rPr>
                <w:sz w:val="16"/>
              </w:rPr>
              <w:t>429,688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Cost of revenues</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170,788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300</w:t>
            </w:r>
          </w:p>
        </w:tc>
        <w:tc>
          <w:tcPr>
            <w:tcW w:w="275" w:type="dxa"/>
            <w:tcBorders/>
            <w:vAlign w:val="center"/>
          </w:tcPr>
          <w:p>
            <w:pPr>
              <w:pStyle w:val="TableContents"/>
              <w:bidi w:val="0"/>
              <w:spacing w:before="0" w:after="283"/>
              <w:jc w:val="left"/>
              <w:rPr>
                <w:sz w:val="16"/>
              </w:rPr>
            </w:pPr>
            <w:r>
              <w:rPr>
                <w:sz w:val="16"/>
              </w:rPr>
              <w:t>(C)</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2,132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38,881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38,881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209,969</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Gross profit (loss)</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129,212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56,084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(300</w:t>
            </w:r>
          </w:p>
        </w:tc>
        <w:tc>
          <w:tcPr>
            <w:tcW w:w="275"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53,952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219,719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Operating expenses</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Sales commissions</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37,009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45,615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45,615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18,813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18,813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16"/>
              </w:rPr>
            </w:pPr>
            <w:r>
              <w:rPr>
                <w:sz w:val="16"/>
              </w:rPr>
              <w:t>101,437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Sales and marketing</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sz w:val="16"/>
              </w:rPr>
            </w:pPr>
            <w:r>
              <w:rPr>
                <w:sz w:val="16"/>
              </w:rPr>
              <w:t>29,030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1,251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sz w:val="16"/>
              </w:rPr>
            </w:pPr>
            <w:r>
              <w:rPr>
                <w:sz w:val="16"/>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1,251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128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16"/>
              </w:rPr>
            </w:pPr>
            <w:r>
              <w:rPr>
                <w:sz w:val="16"/>
              </w:rPr>
              <w:t>30,409</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General and administrative</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90,104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15,916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16"/>
              </w:rPr>
            </w:pPr>
            <w:r>
              <w:rPr>
                <w:sz w:val="16"/>
              </w:rPr>
              <w:t>2,753</w:t>
            </w:r>
          </w:p>
        </w:tc>
        <w:tc>
          <w:tcPr>
            <w:tcW w:w="275" w:type="dxa"/>
            <w:tcBorders/>
            <w:shd w:fill="CCEEFF" w:val="clear"/>
            <w:vAlign w:val="center"/>
          </w:tcPr>
          <w:p>
            <w:pPr>
              <w:pStyle w:val="TableContents"/>
              <w:bidi w:val="0"/>
              <w:spacing w:before="0" w:after="283"/>
              <w:jc w:val="left"/>
              <w:rPr>
                <w:sz w:val="16"/>
              </w:rPr>
            </w:pPr>
            <w:r>
              <w:rPr>
                <w:sz w:val="16"/>
              </w:rPr>
              <w:t>(C)</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18,669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13,979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sz w:val="16"/>
              </w:rPr>
            </w:pPr>
            <w:r>
              <w:rPr>
                <w:sz w:val="16"/>
              </w:rPr>
              <w:t>1,975</w:t>
            </w:r>
          </w:p>
        </w:tc>
        <w:tc>
          <w:tcPr>
            <w:tcW w:w="290" w:type="dxa"/>
            <w:tcBorders/>
            <w:shd w:fill="CCEEFF" w:val="clear"/>
            <w:vAlign w:val="center"/>
          </w:tcPr>
          <w:p>
            <w:pPr>
              <w:pStyle w:val="TableContents"/>
              <w:bidi w:val="0"/>
              <w:spacing w:before="0" w:after="283"/>
              <w:jc w:val="left"/>
              <w:rPr>
                <w:sz w:val="16"/>
              </w:rPr>
            </w:pPr>
            <w:r>
              <w:rPr>
                <w:sz w:val="16"/>
              </w:rPr>
              <w:t>(H)</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1,792</w:t>
            </w:r>
          </w:p>
        </w:tc>
        <w:tc>
          <w:tcPr>
            <w:tcW w:w="230" w:type="dxa"/>
            <w:tcBorders/>
            <w:shd w:fill="CCEEFF" w:val="clear"/>
            <w:vAlign w:val="center"/>
          </w:tcPr>
          <w:p>
            <w:pPr>
              <w:pStyle w:val="TableContents"/>
              <w:bidi w:val="0"/>
              <w:spacing w:before="0" w:after="283"/>
              <w:jc w:val="left"/>
              <w:rPr>
                <w:sz w:val="16"/>
              </w:rPr>
            </w:pPr>
            <w:r>
              <w:rPr>
                <w:sz w:val="16"/>
              </w:rPr>
              <w:t>(D)</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17,746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16"/>
              </w:rPr>
            </w:pPr>
            <w:r>
              <w:rPr>
                <w:sz w:val="16"/>
              </w:rPr>
              <w:t>126,519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Rent</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sz w:val="16"/>
              </w:rPr>
            </w:pPr>
            <w:r>
              <w:rPr>
                <w:sz w:val="16"/>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1,338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sz w:val="16"/>
              </w:rPr>
            </w:pPr>
            <w:r>
              <w:rPr>
                <w:sz w:val="16"/>
              </w:rPr>
              <w:t>(1,338</w:t>
            </w:r>
          </w:p>
        </w:tc>
        <w:tc>
          <w:tcPr>
            <w:tcW w:w="290" w:type="dxa"/>
            <w:tcBorders/>
            <w:vAlign w:val="center"/>
          </w:tcPr>
          <w:p>
            <w:pPr>
              <w:pStyle w:val="TableContents"/>
              <w:bidi w:val="0"/>
              <w:spacing w:before="0" w:after="283"/>
              <w:jc w:val="left"/>
              <w:rPr>
                <w:sz w:val="16"/>
              </w:rPr>
            </w:pPr>
            <w:r>
              <w:rPr>
                <w:sz w:val="16"/>
              </w:rPr>
              <w:t>)(H)</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16"/>
              </w:rPr>
            </w:pPr>
            <w:r>
              <w:rPr>
                <w:sz w:val="16"/>
              </w:rPr>
              <w:t>-</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290" w:type="dxa"/>
            <w:tcBorders/>
            <w:shd w:fill="CCEEFF" w:val="clear"/>
            <w:vAlign w:val="center"/>
          </w:tcPr>
          <w:p>
            <w:pPr>
              <w:pStyle w:val="TableContents"/>
              <w:bidi w:val="0"/>
              <w:spacing w:before="0" w:after="283"/>
              <w:jc w:val="left"/>
              <w:rPr>
                <w:sz w:val="16"/>
              </w:rPr>
            </w:pPr>
            <w:r>
              <w:rPr>
                <w:sz w:val="16"/>
              </w:rPr>
              <w:t>)(H)</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Total operating expenses</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156,143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62,782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2,753</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65,535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34,895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(1,792</w:t>
            </w:r>
          </w:p>
        </w:tc>
        <w:tc>
          <w:tcPr>
            <w:tcW w:w="23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36,687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258,365</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(26,931</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(6,698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(3,053</w:t>
            </w:r>
          </w:p>
        </w:tc>
        <w:tc>
          <w:tcPr>
            <w:tcW w:w="275"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(9,194</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(38,646</w:t>
            </w:r>
          </w:p>
        </w:tc>
        <w:tc>
          <w:tcPr>
            <w:tcW w:w="135" w:type="dxa"/>
            <w:tcBorders/>
            <w:shd w:fill="CCEEFF" w:val="clear"/>
            <w:vAlign w:val="center"/>
          </w:tcPr>
          <w:p>
            <w:pPr>
              <w:pStyle w:val="TableContents"/>
              <w:bidi w:val="0"/>
              <w:spacing w:before="0" w:after="283"/>
              <w:ind w:left="0" w:right="0" w:hanging="180"/>
              <w:jc w:val="left"/>
              <w:rPr>
                <w:sz w:val="16"/>
              </w:rPr>
            </w:pPr>
            <w:r>
              <w:rPr>
                <w:sz w:val="16"/>
              </w:rPr>
              <w:t>) </w:t>
            </w:r>
          </w:p>
        </w:tc>
      </w:tr>
      <w:tr>
        <w:trPr/>
        <w:tc>
          <w:tcPr>
            <w:tcW w:w="1040" w:type="dxa"/>
            <w:tcBorders/>
            <w:vAlign w:val="center"/>
          </w:tcPr>
          <w:p>
            <w:pPr>
              <w:pStyle w:val="TableContents"/>
              <w:bidi w:val="0"/>
              <w:spacing w:before="0" w:after="283"/>
              <w:jc w:val="left"/>
              <w:rPr>
                <w:sz w:val="16"/>
              </w:rPr>
            </w:pPr>
            <w:r>
              <w:rPr>
                <w:sz w:val="16"/>
              </w:rPr>
              <w:t>Interest expense</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sz w:val="16"/>
              </w:rPr>
            </w:pPr>
            <w:r>
              <w:rPr>
                <w:sz w:val="16"/>
              </w:rPr>
              <w:t>(25,095</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(246</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sz w:val="16"/>
              </w:rPr>
            </w:pPr>
            <w:r>
              <w:rPr>
                <w:sz w:val="16"/>
              </w:rPr>
              <w:t>(2,658</w:t>
            </w:r>
          </w:p>
        </w:tc>
        <w:tc>
          <w:tcPr>
            <w:tcW w:w="275" w:type="dxa"/>
            <w:tcBorders/>
            <w:vAlign w:val="center"/>
          </w:tcPr>
          <w:p>
            <w:pPr>
              <w:pStyle w:val="TableContents"/>
              <w:bidi w:val="0"/>
              <w:spacing w:before="0" w:after="283"/>
              <w:jc w:val="left"/>
              <w:rPr>
                <w:sz w:val="16"/>
              </w:rPr>
            </w:pPr>
            <w:r>
              <w:rPr>
                <w:sz w:val="16"/>
              </w:rPr>
              <w:t>)(E)</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(2,904</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16"/>
              </w:rPr>
            </w:pPr>
            <w:r>
              <w:rPr>
                <w:sz w:val="16"/>
              </w:rPr>
              <w:t>(1,286</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1,286</w:t>
            </w:r>
          </w:p>
        </w:tc>
        <w:tc>
          <w:tcPr>
            <w:tcW w:w="230" w:type="dxa"/>
            <w:tcBorders/>
            <w:vAlign w:val="center"/>
          </w:tcPr>
          <w:p>
            <w:pPr>
              <w:pStyle w:val="TableContents"/>
              <w:bidi w:val="0"/>
              <w:spacing w:before="0" w:after="283"/>
              <w:jc w:val="left"/>
              <w:rPr>
                <w:sz w:val="16"/>
              </w:rPr>
            </w:pPr>
            <w:r>
              <w:rPr>
                <w:sz w:val="16"/>
              </w:rPr>
              <w:t>(F)</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6"/>
              </w:rPr>
            </w:pPr>
            <w:r>
              <w:rPr>
                <w:sz w:val="16"/>
              </w:rPr>
              <w:t>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sz w:val="16"/>
              </w:rPr>
            </w:pPr>
            <w:r>
              <w:rPr>
                <w:sz w:val="16"/>
              </w:rPr>
              <w:t>(27,999</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sz w:val="16"/>
              </w:rPr>
            </w:pPr>
            <w:r>
              <w:rPr>
                <w:sz w:val="16"/>
              </w:rPr>
              <w:t>Interest income</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sz w:val="16"/>
              </w:rPr>
            </w:pPr>
            <w:r>
              <w:rPr>
                <w:sz w:val="16"/>
              </w:rPr>
              <w:t>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6"/>
              </w:rPr>
            </w:pPr>
            <w:r>
              <w:rPr>
                <w:sz w:val="16"/>
              </w:rPr>
              <w:t>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16"/>
              </w:rPr>
            </w:pPr>
            <w:r>
              <w:rPr>
                <w:sz w:val="16"/>
              </w:rPr>
              <w:t>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Other income (expense), net</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sz w:val="16"/>
              </w:rPr>
            </w:pPr>
            <w:r>
              <w:rPr>
                <w:sz w:val="16"/>
              </w:rPr>
              <w:t>9,347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320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9,684</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6"/>
              </w:rPr>
            </w:pPr>
            <w:r>
              <w:rPr>
                <w:sz w:val="16"/>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(15,745</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(2,658</w:t>
            </w:r>
          </w:p>
        </w:tc>
        <w:tc>
          <w:tcPr>
            <w:tcW w:w="275"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(2,548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(1,269</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1,286</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(18,276</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40" w:type="dxa"/>
            <w:tcBorders/>
            <w:vAlign w:val="center"/>
          </w:tcPr>
          <w:p>
            <w:pPr>
              <w:pStyle w:val="TableContents"/>
              <w:bidi w:val="0"/>
              <w:spacing w:before="0" w:after="283"/>
              <w:jc w:val="left"/>
              <w:rPr>
                <w:sz w:val="16"/>
              </w:rPr>
            </w:pPr>
            <w:r>
              <w:rPr>
                <w:sz w:val="16"/>
              </w:rPr>
              <w:t>Loss from continuing operations before income taxes</w:t>
            </w:r>
          </w:p>
        </w:tc>
        <w:tc>
          <w:tcPr>
            <w:tcW w:w="90" w:type="dxa"/>
            <w:tcBorders/>
            <w:vAlign w:val="center"/>
          </w:tcPr>
          <w:p>
            <w:pPr>
              <w:pStyle w:val="TableContents"/>
              <w:bidi w:val="0"/>
              <w:spacing w:before="0" w:after="283"/>
              <w:jc w:val="left"/>
              <w:rPr/>
            </w:pPr>
            <w:r>
              <w:rPr/>
              <w:t> </w:t>
            </w:r>
          </w:p>
        </w:tc>
        <w:tc>
          <w:tcPr>
            <w:tcW w:w="156"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sz w:val="16"/>
              </w:rPr>
            </w:pPr>
            <w:r>
              <w:rPr>
                <w:sz w:val="16"/>
              </w:rPr>
              <w:t>(42,676</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(6,588</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283"/>
              <w:jc w:val="right"/>
              <w:rPr>
                <w:sz w:val="16"/>
              </w:rPr>
            </w:pPr>
            <w:r>
              <w:rPr>
                <w:sz w:val="16"/>
              </w:rPr>
              <w:t>(5,711</w:t>
            </w:r>
          </w:p>
        </w:tc>
        <w:tc>
          <w:tcPr>
            <w:tcW w:w="275"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(12,299</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(1,441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(506</w:t>
            </w:r>
          </w:p>
        </w:tc>
        <w:tc>
          <w:tcPr>
            <w:tcW w:w="23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tcMar>
              <w:bottom w:w="28" w:type="dxa"/>
            </w:tcMar>
            <w:vAlign w:val="center"/>
          </w:tcPr>
          <w:p>
            <w:pPr>
              <w:pStyle w:val="TableContents"/>
              <w:bidi w:val="0"/>
              <w:spacing w:before="0" w:after="283"/>
              <w:jc w:val="right"/>
              <w:rPr>
                <w:sz w:val="16"/>
              </w:rPr>
            </w:pPr>
            <w:r>
              <w:rPr>
                <w:sz w:val="16"/>
              </w:rPr>
              <w:t>(1,947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sz w:val="16"/>
              </w:rPr>
            </w:pPr>
            <w:r>
              <w:rPr>
                <w:sz w:val="16"/>
              </w:rPr>
              <w:t>(56,922</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sz w:val="16"/>
              </w:rPr>
            </w:pPr>
            <w:r>
              <w:rPr>
                <w:sz w:val="16"/>
              </w:rPr>
              <w:t>Income tax (provision) benefit</w:t>
            </w:r>
          </w:p>
        </w:tc>
        <w:tc>
          <w:tcPr>
            <w:tcW w:w="9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110" w:type="dxa"/>
            <w:tcBorders/>
            <w:shd w:fill="CCEEFF" w:val="clear"/>
            <w:vAlign w:val="center"/>
          </w:tcPr>
          <w:p>
            <w:pPr>
              <w:pStyle w:val="TableContents"/>
              <w:bidi w:val="0"/>
              <w:spacing w:before="0" w:after="283"/>
              <w:jc w:val="left"/>
              <w:rPr>
                <w:sz w:val="16"/>
              </w:rPr>
            </w:pPr>
            <w:r>
              <w:rPr>
                <w:sz w:val="16"/>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13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40" w:type="dxa"/>
            <w:tcBorders/>
            <w:vAlign w:val="center"/>
          </w:tcPr>
          <w:p>
            <w:pPr>
              <w:pStyle w:val="TableContents"/>
              <w:bidi w:val="0"/>
              <w:spacing w:before="0" w:after="283"/>
              <w:jc w:val="left"/>
              <w:rPr>
                <w:sz w:val="16"/>
              </w:rPr>
            </w:pPr>
            <w:r>
              <w:rPr>
                <w:sz w:val="16"/>
              </w:rPr>
              <w:t>Net loss from continuing operations</w:t>
            </w:r>
          </w:p>
        </w:tc>
        <w:tc>
          <w:tcPr>
            <w:tcW w:w="9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959" w:type="dxa"/>
            <w:tcBorders>
              <w:bottom w:val="double" w:sz="10" w:space="0" w:color="000000"/>
            </w:tcBorders>
            <w:tcMar>
              <w:bottom w:w="28" w:type="dxa"/>
            </w:tcMar>
            <w:vAlign w:val="center"/>
          </w:tcPr>
          <w:p>
            <w:pPr>
              <w:pStyle w:val="TableContents"/>
              <w:bidi w:val="0"/>
              <w:spacing w:before="0" w:after="283"/>
              <w:jc w:val="right"/>
              <w:rPr>
                <w:sz w:val="16"/>
              </w:rPr>
            </w:pPr>
            <w:r>
              <w:rPr>
                <w:sz w:val="16"/>
              </w:rPr>
              <w:t>(44,254</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685" w:type="dxa"/>
            <w:tcBorders>
              <w:bottom w:val="double" w:sz="10" w:space="0" w:color="000000"/>
            </w:tcBorders>
            <w:tcMar>
              <w:bottom w:w="28" w:type="dxa"/>
            </w:tcMar>
            <w:vAlign w:val="center"/>
          </w:tcPr>
          <w:p>
            <w:pPr>
              <w:pStyle w:val="TableContents"/>
              <w:bidi w:val="0"/>
              <w:spacing w:before="0" w:after="283"/>
              <w:jc w:val="right"/>
              <w:rPr>
                <w:sz w:val="16"/>
              </w:rPr>
            </w:pPr>
            <w:r>
              <w:rPr>
                <w:sz w:val="16"/>
              </w:rPr>
              <w:t>(6,588</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6"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04" w:type="dxa"/>
            <w:tcBorders>
              <w:bottom w:val="double" w:sz="10" w:space="0" w:color="000000"/>
            </w:tcBorders>
            <w:tcMar>
              <w:bottom w:w="28" w:type="dxa"/>
            </w:tcMar>
            <w:vAlign w:val="center"/>
          </w:tcPr>
          <w:p>
            <w:pPr>
              <w:pStyle w:val="TableContents"/>
              <w:bidi w:val="0"/>
              <w:spacing w:before="0" w:after="283"/>
              <w:jc w:val="right"/>
              <w:rPr>
                <w:sz w:val="16"/>
              </w:rPr>
            </w:pPr>
            <w:r>
              <w:rPr>
                <w:sz w:val="16"/>
              </w:rPr>
              <w:t>(5,711</w:t>
            </w:r>
          </w:p>
        </w:tc>
        <w:tc>
          <w:tcPr>
            <w:tcW w:w="275"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77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(12,299</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685" w:type="dxa"/>
            <w:tcBorders>
              <w:bottom w:val="double" w:sz="10" w:space="0" w:color="000000"/>
            </w:tcBorders>
            <w:tcMar>
              <w:bottom w:w="28" w:type="dxa"/>
            </w:tcMar>
            <w:vAlign w:val="center"/>
          </w:tcPr>
          <w:p>
            <w:pPr>
              <w:pStyle w:val="TableContents"/>
              <w:bidi w:val="0"/>
              <w:spacing w:before="0" w:after="283"/>
              <w:jc w:val="right"/>
              <w:rPr>
                <w:sz w:val="16"/>
              </w:rPr>
            </w:pPr>
            <w:r>
              <w:rPr>
                <w:sz w:val="16"/>
              </w:rPr>
              <w:t>(1,441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149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(506</w:t>
            </w:r>
          </w:p>
        </w:tc>
        <w:tc>
          <w:tcPr>
            <w:tcW w:w="23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860" w:type="dxa"/>
            <w:tcBorders>
              <w:bottom w:val="double" w:sz="10" w:space="0" w:color="000000"/>
            </w:tcBorders>
            <w:tcMar>
              <w:bottom w:w="28" w:type="dxa"/>
            </w:tcMar>
            <w:vAlign w:val="center"/>
          </w:tcPr>
          <w:p>
            <w:pPr>
              <w:pStyle w:val="TableContents"/>
              <w:bidi w:val="0"/>
              <w:spacing w:before="0" w:after="283"/>
              <w:jc w:val="right"/>
              <w:rPr>
                <w:sz w:val="16"/>
              </w:rPr>
            </w:pPr>
            <w:r>
              <w:rPr>
                <w:sz w:val="16"/>
              </w:rPr>
              <w:t>(1,947</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16"/>
              </w:rPr>
            </w:pPr>
            <w:r>
              <w:rPr>
                <w:sz w:val="16"/>
              </w:rPr>
              <w:t>(58,500</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6"/>
              </w:rPr>
            </w:pPr>
            <w:r>
              <w:rPr>
                <w:sz w:val="16"/>
              </w:rPr>
              <w:t>Net loss from continuing operations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56" w:type="dxa"/>
            <w:tcBorders>
              <w:bottom w:val="double" w:sz="10" w:space="0" w:color="000000"/>
            </w:tcBorders>
            <w:tcMar>
              <w:bottom w:w="28" w:type="dxa"/>
            </w:tcMar>
            <w:vAlign w:val="center"/>
          </w:tcPr>
          <w:p>
            <w:pPr>
              <w:pStyle w:val="TableContents"/>
              <w:bidi w:val="0"/>
              <w:spacing w:before="0" w:after="283"/>
              <w:jc w:val="left"/>
              <w:rPr>
                <w:sz w:val="16"/>
              </w:rPr>
            </w:pPr>
            <w:r>
              <w:rPr>
                <w:sz w:val="16"/>
              </w:rPr>
              <w:t>$</w:t>
            </w:r>
          </w:p>
        </w:tc>
        <w:tc>
          <w:tcPr>
            <w:tcW w:w="959" w:type="dxa"/>
            <w:tcBorders>
              <w:bottom w:val="double" w:sz="10" w:space="0" w:color="000000"/>
            </w:tcBorders>
            <w:tcMar>
              <w:bottom w:w="28" w:type="dxa"/>
            </w:tcMar>
            <w:vAlign w:val="center"/>
          </w:tcPr>
          <w:p>
            <w:pPr>
              <w:pStyle w:val="TableContents"/>
              <w:bidi w:val="0"/>
              <w:spacing w:before="0" w:after="283"/>
              <w:jc w:val="right"/>
              <w:rPr>
                <w:sz w:val="16"/>
              </w:rPr>
            </w:pPr>
            <w:r>
              <w:rPr>
                <w:sz w:val="16"/>
              </w:rPr>
              <w:t>(0.51</w:t>
            </w:r>
          </w:p>
        </w:tc>
        <w:tc>
          <w:tcPr>
            <w:tcW w:w="110" w:type="dxa"/>
            <w:tcBorders/>
            <w:vAlign w:val="center"/>
          </w:tcPr>
          <w:p>
            <w:pPr>
              <w:pStyle w:val="TableContents"/>
              <w:bidi w:val="0"/>
              <w:spacing w:before="0" w:after="283"/>
              <w:jc w:val="left"/>
              <w:rPr>
                <w:sz w:val="16"/>
              </w:rPr>
            </w:pPr>
            <w:r>
              <w:rPr>
                <w:sz w:val="16"/>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double" w:sz="10" w:space="0" w:color="000000"/>
            </w:tcBorders>
            <w:tcMar>
              <w:bottom w:w="28" w:type="dxa"/>
            </w:tcMar>
            <w:vAlign w:val="center"/>
          </w:tcPr>
          <w:p>
            <w:pPr>
              <w:pStyle w:val="TableContents"/>
              <w:bidi w:val="0"/>
              <w:spacing w:before="0" w:after="283"/>
              <w:jc w:val="left"/>
              <w:rPr/>
            </w:pPr>
            <w:r>
              <w:rPr/>
              <w:t> </w:t>
            </w:r>
            <w:r>
              <w:rPr>
                <w:sz w:val="16"/>
              </w:rPr>
              <w:t>$</w:t>
            </w:r>
          </w:p>
        </w:tc>
        <w:tc>
          <w:tcPr>
            <w:tcW w:w="1115" w:type="dxa"/>
            <w:tcBorders>
              <w:bottom w:val="double" w:sz="10" w:space="0" w:color="000000"/>
            </w:tcBorders>
            <w:tcMar>
              <w:bottom w:w="28" w:type="dxa"/>
            </w:tcMar>
            <w:vAlign w:val="center"/>
          </w:tcPr>
          <w:p>
            <w:pPr>
              <w:pStyle w:val="TableContents"/>
              <w:bidi w:val="0"/>
              <w:spacing w:before="0" w:after="283"/>
              <w:jc w:val="right"/>
              <w:rPr>
                <w:sz w:val="16"/>
              </w:rPr>
            </w:pPr>
            <w:r>
              <w:rPr>
                <w:sz w:val="16"/>
              </w:rPr>
              <w:t>(0.56</w:t>
            </w:r>
          </w:p>
        </w:tc>
        <w:tc>
          <w:tcPr>
            <w:tcW w:w="135" w:type="dxa"/>
            <w:tcBorders/>
            <w:vAlign w:val="center"/>
          </w:tcPr>
          <w:p>
            <w:pPr>
              <w:pStyle w:val="TableContents"/>
              <w:bidi w:val="0"/>
              <w:spacing w:before="0" w:after="283"/>
              <w:ind w:left="0" w:right="0" w:hanging="180"/>
              <w:jc w:val="left"/>
              <w:rPr>
                <w:sz w:val="16"/>
              </w:rPr>
            </w:pPr>
            <w:r>
              <w:rPr>
                <w:sz w:val="16"/>
              </w:rPr>
              <w:t>)</w:t>
            </w:r>
          </w:p>
        </w:tc>
      </w:tr>
      <w:tr>
        <w:trPr/>
        <w:tc>
          <w:tcPr>
            <w:tcW w:w="1040" w:type="dxa"/>
            <w:tcBorders/>
            <w:shd w:fill="CCEEFF" w:val="clear"/>
            <w:vAlign w:val="center"/>
          </w:tcPr>
          <w:p>
            <w:pPr>
              <w:pStyle w:val="TableContents"/>
              <w:bidi w:val="0"/>
              <w:spacing w:before="0" w:after="283"/>
              <w:jc w:val="left"/>
              <w:rPr>
                <w:sz w:val="16"/>
              </w:rPr>
            </w:pPr>
            <w:r>
              <w:rPr>
                <w:sz w:val="16"/>
              </w:rPr>
              <w:t>Weighted average shares used to compute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87,108,928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275" w:type="dxa"/>
            <w:tcBorders/>
            <w:shd w:fill="CCEEFF" w:val="clear"/>
            <w:vAlign w:val="center"/>
          </w:tcPr>
          <w:p>
            <w:pPr>
              <w:pStyle w:val="TableContents"/>
              <w:bidi w:val="0"/>
              <w:spacing w:before="0" w:after="283"/>
              <w:jc w:val="left"/>
              <w:rPr>
                <w:sz w:val="16"/>
              </w:rPr>
            </w:pPr>
            <w:r>
              <w:rPr>
                <w:sz w:val="16"/>
              </w:rPr>
              <w:t>(G)</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230" w:type="dxa"/>
            <w:tcBorders/>
            <w:shd w:fill="CCEEFF" w:val="clear"/>
            <w:vAlign w:val="center"/>
          </w:tcPr>
          <w:p>
            <w:pPr>
              <w:pStyle w:val="TableContents"/>
              <w:bidi w:val="0"/>
              <w:spacing w:before="0" w:after="283"/>
              <w:jc w:val="left"/>
              <w:rPr>
                <w:sz w:val="16"/>
              </w:rPr>
            </w:pPr>
            <w:r>
              <w:rPr>
                <w:sz w:val="16"/>
              </w:rPr>
              <w:t>(I)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104,731,542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pro forma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54" w:name="k_002"/>
      <w:bookmarkEnd w:id="54"/>
      <w:r>
        <w:rPr>
          <w:rFonts w:ascii="Times New Roman;Times;Serif" w:hAnsi="Times New Roman;Times;Serif"/>
          <w:b/>
          <w:i/>
          <w:caps w:val="false"/>
          <w:smallCaps w:val="false"/>
          <w:sz w:val="20"/>
        </w:rPr>
        <w:t>Notes to Unaudited Pro Forma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reflect any management adjustments for expected effects of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 except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00"/>
        <w:gridCol w:w="90"/>
        <w:gridCol w:w="170"/>
        <w:gridCol w:w="710"/>
        <w:gridCol w:w="135"/>
      </w:tblGrid>
      <w:tr>
        <w:trPr/>
        <w:tc>
          <w:tcPr>
            <w:tcW w:w="9100" w:type="dxa"/>
            <w:tcBorders/>
            <w:vAlign w:val="center"/>
          </w:tcPr>
          <w:p>
            <w:pPr>
              <w:pStyle w:val="TableContents"/>
              <w:bidi w:val="0"/>
              <w:spacing w:before="0" w:after="283"/>
              <w:ind w:left="0" w:right="0" w:hanging="180"/>
              <w:jc w:val="left"/>
              <w:rPr>
                <w:b/>
              </w:rPr>
            </w:pPr>
            <w:r>
              <w:rPr>
                <w:b/>
              </w:rPr>
              <w:t>Consideration</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10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20,689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100" w:type="dxa"/>
            <w:tcBorders/>
            <w:vAlign w:val="center"/>
          </w:tcPr>
          <w:p>
            <w:pPr>
              <w:pStyle w:val="TableContents"/>
              <w:bidi w:val="0"/>
              <w:spacing w:before="0" w:after="283"/>
              <w:jc w:val="left"/>
              <w:rPr/>
            </w:pPr>
            <w:r>
              <w:rPr/>
              <w:t>Seller note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20,000</w:t>
            </w:r>
          </w:p>
        </w:tc>
        <w:tc>
          <w:tcPr>
            <w:tcW w:w="135" w:type="dxa"/>
            <w:tcBorders/>
            <w:vAlign w:val="center"/>
          </w:tcPr>
          <w:p>
            <w:pPr>
              <w:pStyle w:val="TableContents"/>
              <w:bidi w:val="0"/>
              <w:spacing w:before="0" w:after="283"/>
              <w:ind w:left="0" w:right="0" w:hanging="180"/>
              <w:jc w:val="left"/>
              <w:rPr/>
            </w:pPr>
            <w:r>
              <w:rPr/>
              <w:t> </w:t>
            </w:r>
          </w:p>
        </w:tc>
      </w:tr>
      <w:tr>
        <w:trPr/>
        <w:tc>
          <w:tcPr>
            <w:tcW w:w="9100" w:type="dxa"/>
            <w:tcBorders/>
            <w:shd w:fill="CCEEFF" w:val="clear"/>
            <w:vAlign w:val="center"/>
          </w:tcPr>
          <w:p>
            <w:pPr>
              <w:pStyle w:val="TableContents"/>
              <w:bidi w:val="0"/>
              <w:spacing w:before="0" w:after="283"/>
              <w:jc w:val="left"/>
              <w:rPr/>
            </w:pPr>
            <w:r>
              <w:rPr/>
              <w:t>3,333,334 shares of the Company’s common stock issued at Closing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5,700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100" w:type="dxa"/>
            <w:tcBorders/>
            <w:vAlign w:val="center"/>
          </w:tcPr>
          <w:p>
            <w:pPr>
              <w:pStyle w:val="TableContents"/>
              <w:bidi w:val="0"/>
              <w:spacing w:before="0" w:after="283"/>
              <w:jc w:val="left"/>
              <w:rPr/>
            </w:pPr>
            <w:r>
              <w:rPr/>
              <w:t>Contingent consideration arrangement – up to 6,666,666 shares of the Company’s common stock to be issued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11,400</w:t>
            </w:r>
          </w:p>
        </w:tc>
        <w:tc>
          <w:tcPr>
            <w:tcW w:w="135" w:type="dxa"/>
            <w:tcBorders/>
            <w:vAlign w:val="center"/>
          </w:tcPr>
          <w:p>
            <w:pPr>
              <w:pStyle w:val="TableContents"/>
              <w:bidi w:val="0"/>
              <w:spacing w:before="0" w:after="283"/>
              <w:ind w:left="0" w:right="0" w:hanging="180"/>
              <w:jc w:val="left"/>
              <w:rPr/>
            </w:pPr>
            <w:r>
              <w:rPr/>
              <w:t> </w:t>
            </w:r>
          </w:p>
        </w:tc>
      </w:tr>
      <w:tr>
        <w:trPr/>
        <w:tc>
          <w:tcPr>
            <w:tcW w:w="9100" w:type="dxa"/>
            <w:tcBorders/>
            <w:shd w:fill="CCEEFF" w:val="clear"/>
            <w:vAlign w:val="center"/>
          </w:tcPr>
          <w:p>
            <w:pPr>
              <w:pStyle w:val="TableContents"/>
              <w:bidi w:val="0"/>
              <w:spacing w:before="0" w:after="283"/>
              <w:jc w:val="left"/>
              <w:rPr/>
            </w:pPr>
            <w:r>
              <w:rPr/>
              <w:t>Fair value of total consideration transferred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4355"/>
        <w:gridCol w:w="90"/>
        <w:gridCol w:w="170"/>
        <w:gridCol w:w="785"/>
        <w:gridCol w:w="170"/>
      </w:tblGrid>
      <w:tr>
        <w:trPr/>
        <w:tc>
          <w:tcPr>
            <w:tcW w:w="4355" w:type="dxa"/>
            <w:tcBorders/>
            <w:vAlign w:val="center"/>
          </w:tcPr>
          <w:p>
            <w:pPr>
              <w:pStyle w:val="TableContents"/>
              <w:bidi w:val="0"/>
              <w:spacing w:before="0" w:after="283"/>
              <w:jc w:val="left"/>
              <w:rPr>
                <w:b/>
              </w:rPr>
            </w:pPr>
            <w:r>
              <w:rPr>
                <w:b/>
              </w:rPr>
              <w:t>Net assets acquired:</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797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3,039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241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Operating lease 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313</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37,500</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(11,673</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(203</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(3,850</w:t>
            </w:r>
          </w:p>
        </w:tc>
        <w:tc>
          <w:tcPr>
            <w:tcW w:w="170" w:type="dxa"/>
            <w:tcBorders/>
            <w:shd w:fill="CCEEFF" w:val="clear"/>
            <w:vAlign w:val="center"/>
          </w:tcPr>
          <w:p>
            <w:pPr>
              <w:pStyle w:val="TableContents"/>
              <w:bidi w:val="0"/>
              <w:spacing w:before="0" w:after="283"/>
              <w:jc w:val="left"/>
              <w:rPr/>
            </w:pPr>
            <w:r>
              <w:rPr/>
              <w:t>)</w:t>
            </w:r>
          </w:p>
        </w:tc>
      </w:tr>
      <w:tr>
        <w:trPr/>
        <w:tc>
          <w:tcPr>
            <w:tcW w:w="4355"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(332</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Fair value of net tangible assets acquired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Goodwill recognized</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31,822</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Consideration transferred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estimated consideration transferred over the fair value of the net tangible and intangible assets acquired that is associated with the excess cash flows that the acquisition is expected to generate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closing share price for its common stock of $1.61 on November 21, 2025 was used to fair value the shares issued at the Ambia Closing.. The Fair value of contingent consideration was $16,879 as of December 28, 2025. 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355"/>
        <w:gridCol w:w="90"/>
        <w:gridCol w:w="170"/>
        <w:gridCol w:w="710"/>
        <w:gridCol w:w="135"/>
      </w:tblGrid>
      <w:tr>
        <w:trPr/>
        <w:tc>
          <w:tcPr>
            <w:tcW w:w="7355" w:type="dxa"/>
            <w:tcBorders/>
            <w:vAlign w:val="center"/>
          </w:tcPr>
          <w:p>
            <w:pPr>
              <w:pStyle w:val="TableContents"/>
              <w:bidi w:val="0"/>
              <w:spacing w:before="0" w:after="283"/>
              <w:jc w:val="left"/>
              <w:rPr>
                <w:b/>
              </w:rPr>
            </w:pPr>
            <w:r>
              <w:rPr>
                <w:b/>
              </w:rPr>
              <w:t>Consideration</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pPr>
            <w:r>
              <w:rPr/>
              <w:t>10,243,924 shares of the Company’s common stock issued at Ambia Closing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16,493</w:t>
            </w:r>
          </w:p>
        </w:tc>
        <w:tc>
          <w:tcPr>
            <w:tcW w:w="135" w:type="dxa"/>
            <w:tcBorders/>
            <w:shd w:fill="CCEEFF" w:val="clear"/>
            <w:vAlign w:val="center"/>
          </w:tcPr>
          <w:p>
            <w:pPr>
              <w:pStyle w:val="TableContents"/>
              <w:bidi w:val="0"/>
              <w:spacing w:before="0" w:after="283"/>
              <w:jc w:val="left"/>
              <w:rPr/>
            </w:pPr>
            <w:r>
              <w:rPr/>
              <w:t> </w:t>
            </w:r>
          </w:p>
        </w:tc>
      </w:tr>
      <w:tr>
        <w:trPr/>
        <w:tc>
          <w:tcPr>
            <w:tcW w:w="7355" w:type="dxa"/>
            <w:tcBorders/>
            <w:vAlign w:val="center"/>
          </w:tcPr>
          <w:p>
            <w:pPr>
              <w:pStyle w:val="TableContents"/>
              <w:bidi w:val="0"/>
              <w:spacing w:before="0" w:after="283"/>
              <w:jc w:val="left"/>
              <w:rPr/>
            </w:pPr>
            <w:r>
              <w:rPr/>
              <w:t>Deferred Ambia Consideration Shares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16,879</w:t>
            </w:r>
          </w:p>
        </w:tc>
        <w:tc>
          <w:tcPr>
            <w:tcW w:w="135" w:type="dxa"/>
            <w:tcBorders/>
            <w:vAlign w:val="center"/>
          </w:tcPr>
          <w:p>
            <w:pPr>
              <w:pStyle w:val="TableContents"/>
              <w:bidi w:val="0"/>
              <w:spacing w:before="0" w:after="283"/>
              <w:jc w:val="left"/>
              <w:rPr/>
            </w:pPr>
            <w:r>
              <w:rPr/>
              <w:t> </w:t>
            </w:r>
          </w:p>
        </w:tc>
      </w:tr>
      <w:tr>
        <w:trPr/>
        <w:tc>
          <w:tcPr>
            <w:tcW w:w="7355" w:type="dxa"/>
            <w:tcBorders/>
            <w:shd w:fill="CCEEFF" w:val="clear"/>
            <w:vAlign w:val="center"/>
          </w:tcPr>
          <w:p>
            <w:pPr>
              <w:pStyle w:val="TableContents"/>
              <w:bidi w:val="0"/>
              <w:spacing w:before="0" w:after="283"/>
              <w:jc w:val="left"/>
              <w:rPr/>
            </w:pPr>
            <w:r>
              <w:rPr/>
              <w:t>Fair value of total consideration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33,372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4220"/>
        <w:gridCol w:w="90"/>
        <w:gridCol w:w="155"/>
        <w:gridCol w:w="620"/>
        <w:gridCol w:w="155"/>
      </w:tblGrid>
      <w:tr>
        <w:trPr/>
        <w:tc>
          <w:tcPr>
            <w:tcW w:w="42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Provisional fair value of net assets acquired:</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(2,917</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net tangible assets acquired</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2,564</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common stock issued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Deferred Ambia Consideration Shares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15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 recognized</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30,808</w:t>
            </w:r>
          </w:p>
        </w:tc>
        <w:tc>
          <w:tcPr>
            <w:tcW w:w="15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Consideration transferred</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215"/>
        <w:gridCol w:w="492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9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Sunder Year to Date Results through September 23,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134" w:type="dxa"/>
        <w:jc w:val="left"/>
        <w:tblInd w:w="0" w:type="dxa"/>
        <w:tblLayout w:type="fixed"/>
        <w:tblCellMar>
          <w:top w:w="0" w:type="dxa"/>
          <w:left w:w="0" w:type="dxa"/>
          <w:bottom w:w="0" w:type="dxa"/>
          <w:right w:w="0" w:type="dxa"/>
        </w:tblCellMar>
      </w:tblPr>
      <w:tblGrid>
        <w:gridCol w:w="3230"/>
        <w:gridCol w:w="90"/>
        <w:gridCol w:w="232"/>
        <w:gridCol w:w="972"/>
        <w:gridCol w:w="125"/>
        <w:gridCol w:w="90"/>
        <w:gridCol w:w="290"/>
        <w:gridCol w:w="1215"/>
        <w:gridCol w:w="125"/>
        <w:gridCol w:w="90"/>
        <w:gridCol w:w="290"/>
        <w:gridCol w:w="1215"/>
        <w:gridCol w:w="17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 2025</w:t>
              <w:br/>
              <w:t xml:space="preserve">thru </w:t>
              <w:br/>
              <w:t>September 23,</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September 23,</w:t>
              <w:br/>
              <w:t>2025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40,012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16,072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56,084</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33,339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12,276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45,615</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771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1,251</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4,458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15,916</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before="0" w:after="283"/>
              <w:jc w:val="right"/>
              <w:rPr/>
            </w:pPr>
            <w:r>
              <w:rPr/>
              <w:t>45,568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17,214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62,782</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(1,142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(168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(246</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232" w:type="dxa"/>
            <w:tcBorders>
              <w:bottom w:val="single" w:sz="12" w:space="0" w:color="000000"/>
            </w:tcBorders>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tcMar>
              <w:bottom w:w="28" w:type="dxa"/>
            </w:tcMar>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320</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235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Loss from before income taxes</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right"/>
              <w:rPr/>
            </w:pPr>
            <w:r>
              <w:rPr/>
              <w:t>(5,681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(907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(6,588</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Income tax (provision) benefit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972" w:type="dxa"/>
            <w:tcBorders>
              <w:bottom w:val="double" w:sz="10" w:space="0" w:color="000000"/>
            </w:tcBorders>
            <w:tcMar>
              <w:bottom w:w="28" w:type="dxa"/>
            </w:tcMar>
            <w:vAlign w:val="center"/>
          </w:tcPr>
          <w:p>
            <w:pPr>
              <w:pStyle w:val="TableContents"/>
              <w:bidi w:val="0"/>
              <w:spacing w:before="0" w:after="283"/>
              <w:jc w:val="right"/>
              <w:rPr/>
            </w:pPr>
            <w:r>
              <w:rPr/>
              <w:t>(5,681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(907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tcMar>
              <w:bottom w:w="28" w:type="dxa"/>
            </w:tcMar>
            <w:vAlign w:val="center"/>
          </w:tcPr>
          <w:p>
            <w:pPr>
              <w:pStyle w:val="TableContents"/>
              <w:bidi w:val="0"/>
              <w:spacing w:before="0" w:after="283"/>
              <w:jc w:val="right"/>
              <w:rPr/>
            </w:pPr>
            <w:r>
              <w:rPr/>
              <w:t>(6,588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Ambia Year to Date results through November 20,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3230"/>
        <w:gridCol w:w="90"/>
        <w:gridCol w:w="290"/>
        <w:gridCol w:w="1214"/>
        <w:gridCol w:w="125"/>
        <w:gridCol w:w="90"/>
        <w:gridCol w:w="284"/>
        <w:gridCol w:w="1191"/>
        <w:gridCol w:w="125"/>
        <w:gridCol w:w="90"/>
        <w:gridCol w:w="284"/>
        <w:gridCol w:w="1191"/>
        <w:gridCol w:w="170"/>
      </w:tblGrid>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 1, 2025</w:t>
              <w:br/>
              <w:t xml:space="preserve">thru </w:t>
              <w:br/>
              <w:t>November 20,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November 20,</w:t>
              <w:br/>
              <w:t>2025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61,076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12,528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73,604</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32,622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6,259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38,881</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28,454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6,269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Sales commissions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16,003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2,810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18,813</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Sales and marketing</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10,845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13,979</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Rent</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1,038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1,338</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tcMar>
              <w:bottom w:w="28" w:type="dxa"/>
            </w:tcMar>
            <w:vAlign w:val="center"/>
          </w:tcPr>
          <w:p>
            <w:pPr>
              <w:pStyle w:val="TableContents"/>
              <w:bidi w:val="0"/>
              <w:spacing w:before="0" w:after="283"/>
              <w:jc w:val="right"/>
              <w:rPr/>
            </w:pPr>
            <w:r>
              <w:rPr/>
              <w:t>28,381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6,514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34,895</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(1,286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(1,286</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tcMar>
              <w:bottom w:w="28" w:type="dxa"/>
            </w:tcMar>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tcMar>
              <w:bottom w:w="28" w:type="dxa"/>
            </w:tcMar>
            <w:vAlign w:val="center"/>
          </w:tcPr>
          <w:p>
            <w:pPr>
              <w:pStyle w:val="TableContents"/>
              <w:bidi w:val="0"/>
              <w:spacing w:before="0" w:after="283"/>
              <w:jc w:val="right"/>
              <w:rPr/>
            </w:pPr>
            <w:r>
              <w:rPr/>
              <w:t>17</w:t>
            </w:r>
          </w:p>
        </w:tc>
        <w:tc>
          <w:tcPr>
            <w:tcW w:w="17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70" w:type="dxa"/>
            <w:tcBorders/>
            <w:shd w:fill="CCEEFF" w:val="clear"/>
            <w:vAlign w:val="center"/>
          </w:tcPr>
          <w:p>
            <w:pPr>
              <w:pStyle w:val="TableContents"/>
              <w:bidi w:val="0"/>
              <w:spacing w:before="0" w:after="283"/>
              <w:jc w:val="left"/>
              <w:rPr/>
            </w:pPr>
            <w:r>
              <w:rPr/>
              <w:t>)</w:t>
            </w:r>
          </w:p>
        </w:tc>
      </w:tr>
      <w:tr>
        <w:trPr/>
        <w:tc>
          <w:tcPr>
            <w:tcW w:w="3230" w:type="dxa"/>
            <w:tcBorders/>
            <w:vAlign w:val="center"/>
          </w:tcPr>
          <w:p>
            <w:pPr>
              <w:pStyle w:val="TableContents"/>
              <w:bidi w:val="0"/>
              <w:spacing w:before="0" w:after="283"/>
              <w:jc w:val="left"/>
              <w:rPr/>
            </w:pPr>
            <w:r>
              <w:rPr/>
              <w:t>Loss from before income taxes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(1,196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(245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(1,441</w:t>
            </w:r>
          </w:p>
        </w:tc>
        <w:tc>
          <w:tcPr>
            <w:tcW w:w="170" w:type="dxa"/>
            <w:tcBorders/>
            <w:vAlign w:val="center"/>
          </w:tcPr>
          <w:p>
            <w:pPr>
              <w:pStyle w:val="TableContents"/>
              <w:bidi w:val="0"/>
              <w:spacing w:before="0" w:after="283"/>
              <w:jc w:val="left"/>
              <w:rPr/>
            </w:pPr>
            <w:r>
              <w:rPr/>
              <w:t>)</w:t>
            </w:r>
          </w:p>
        </w:tc>
      </w:tr>
      <w:tr>
        <w:trPr/>
        <w:tc>
          <w:tcPr>
            <w:tcW w:w="3230" w:type="dxa"/>
            <w:tcBorders/>
            <w:shd w:fill="CCEEFF" w:val="clear"/>
            <w:vAlign w:val="center"/>
          </w:tcPr>
          <w:p>
            <w:pPr>
              <w:pStyle w:val="TableContents"/>
              <w:bidi w:val="0"/>
              <w:spacing w:before="0" w:after="283"/>
              <w:jc w:val="left"/>
              <w:rPr/>
            </w:pPr>
            <w:r>
              <w:rPr/>
              <w:t>Income tax (provision) benefit</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(1,196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w:t>
            </w:r>
          </w:p>
        </w:tc>
        <w:tc>
          <w:tcPr>
            <w:tcW w:w="1191" w:type="dxa"/>
            <w:tcBorders>
              <w:bottom w:val="double" w:sz="10" w:space="0" w:color="000000"/>
            </w:tcBorders>
            <w:tcMar>
              <w:bottom w:w="28" w:type="dxa"/>
            </w:tcMar>
            <w:vAlign w:val="center"/>
          </w:tcPr>
          <w:p>
            <w:pPr>
              <w:pStyle w:val="TableContents"/>
              <w:bidi w:val="0"/>
              <w:spacing w:before="0" w:after="283"/>
              <w:jc w:val="right"/>
              <w:rPr/>
            </w:pPr>
            <w:r>
              <w:rPr/>
              <w:t>(245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w:t>
            </w:r>
          </w:p>
        </w:tc>
        <w:tc>
          <w:tcPr>
            <w:tcW w:w="1191" w:type="dxa"/>
            <w:tcBorders>
              <w:bottom w:val="double" w:sz="10" w:space="0" w:color="000000"/>
            </w:tcBorders>
            <w:tcMar>
              <w:bottom w:w="28" w:type="dxa"/>
            </w:tcMar>
            <w:vAlign w:val="center"/>
          </w:tcPr>
          <w:p>
            <w:pPr>
              <w:pStyle w:val="TableContents"/>
              <w:bidi w:val="0"/>
              <w:spacing w:before="0" w:after="283"/>
              <w:jc w:val="right"/>
              <w:rPr/>
            </w:pPr>
            <w:r>
              <w:rPr/>
              <w:t>(1,441</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15"/>
        <w:gridCol w:w="605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0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Unaudited Pro Forma Combined Statements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combined statements of operations for the year ended December 28, 2025, are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Sunder intangibles acquired and their useful lives were as follows </w:t>
            </w:r>
            <w:r>
              <w:rPr>
                <w:rFonts w:ascii="Times New Roman;Times;Serif" w:hAnsi="Times New Roman;Times;Serif"/>
                <w:i/>
                <w:sz w:val="20"/>
              </w:rPr>
              <w:t>(in thousands):</w:t>
            </w:r>
          </w:p>
        </w:tc>
      </w:tr>
    </w:tbl>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660"/>
        <w:gridCol w:w="90"/>
        <w:gridCol w:w="1070"/>
        <w:gridCol w:w="90"/>
        <w:gridCol w:w="171"/>
        <w:gridCol w:w="719"/>
        <w:gridCol w:w="135"/>
      </w:tblGrid>
      <w:tr>
        <w:trPr/>
        <w:tc>
          <w:tcPr>
            <w:tcW w:w="26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10 year</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30,600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10 years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6,100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Developed technology</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2 years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800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Intangible assets acquired</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pPr>
            <w:r>
              <w:rPr/>
              <w:t>$</w:t>
            </w:r>
          </w:p>
        </w:tc>
        <w:tc>
          <w:tcPr>
            <w:tcW w:w="719" w:type="dxa"/>
            <w:tcBorders>
              <w:bottom w:val="double" w:sz="10" w:space="0" w:color="000000"/>
            </w:tcBorders>
            <w:tcMar>
              <w:bottom w:w="28" w:type="dxa"/>
            </w:tcMar>
            <w:vAlign w:val="center"/>
          </w:tcPr>
          <w:p>
            <w:pPr>
              <w:pStyle w:val="TableContents"/>
              <w:bidi w:val="0"/>
              <w:spacing w:before="0" w:after="283"/>
              <w:jc w:val="right"/>
              <w:rPr/>
            </w:pPr>
            <w:r>
              <w:rPr/>
              <w:t>37,500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5015"/>
        <w:gridCol w:w="90"/>
        <w:gridCol w:w="180"/>
        <w:gridCol w:w="1325"/>
        <w:gridCol w:w="135"/>
      </w:tblGrid>
      <w:tr>
        <w:trPr/>
        <w:tc>
          <w:tcPr>
            <w:tcW w:w="5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Year-to-date</w:t>
              <w:br/>
              <w:t>Through</w:t>
            </w:r>
          </w:p>
        </w:tc>
        <w:tc>
          <w:tcPr>
            <w:tcW w:w="135"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23,</w:t>
              <w:br/>
              <w:t>2025</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           </w:t>
            </w:r>
            <w:r>
              <w:rPr/>
              <w:t>2,295</w:t>
            </w:r>
          </w:p>
        </w:tc>
        <w:tc>
          <w:tcPr>
            <w:tcW w:w="135" w:type="dxa"/>
            <w:tcBorders/>
            <w:shd w:fill="CCEE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458</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Developed technology</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135" w:type="dxa"/>
            <w:tcBorders/>
            <w:shd w:fill="CCEE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Total pro forma amortization expense</w:t>
            </w:r>
          </w:p>
        </w:tc>
        <w:tc>
          <w:tcPr>
            <w:tcW w:w="90" w:type="dxa"/>
            <w:tcBorders/>
            <w:vAlign w:val="center"/>
          </w:tcPr>
          <w:p>
            <w:pPr>
              <w:pStyle w:val="TableContents"/>
              <w:bidi w:val="0"/>
              <w:spacing w:before="0" w:after="283"/>
              <w:jc w:val="left"/>
              <w:rPr/>
            </w:pPr>
            <w:r>
              <w:rPr/>
              <w:t> </w:t>
            </w:r>
          </w:p>
        </w:tc>
        <w:tc>
          <w:tcPr>
            <w:tcW w:w="18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3,052</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both"/>
              <w:rPr/>
            </w:pPr>
            <w:r>
              <w:rPr/>
              <w:t>Classified within cost of revenues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300</w:t>
            </w:r>
          </w:p>
        </w:tc>
        <w:tc>
          <w:tcPr>
            <w:tcW w:w="135" w:type="dxa"/>
            <w:tcBorders/>
            <w:shd w:fill="CCEEFF" w:val="clear"/>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both"/>
              <w:rPr/>
            </w:pPr>
            <w:r>
              <w:rPr/>
              <w:t>Classified within general and administrative expense</w:t>
            </w:r>
          </w:p>
        </w:tc>
        <w:tc>
          <w:tcPr>
            <w:tcW w:w="9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2,752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estimates of intangible assets’ fair values and useful lives are provisional and subject to change upon finalization of the fair values of the assets acquired.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Ambia intangibles acquired and their useful lives were as follows </w:t>
            </w:r>
            <w:r>
              <w:rPr>
                <w:rFonts w:ascii="Times New Roman;Times;Serif" w:hAnsi="Times New Roman;Times;Serif"/>
                <w:i/>
                <w:sz w:val="20"/>
              </w:rPr>
              <w:t>(in thousands):</w:t>
            </w:r>
          </w:p>
        </w:tc>
      </w:tr>
    </w:tbl>
    <w:p>
      <w:pPr>
        <w:pStyle w:val="TextBody"/>
        <w:bidi w:val="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2660"/>
        <w:gridCol w:w="90"/>
        <w:gridCol w:w="1070"/>
        <w:gridCol w:w="90"/>
        <w:gridCol w:w="199"/>
        <w:gridCol w:w="691"/>
        <w:gridCol w:w="135"/>
      </w:tblGrid>
      <w:tr>
        <w:trPr/>
        <w:tc>
          <w:tcPr>
            <w:tcW w:w="26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pPr>
            <w:r>
              <w:rPr/>
              <w:t>1 year</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3,400</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1 year</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900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both"/>
              <w:rPr/>
            </w:pPr>
            <w:r>
              <w:rPr/>
              <w:t>Developed technology</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both"/>
              <w:rPr/>
            </w:pPr>
            <w:r>
              <w:rPr/>
              <w:t>Intangible assets acquired</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4,300</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844" w:type="dxa"/>
        <w:jc w:val="left"/>
        <w:tblInd w:w="0" w:type="dxa"/>
        <w:tblLayout w:type="fixed"/>
        <w:tblCellMar>
          <w:top w:w="0" w:type="dxa"/>
          <w:left w:w="0" w:type="dxa"/>
          <w:bottom w:w="0" w:type="dxa"/>
          <w:right w:w="0" w:type="dxa"/>
        </w:tblCellMar>
      </w:tblPr>
      <w:tblGrid>
        <w:gridCol w:w="3605"/>
        <w:gridCol w:w="90"/>
        <w:gridCol w:w="449"/>
        <w:gridCol w:w="1565"/>
        <w:gridCol w:w="135"/>
      </w:tblGrid>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center"/>
              <w:rPr>
                <w:b/>
              </w:rPr>
            </w:pPr>
            <w:r>
              <w:rPr>
                <w:b/>
              </w:rPr>
              <w:t>Year-to-date</w:t>
              <w:br/>
              <w:t>Through</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November 20, 2025</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Customer related intangible</w:t>
            </w:r>
          </w:p>
        </w:tc>
        <w:tc>
          <w:tcPr>
            <w:tcW w:w="9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967</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Trademark</w:t>
            </w:r>
          </w:p>
        </w:tc>
        <w:tc>
          <w:tcPr>
            <w:tcW w:w="90" w:type="dxa"/>
            <w:tcBorders/>
            <w:vAlign w:val="center"/>
          </w:tcPr>
          <w:p>
            <w:pPr>
              <w:pStyle w:val="TableContents"/>
              <w:bidi w:val="0"/>
              <w:spacing w:before="0" w:after="283"/>
              <w:jc w:val="left"/>
              <w:rPr/>
            </w:pPr>
            <w:r>
              <w:rPr/>
              <w:t> </w:t>
            </w:r>
          </w:p>
        </w:tc>
        <w:tc>
          <w:tcPr>
            <w:tcW w:w="4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565" w:type="dxa"/>
            <w:tcBorders>
              <w:bottom w:val="single" w:sz="12" w:space="0" w:color="000000"/>
            </w:tcBorders>
            <w:tcMar>
              <w:bottom w:w="28" w:type="dxa"/>
            </w:tcMar>
            <w:vAlign w:val="center"/>
          </w:tcPr>
          <w:p>
            <w:pPr>
              <w:pStyle w:val="TableContents"/>
              <w:bidi w:val="0"/>
              <w:spacing w:before="0" w:after="283"/>
              <w:jc w:val="right"/>
              <w:rPr/>
            </w:pPr>
            <w:r>
              <w:rPr/>
              <w:t>825</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pPr>
            <w:r>
              <w:rPr/>
              <w:t>Total pro forma amortization expense</w:t>
            </w:r>
          </w:p>
        </w:tc>
        <w:tc>
          <w:tcPr>
            <w:tcW w:w="90" w:type="dxa"/>
            <w:tcBorders/>
            <w:shd w:fill="CCEEFF" w:val="cle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65" w:type="dxa"/>
            <w:tcBorders>
              <w:bottom w:val="double" w:sz="10" w:space="0" w:color="000000"/>
            </w:tcBorders>
            <w:shd w:fill="CCEEFF" w:val="clear"/>
            <w:tcMar>
              <w:bottom w:w="28" w:type="dxa"/>
            </w:tcMar>
            <w:vAlign w:val="center"/>
          </w:tcPr>
          <w:p>
            <w:pPr>
              <w:pStyle w:val="TableContents"/>
              <w:bidi w:val="0"/>
              <w:spacing w:before="0" w:after="283"/>
              <w:jc w:val="right"/>
              <w:rPr/>
            </w:pPr>
            <w:r>
              <w:rPr/>
              <w:t>1,792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F-183</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5"/>
        <w:gridCol w:w="988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Times;Serif" w:hAnsi="Times New Roman;Times;Serif"/>
                <w:i/>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4899" w:type="dxa"/>
        <w:jc w:val="left"/>
        <w:tblInd w:w="0" w:type="dxa"/>
        <w:tblLayout w:type="fixed"/>
        <w:tblCellMar>
          <w:top w:w="0" w:type="dxa"/>
          <w:left w:w="0" w:type="dxa"/>
          <w:bottom w:w="0" w:type="dxa"/>
          <w:right w:w="0" w:type="dxa"/>
        </w:tblCellMar>
      </w:tblPr>
      <w:tblGrid>
        <w:gridCol w:w="3110"/>
        <w:gridCol w:w="90"/>
        <w:gridCol w:w="349"/>
        <w:gridCol w:w="1215"/>
        <w:gridCol w:w="135"/>
      </w:tblGrid>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Year-to-date</w:t>
              <w:br/>
              <w:t>Through</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23, </w:t>
              <w:br/>
              <w:t>2025</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September 2025 Notes</w:t>
            </w:r>
          </w:p>
        </w:tc>
        <w:tc>
          <w:tcPr>
            <w:tcW w:w="9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1,019</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Seller Note</w:t>
            </w:r>
          </w:p>
        </w:tc>
        <w:tc>
          <w:tcPr>
            <w:tcW w:w="90" w:type="dxa"/>
            <w:tcBorders/>
            <w:vAlign w:val="center"/>
          </w:tcPr>
          <w:p>
            <w:pPr>
              <w:pStyle w:val="TableContents"/>
              <w:bidi w:val="0"/>
              <w:spacing w:before="0" w:after="283"/>
              <w:jc w:val="left"/>
              <w:rPr/>
            </w:pPr>
            <w:r>
              <w:rPr/>
              <w:t> </w:t>
            </w:r>
          </w:p>
        </w:tc>
        <w:tc>
          <w:tcPr>
            <w:tcW w:w="34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tcMar>
              <w:bottom w:w="28" w:type="dxa"/>
            </w:tcMar>
            <w:vAlign w:val="center"/>
          </w:tcPr>
          <w:p>
            <w:pPr>
              <w:pStyle w:val="TableContents"/>
              <w:bidi w:val="0"/>
              <w:spacing w:before="0" w:after="283"/>
              <w:jc w:val="right"/>
              <w:rPr/>
            </w:pPr>
            <w:r>
              <w:rPr/>
              <w:t>1,885</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both"/>
              <w:rPr/>
            </w:pPr>
            <w:r>
              <w:rPr/>
              <w:t>Total pro forma interest expense</w:t>
            </w:r>
          </w:p>
        </w:tc>
        <w:tc>
          <w:tcPr>
            <w:tcW w:w="90" w:type="dxa"/>
            <w:tcBorders/>
            <w:shd w:fill="CCEEFF" w:val="clear"/>
            <w:vAlign w:val="center"/>
          </w:tcPr>
          <w:p>
            <w:pPr>
              <w:pStyle w:val="TableContents"/>
              <w:bidi w:val="0"/>
              <w:spacing w:before="0" w:after="283"/>
              <w:jc w:val="left"/>
              <w:rPr/>
            </w:pPr>
            <w:r>
              <w:rPr/>
              <w:t> </w:t>
            </w:r>
          </w:p>
        </w:tc>
        <w:tc>
          <w:tcPr>
            <w:tcW w:w="3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10" w:space="0" w:color="000000"/>
            </w:tcBorders>
            <w:shd w:fill="CCEEFF" w:val="clear"/>
            <w:tcMar>
              <w:bottom w:w="28" w:type="dxa"/>
            </w:tcMar>
            <w:vAlign w:val="center"/>
          </w:tcPr>
          <w:p>
            <w:pPr>
              <w:pStyle w:val="TableContents"/>
              <w:bidi w:val="0"/>
              <w:spacing w:before="0" w:after="283"/>
              <w:jc w:val="right"/>
              <w:rPr/>
            </w:pPr>
            <w:r>
              <w:rPr/>
              <w:t>2,904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adjustment of $2.7 million includes an accounting adjustment to eliminate the historical interest expense of $0.2 million, as Sunder was acquired in a debt free transaction.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00" w:type="dxa"/>
            <w:tcBorders/>
            <w:vAlign w:val="center"/>
          </w:tcPr>
          <w:p>
            <w:pPr>
              <w:pStyle w:val="TableContents"/>
              <w:bidi w:val="0"/>
              <w:spacing w:before="0" w:after="283"/>
              <w:jc w:val="both"/>
              <w:rPr/>
            </w:pPr>
            <w:r>
              <w:rPr/>
              <w:t>The transaction adjustment to eliminate the historical interest expense, as Ambia was acquired in a debt free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conform the financial statement presentation for the Ambia Acquisition to the Company’s presentation within the Statements of Operations for the period December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F-184</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PART II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INFORMATION NOT REQUIRED IN PROSPECTUS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costs and expenses, other than underwriting discounts and commissions, payable by us in connection with the sale of the securities being registered. All amounts shown are estimates except for the SEC registration fee.</w:t>
      </w:r>
    </w:p>
    <w:p>
      <w:pPr>
        <w:pStyle w:val="TextBody"/>
        <w:bidi w:val="0"/>
        <w:spacing w:before="0" w:after="0"/>
        <w:ind w:left="0" w:right="0" w:firstLine="360"/>
        <w:jc w:val="both"/>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2630"/>
        <w:gridCol w:w="155"/>
        <w:gridCol w:w="725"/>
        <w:gridCol w:w="135"/>
      </w:tblGrid>
      <w:tr>
        <w:trPr/>
        <w:tc>
          <w:tcPr>
            <w:tcW w:w="263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registration fee</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1,155</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Accountants’ fees and expenses</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and expenses</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Printing fees</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13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135"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expenses</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121,155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concessions, commissions and similar selling expenses attributable to the sale of shares of common stock covered by this prospectus will be borne by the selling securityholders. We will pay all expenses (other than discounts, concessions, commissions and similar selling expenses) relating to the registration of the shares with the Securities and Exchange Commission, as estimated in the table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for indemnification of our directors, officers, employees and other agents to the maximum extent permitted by the Delaware General Corporation Law, and our Bylaws provide for indemnification of our directors, officers, employees and other agents to the maximum extent permitted by the Delaware General Corporation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sold any securities within the past three years which were not registered under the Securities Act, except as set forth below. The registrant believes that, unless otherwise noted, all of the transactions described in this Item 15 were exempt from registration under the Securities Act pursuant to Section 4(a)(2) of the Securities Act and/or Rule 506 of Regulation D promulgated thereunder.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Forward Purchase Agreements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Inc. entered into FPAs with each of (i) Meteora; (ii) Polar, and (iii) Sandia (each individually,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Sellers</w:t>
      </w:r>
      <w:r>
        <w:rPr>
          <w:rFonts w:ascii="Times New Roman;Times;Serif" w:hAnsi="Times New Roman;Times;Serif"/>
          <w:b w:val="false"/>
          <w:i w:val="false"/>
          <w:caps w:val="false"/>
          <w:smallCaps w:val="false"/>
          <w:sz w:val="20"/>
        </w:rPr>
        <w:t>”). Pursuant to the terms of the FPAs, the FPA Sellers may purchase through a broker in the open market, from holders of Shares other than the Company or affiliates thereof, shares of common stock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have no obligation to purchase any FPA Shares under the FPAs, the aggregate total FPA Shares that may be purchased under the FPAs shall be no more than 6,720,000 in aggregate. The FPA Sellers may not beneficially own greater than 9.9% of issued and outstanding FPA Shares following the Mergers as per the Amended and Restated Business Combination Agreement. The key terms of the forward contracts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 Sellers can terminate the transaction following the Optional Early Termination (“</w:t>
            </w:r>
            <w:r>
              <w:rPr>
                <w:rFonts w:ascii="Times New Roman;Times;Serif" w:hAnsi="Times New Roman;Times;Serif"/>
                <w:b/>
                <w:sz w:val="20"/>
              </w:rPr>
              <w:t>OET</w:t>
            </w:r>
            <w:r>
              <w:rPr>
                <w:rFonts w:ascii="Times New Roman;Times;Serif" w:hAnsi="Times New Roman;Times;Serif"/>
                <w:sz w:val="20"/>
              </w:rPr>
              <w:t>”) Date which shall specify the quantity by which the number of shares is to be reduced (such quantity, the “</w:t>
            </w:r>
            <w:r>
              <w:rPr>
                <w:rFonts w:ascii="Times New Roman;Times;Serif" w:hAnsi="Times New Roman;Times;Serif"/>
                <w:b/>
                <w:sz w:val="20"/>
              </w:rPr>
              <w:t>Terminated Shares</w:t>
            </w:r>
            <w:r>
              <w:rPr>
                <w:rFonts w:ascii="Times New Roman;Times;Serif" w:hAnsi="Times New Roman;Times;Serif"/>
                <w:sz w:val="20"/>
              </w:rPr>
              <w:t>”). Seller shall terminate the transaction in respect of any shares sold on or prior to the maturity date. The counterparty is entitled to an amount from the seller equal to the number of terminated shares multiplied by a reset price. The reset price is initially $10.56 (the “</w:t>
            </w:r>
            <w:r>
              <w:rPr>
                <w:rFonts w:ascii="Times New Roman;Times;Serif" w:hAnsi="Times New Roman;Times;Serif"/>
                <w:b/>
                <w:sz w:val="20"/>
              </w:rPr>
              <w:t>Initial Price</w:t>
            </w:r>
            <w:r>
              <w:rPr>
                <w:rFonts w:ascii="Times New Roman;Times;Serif" w:hAnsi="Times New Roman;Times;Serif"/>
                <w:sz w:val="20"/>
              </w:rPr>
              <w:t>”) and is subject to a $5.00 floor.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FPAs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SunPower Common Stock, with a per share price based on the volume-weighted average price (“</w:t>
            </w:r>
            <w:r>
              <w:rPr>
                <w:rFonts w:ascii="Times New Roman;Times;Serif" w:hAnsi="Times New Roman;Times;Serif"/>
                <w:b/>
                <w:sz w:val="20"/>
              </w:rPr>
              <w:t>VWAP</w:t>
            </w:r>
            <w:r>
              <w:rPr>
                <w:rFonts w:ascii="Times New Roman;Times;Serif" w:hAnsi="Times New Roman;Times;Serif"/>
                <w:sz w:val="20"/>
              </w:rPr>
              <w:t>”)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w:t>
            </w:r>
            <w:r>
              <w:rPr>
                <w:rFonts w:ascii="Times New Roman;Times;Serif" w:hAnsi="Times New Roman;Times;Serif"/>
                <w:b/>
                <w:sz w:val="20"/>
              </w:rPr>
              <w:t>Measurement Period</w:t>
            </w:r>
            <w:r>
              <w:rPr>
                <w:rFonts w:ascii="Times New Roman;Times;Serif" w:hAnsi="Times New Roman;Times;Serif"/>
                <w:sz w:val="20"/>
              </w:rPr>
              <w:t>”) that occurs at least 6 months after the Closing Date, the VWAP price is less than the then applicable reset price.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and the FPA Sellers entered into separate amendments to the FPA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lowered the reset floor price of each FPA from $5.00 to $3.00 and allow us to raise up to $10.0 million of equity from existing stockholders without triggering certain anti-dilution provisions contained in the FPA;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and 8, 2024, respectively, we entered into and executed separate amendments to the FPAs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we entered into and executed an amendment to the FPA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we entered into an amendment to the FPA with Polar pursuant to which we and Polar agreed that Section 2 (Most Favored Nation) of the FPA is applicable to all 2,450,000 shares subject to the FPA.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15"/>
        <w:gridCol w:w="510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Simple Agreement for Future Equity (“SAFE”) Agreements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SAFE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a SAFE (“</w:t>
      </w:r>
      <w:r>
        <w:rPr>
          <w:rFonts w:ascii="Times New Roman;Times;Serif" w:hAnsi="Times New Roman;Times;Serif"/>
          <w:b/>
          <w:i w:val="false"/>
          <w:caps w:val="false"/>
          <w:smallCaps w:val="false"/>
          <w:sz w:val="20"/>
        </w:rPr>
        <w:t>First SAFE</w:t>
      </w:r>
      <w:r>
        <w:rPr>
          <w:rFonts w:ascii="Times New Roman;Times;Serif" w:hAnsi="Times New Roman;Times;Serif"/>
          <w:b w:val="false"/>
          <w:i w:val="false"/>
          <w:caps w:val="false"/>
          <w:smallCaps w:val="false"/>
          <w:sz w:val="20"/>
        </w:rPr>
        <w:t>”) with the Rodgers Massey Freedom and Free Markets Charitable Trust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in connection with the Purchaser investing $1.5 million in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On April 21, 2024, we entered into an amendment (“</w:t>
      </w:r>
      <w:r>
        <w:rPr>
          <w:rFonts w:ascii="Times New Roman;Times;Serif" w:hAnsi="Times New Roman;Times;Serif"/>
          <w:b/>
          <w:i w:val="false"/>
          <w:caps w:val="false"/>
          <w:smallCaps w:val="false"/>
          <w:sz w:val="20"/>
        </w:rPr>
        <w:t>First SAFE Amendment</w:t>
      </w:r>
      <w:r>
        <w:rPr>
          <w:rFonts w:ascii="Times New Roman;Times;Serif" w:hAnsi="Times New Roman;Times;Serif"/>
          <w:b w:val="false"/>
          <w:i w:val="false"/>
          <w:caps w:val="false"/>
          <w:smallCaps w:val="false"/>
          <w:sz w:val="20"/>
        </w:rPr>
        <w:t>”) that converted the First SAFE investment of $1.5 million into 4,166,667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SAFE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we entered into a second SAFE (the “</w:t>
      </w:r>
      <w:r>
        <w:rPr>
          <w:rFonts w:ascii="Times New Roman;Times;Serif" w:hAnsi="Times New Roman;Times;Serif"/>
          <w:b/>
          <w:i w:val="false"/>
          <w:caps w:val="false"/>
          <w:smallCaps w:val="false"/>
          <w:sz w:val="20"/>
        </w:rPr>
        <w:t>Second SAFE</w:t>
      </w:r>
      <w:r>
        <w:rPr>
          <w:rFonts w:ascii="Times New Roman;Times;Serif" w:hAnsi="Times New Roman;Times;Serif"/>
          <w:b w:val="false"/>
          <w:i w:val="false"/>
          <w:caps w:val="false"/>
          <w:smallCaps w:val="false"/>
          <w:sz w:val="20"/>
        </w:rPr>
        <w:t>”) with the Purchaser, in connection with the Purchaser investing $3.5 million in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we entered into an amendment (“</w:t>
      </w:r>
      <w:r>
        <w:rPr>
          <w:rFonts w:ascii="Times New Roman;Times;Serif" w:hAnsi="Times New Roman;Times;Serif"/>
          <w:b/>
          <w:i w:val="false"/>
          <w:caps w:val="false"/>
          <w:smallCaps w:val="false"/>
          <w:sz w:val="20"/>
        </w:rPr>
        <w:t>Second SAFE Amendment</w:t>
      </w:r>
      <w:r>
        <w:rPr>
          <w:rFonts w:ascii="Times New Roman;Times;Serif" w:hAnsi="Times New Roman;Times;Serif"/>
          <w:b w:val="false"/>
          <w:i w:val="false"/>
          <w:caps w:val="false"/>
          <w:smallCaps w:val="false"/>
          <w:sz w:val="20"/>
        </w:rPr>
        <w:t>”) that converted the Second SAFE investment of $3.5 million into 9,722,222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SAFE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a third SAFE (the “</w:t>
      </w:r>
      <w:r>
        <w:rPr>
          <w:rFonts w:ascii="Times New Roman;Times;Serif" w:hAnsi="Times New Roman;Times;Serif"/>
          <w:b/>
          <w:i w:val="false"/>
          <w:caps w:val="false"/>
          <w:smallCaps w:val="false"/>
          <w:sz w:val="20"/>
        </w:rPr>
        <w:t>Third SAFE</w:t>
      </w:r>
      <w:r>
        <w:rPr>
          <w:rFonts w:ascii="Times New Roman;Times;Serif" w:hAnsi="Times New Roman;Times;Serif"/>
          <w:b w:val="false"/>
          <w:i w:val="false"/>
          <w:caps w:val="false"/>
          <w:smallCaps w:val="false"/>
          <w:sz w:val="20"/>
        </w:rPr>
        <w:t>”) with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2026 SAFE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215"/>
        <w:gridCol w:w="266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6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 Convertible Senior Notes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we issued $46.0 million of 12% convertible senior notes due 2029 (the “</w:t>
      </w:r>
      <w:r>
        <w:rPr>
          <w:rFonts w:ascii="Times New Roman;Times;Serif" w:hAnsi="Times New Roman;Times;Serif"/>
          <w:b/>
          <w:i w:val="false"/>
          <w:caps w:val="false"/>
          <w:smallCaps w:val="false"/>
          <w:sz w:val="20"/>
        </w:rPr>
        <w:t>July 2024 12% Notes</w:t>
      </w:r>
      <w:r>
        <w:rPr>
          <w:rFonts w:ascii="Times New Roman;Times;Serif" w:hAnsi="Times New Roman;Times;Serif"/>
          <w:b w:val="false"/>
          <w:i w:val="false"/>
          <w:caps w:val="false"/>
          <w:smallCaps w:val="false"/>
          <w:sz w:val="20"/>
        </w:rPr>
        <w:t>”) to various lenders, including in connection with the exchange agreement transactions summarized below. Of the July 2024 12% Notes, $18.0 million were issued in exchange for the cancellation of indebtedness as discussed below, which amount included $10.0 million issued to a strategic investor identified by us as a related party. The July 2024 12% Notes also included $18.0 million issued to a related party affiliated with Thurman J. Rodgers (our Chief Executive Officer), Rodgers Massey Revocable Living Trust. The July 2024 12% Notes bear interest at 12% per annum and mature on July 1, 2029. The interest rate increases by 3% in the event of default. The July 2024 12% Notes are convertible into shares of our common stock at the option of the holder at a conversion rate and initially equal to 595.2381 shares of common stock per $1,000 principal amount of the July notes. The July 2024 12% Notes may be declared due and payable at the option of the holder upon event of default and upon a qualifying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July 10, 2025, we issued an additional $5.0 million principal amount of 12% convertible senior notes due 2029 to a trust controlled by Mr. Rodgers. Such notes have terms substantially similar to the July 2024 12% Notes; provided that the 12% notes issued on July 10, 2025 have an initial conversion rate equal to 558.6592 shares of common stock per $1,000 principal amount of such notes. On November 20, 2025 we issued a further $2.0 principal amount of 12% convertible senior notes due 2029 to a trust controlled by Mr. Rodgers. Such notes have terms substantially similar to the July 2024 12% Notes; provided that the 12% notes issued on July 10, 2025 have an initial conversion rate equal to 626.9592 shares of common stock per $1,000 principal amount of such notes. Further, on January 29, 2026, we issued an additional $3.3 million principal amount of 12% convertible senior notes due 2029 to a trust controlled by Mr. Rodgers. Such notes have terms substantially similar to the July 2024 12% Notes; provided that the 12% notes issued on January 29, 2026 have an initial conversion rate equal to 540.5405 shares of common stock per $1,000 principal amount of such notes.</w:t>
      </w:r>
    </w:p>
    <w:p>
      <w:pPr>
        <w:pStyle w:val="TextBody"/>
        <w:bidi w:val="0"/>
        <w:spacing w:before="0" w:after="0"/>
        <w:ind w:left="0" w:right="0" w:firstLine="36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15"/>
        <w:gridCol w:w="306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0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Exchange Agreement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an Exchange Agreement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with CSEF Holdings, LLC and its affiliates (“</w:t>
      </w:r>
      <w:r>
        <w:rPr>
          <w:rFonts w:ascii="Times New Roman;Times;Serif" w:hAnsi="Times New Roman;Times;Serif"/>
          <w:b/>
          <w:i w:val="false"/>
          <w:caps w:val="false"/>
          <w:smallCaps w:val="false"/>
          <w:sz w:val="20"/>
        </w:rPr>
        <w:t>Carlyle</w:t>
      </w:r>
      <w:r>
        <w:rPr>
          <w:rFonts w:ascii="Times New Roman;Times;Serif" w:hAnsi="Times New Roman;Times;Serif"/>
          <w:b w:val="false"/>
          <w:i w:val="false"/>
          <w:caps w:val="false"/>
          <w:smallCaps w:val="false"/>
          <w:sz w:val="20"/>
        </w:rPr>
        <w:t>”) and Kline Hill (as defined below) providing for: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8"/>
        <w:gridCol w:w="9912"/>
      </w:tblGrid>
      <w:tr>
        <w:trPr/>
        <w:tc>
          <w:tcPr>
            <w:tcW w:w="10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36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105"/>
        <w:gridCol w:w="290"/>
        <w:gridCol w:w="8135"/>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12% Notes;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8"/>
        <w:gridCol w:w="9802"/>
      </w:tblGrid>
      <w:tr>
        <w:trPr/>
        <w:tc>
          <w:tcPr>
            <w:tcW w:w="10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a Delaware limited partnership (“</w:t>
            </w:r>
            <w:r>
              <w:rPr>
                <w:rFonts w:ascii="Times New Roman;Times;Serif" w:hAnsi="Times New Roman;Times;Serif"/>
                <w:b/>
                <w:sz w:val="20"/>
              </w:rPr>
              <w:t>Kline Fund</w:t>
            </w:r>
            <w:r>
              <w:rPr>
                <w:rFonts w:ascii="Times New Roman;Times;Serif" w:hAnsi="Times New Roman;Times;Serif"/>
                <w:sz w:val="20"/>
              </w:rPr>
              <w:t>”), Kline Hill Partners IV SPV LLC, a Delaware limited liability company (“</w:t>
            </w:r>
            <w:r>
              <w:rPr>
                <w:rFonts w:ascii="Times New Roman;Times;Serif" w:hAnsi="Times New Roman;Times;Serif"/>
                <w:b/>
                <w:sz w:val="20"/>
              </w:rPr>
              <w:t>Kline Partners</w:t>
            </w:r>
            <w:r>
              <w:rPr>
                <w:rFonts w:ascii="Times New Roman;Times;Serif" w:hAnsi="Times New Roman;Times;Serif"/>
                <w:sz w:val="20"/>
              </w:rPr>
              <w:t>”) and Kline Hill Partners Opportunity IV SPV LLC, a Delaware limited liability company (“</w:t>
            </w:r>
            <w:r>
              <w:rPr>
                <w:rFonts w:ascii="Times New Roman;Times;Serif" w:hAnsi="Times New Roman;Times;Serif"/>
                <w:b/>
                <w:sz w:val="20"/>
              </w:rPr>
              <w:t>Kline Opportunity</w:t>
            </w:r>
            <w:r>
              <w:rPr>
                <w:rFonts w:ascii="Times New Roman;Times;Serif" w:hAnsi="Times New Roman;Times;Serif"/>
                <w:sz w:val="20"/>
              </w:rPr>
              <w:t>” and together with Kline Fund and Kline Partners, “</w:t>
            </w:r>
            <w:r>
              <w:rPr>
                <w:rFonts w:ascii="Times New Roman;Times;Serif" w:hAnsi="Times New Roman;Times;Serif"/>
                <w:b/>
                <w:sz w:val="20"/>
              </w:rPr>
              <w:t>Kline Hill</w:t>
            </w:r>
            <w:r>
              <w:rPr>
                <w:rFonts w:ascii="Times New Roman;Times;Serif" w:hAnsi="Times New Roman;Times;Serif"/>
                <w:sz w:val="20"/>
              </w:rPr>
              <w:t>”), by the Company, termination of all debt instruments by and between the Company and Kline Hill, including certain senior subordinated convertible secured notes issued by Solaria in 2018 (the “</w:t>
            </w:r>
            <w:r>
              <w:rPr>
                <w:rFonts w:ascii="Times New Roman;Times;Serif" w:hAnsi="Times New Roman;Times;Serif"/>
                <w:b/>
                <w:sz w:val="20"/>
              </w:rPr>
              <w:t>2018 Bridge Notes</w:t>
            </w:r>
            <w:r>
              <w:rPr>
                <w:rFonts w:ascii="Times New Roman;Times;Serif" w:hAnsi="Times New Roman;Times;Serif"/>
                <w:sz w:val="20"/>
              </w:rPr>
              <w:t>”), a revolving loan and a secured credit facility, and the satisfaction of all obligations owed to Kline Hill by the Company under the terminated debt instruments;</w:t>
            </w:r>
          </w:p>
        </w:tc>
      </w:tr>
    </w:tbl>
    <w:p>
      <w:pPr>
        <w:pStyle w:val="TextBody"/>
        <w:bidi w:val="0"/>
        <w:spacing w:before="0" w:after="0"/>
        <w:ind w:left="36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105"/>
        <w:gridCol w:w="335"/>
        <w:gridCol w:w="8585"/>
      </w:tblGrid>
      <w:tr>
        <w:trPr/>
        <w:tc>
          <w:tcPr>
            <w:tcW w:w="1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12% Notes; and</w:t>
            </w:r>
          </w:p>
        </w:tc>
      </w:tr>
    </w:tbl>
    <w:p>
      <w:pPr>
        <w:pStyle w:val="TextBody"/>
        <w:bidi w:val="0"/>
        <w:spacing w:before="0" w:after="0"/>
        <w:ind w:left="36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105"/>
        <w:gridCol w:w="275"/>
        <w:gridCol w:w="64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common stock to Kline Hill (the “</w:t>
            </w:r>
            <w:r>
              <w:rPr>
                <w:rFonts w:ascii="Times New Roman;Times;Serif" w:hAnsi="Times New Roman;Times;Serif"/>
                <w:b/>
                <w:sz w:val="20"/>
              </w:rPr>
              <w:t>Shares</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15"/>
        <w:gridCol w:w="456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5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 Convertible Senior Notes, Exchange Transaction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issued $66.8 million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to various lenders, $8.0 million of which were issued to a related party. In December 2024, we issued additional 7% Notes for cash proceeds of $13.0 million, and we issued an additional $0.2 million of the 7% Notes in the thirteen weeks ended March 30, 2025. On September 23, 2025, we issued $22.0 million aggregate principal amount of the 7% Notes for net proceeds to us of $19,800,000, which net proceeds were used to pay a portion of the purchase price for the Sunder Acquisition. The 7% Notes bear interest at 7% per annum and mature on July 1, 2029. The 7% Notes are initially convertible into 467.8363 shares of common stock per $1,000 principal amount of 7% Notes, subject to the adjustment provisions, including make-whole adjustment terms, included in the 7% Notes. The 7% Notes may be declared due and payable at the option of the holder upon an event of default and upon a qualifying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23, 2026, we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with certain holders of the 7% Notes to repurchase $21,250,000 aggregate principal amount of outstanding 7% Notes in exchange for (i) an aggregate of 18,805,310 shares of common stock and (ii) approximately $456,438 of accrued interest payable under the exchanged 7% Notes.</w:t>
      </w:r>
    </w:p>
    <w:p>
      <w:pPr>
        <w:pStyle w:val="TextBody"/>
        <w:bidi w:val="0"/>
        <w:spacing w:before="0" w:after="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July 2023 Common Stock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 issued a warrant to a third-party service provider to purchase 38,981 shares of the Company’s common stock in exchange for services. The warrant is exercisable at a price of $0.01 per share and has an expiration date of July 2028.</w:t>
      </w:r>
    </w:p>
    <w:p>
      <w:pPr>
        <w:pStyle w:val="TextBody"/>
        <w:bidi w:val="0"/>
        <w:spacing w:before="0" w:after="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0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Warrant Consideration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in connection with the Mergers, the Company issued 6,266,572 warrants to purchase SunPower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w:t>
      </w:r>
    </w:p>
    <w:p>
      <w:pPr>
        <w:pStyle w:val="TextBody"/>
        <w:bidi w:val="0"/>
        <w:spacing w:before="0" w:after="0"/>
        <w:ind w:left="0" w:right="0" w:firstLine="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15"/>
        <w:gridCol w:w="141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4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Ayna Warrants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shares of the Company’s common stock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was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for the purchase of 6,000,000 shares of the Company’s common stock at an exercise price per share of $0.01, subject to the provisions and upon the terms and conditions set forth in the Ayna Warrant. The Ayna Warrant became fully exercisable for the 6,000,000 shares of the Company’s common stock on September 9, 2024. The Ayna Warrant was exercised in full for cash of $60,000 in January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to purchase shares of the Company’s common stock (the “Ayana 2026 Warrant”) was issued to Ayna for the purchase of 380,000 shares of the Company’s common stock at an exercise price per share of $0.01, subject to the provisions and upon the terms and conditions set forth in the Ayna 2026 Warrant. The Ayna 2026 Warrant was fully exercisable for the 380,000 shares of the Company’s common stock on June 29, 2026.</w:t>
      </w:r>
    </w:p>
    <w:p>
      <w:pPr>
        <w:pStyle w:val="TextBody"/>
        <w:bidi w:val="0"/>
        <w:spacing w:before="0" w:after="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Cantor Warrant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a warrant to a third-party service provider to purchase 3,066,141 shares of the Company’s common stock in exchange for services provided in the issuance of the 12% Notes. This warrant was immediately exercisable at a price of $1.68 per share and has an expiration date in July 2029.</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20"/>
        <w:gridCol w:w="290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29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White Lion Equity Line of Credit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a common stock purchase agreement with White Lion Capital, LLC (“</w:t>
      </w:r>
      <w:r>
        <w:rPr>
          <w:rFonts w:ascii="Times New Roman;Times;Serif" w:hAnsi="Times New Roman;Times;Serif"/>
          <w:b/>
          <w:i w:val="false"/>
          <w:caps w:val="false"/>
          <w:smallCaps w:val="false"/>
          <w:sz w:val="20"/>
        </w:rPr>
        <w:t>White Lion</w:t>
      </w:r>
      <w:r>
        <w:rPr>
          <w:rFonts w:ascii="Times New Roman;Times;Serif" w:hAnsi="Times New Roman;Times;Serif"/>
          <w:b w:val="false"/>
          <w:i w:val="false"/>
          <w:caps w:val="false"/>
          <w:smallCaps w:val="false"/>
          <w:sz w:val="20"/>
        </w:rPr>
        <w:t>”), as amended (“</w:t>
      </w:r>
      <w:r>
        <w:rPr>
          <w:rFonts w:ascii="Times New Roman;Times;Serif" w:hAnsi="Times New Roman;Times;Serif"/>
          <w:b/>
          <w:i w:val="false"/>
          <w:caps w:val="false"/>
          <w:smallCaps w:val="false"/>
          <w:sz w:val="20"/>
        </w:rPr>
        <w:t>White Lion SPA</w:t>
      </w:r>
      <w:r>
        <w:rPr>
          <w:rFonts w:ascii="Times New Roman;Times;Serif" w:hAnsi="Times New Roman;Times;Serif"/>
          <w:b w:val="false"/>
          <w:i w:val="false"/>
          <w:caps w:val="false"/>
          <w:smallCaps w:val="false"/>
          <w:sz w:val="20"/>
        </w:rPr>
        <w:t>”), and a related registration rights agreement for an equity line of credit financing facility, with a total commitment amount of $55,000,000. As of March 29, 2026, the Company had issued an aggregate of 11.5 million shares of the Company’s common stock for total proceeds of $20.4 million.</w:t>
      </w:r>
    </w:p>
    <w:p>
      <w:pPr>
        <w:pStyle w:val="TextBody"/>
        <w:bidi w:val="0"/>
        <w:spacing w:before="0" w:after="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20"/>
        <w:gridCol w:w="167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Sunder Seller Note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SunPower issued a promissory note in the principal amount of $20,000,000 (as amended, the “</w:t>
      </w:r>
      <w:r>
        <w:rPr>
          <w:rFonts w:ascii="Times New Roman;Times;Serif" w:hAnsi="Times New Roman;Times;Serif"/>
          <w:b/>
          <w:i w:val="false"/>
          <w:caps w:val="false"/>
          <w:smallCaps w:val="false"/>
          <w:sz w:val="20"/>
        </w:rPr>
        <w:t>Seller Note</w:t>
      </w:r>
      <w:r>
        <w:rPr>
          <w:rFonts w:ascii="Times New Roman;Times;Serif" w:hAnsi="Times New Roman;Times;Serif"/>
          <w:b w:val="false"/>
          <w:i w:val="false"/>
          <w:caps w:val="false"/>
          <w:smallCaps w:val="false"/>
          <w:sz w:val="20"/>
        </w:rPr>
        <w:t>”) to the selling equity holder in the Sunder Acquisition (“</w:t>
      </w:r>
      <w:r>
        <w:rPr>
          <w:rFonts w:ascii="Times New Roman;Times;Serif" w:hAnsi="Times New Roman;Times;Serif"/>
          <w:b/>
          <w:i w:val="false"/>
          <w:caps w:val="false"/>
          <w:smallCaps w:val="false"/>
          <w:sz w:val="20"/>
        </w:rPr>
        <w:t>CPP</w:t>
      </w:r>
      <w:r>
        <w:rPr>
          <w:rFonts w:ascii="Times New Roman;Times;Serif" w:hAnsi="Times New Roman;Times;Serif"/>
          <w:b w:val="false"/>
          <w:i w:val="false"/>
          <w:caps w:val="false"/>
          <w:smallCaps w:val="false"/>
          <w:sz w:val="20"/>
        </w:rPr>
        <w:t>”). On April 21, 2026, the Company entered into a Note Purchase Agreement with CPP (the “</w:t>
      </w:r>
      <w:r>
        <w:rPr>
          <w:rFonts w:ascii="Times New Roman;Times;Serif" w:hAnsi="Times New Roman;Times;Serif"/>
          <w:b/>
          <w:i w:val="false"/>
          <w:caps w:val="false"/>
          <w:smallCaps w:val="false"/>
          <w:sz w:val="20"/>
        </w:rPr>
        <w:t>CPP Note Purchase Agreement</w:t>
      </w:r>
      <w:r>
        <w:rPr>
          <w:rFonts w:ascii="Times New Roman;Times;Serif" w:hAnsi="Times New Roman;Times;Serif"/>
          <w:b w:val="false"/>
          <w:i w:val="false"/>
          <w:caps w:val="false"/>
          <w:smallCaps w:val="false"/>
          <w:sz w:val="20"/>
        </w:rPr>
        <w:t>”) that provides for the following in exchange for the outstanding Seller Note (in addition to the issuance of $10,000,000 principal amount of 10% Notes (as defined below) to CPP): (i) the Company’s payment of $4,000,000 in cash to CPP at the closing under the CPP Note Purchase Agreement and (ii) the amendment and restatement of the outstanding Seller Note. As amended, the Seller Note has a principal amount of $7,000,000 and bears interest at 7.0% per annum, compounded quarterly; provided, however, the interest rate will increase to 10.0% per annum on May 15, 2026. The outstanding principal and accrued interest under the Seller Note will be paid in four payments in October 15, 2026, November 15, 2026, December 15, 2026 and January 15, 2027, as set forth in the repayment schedule attached to the Seller Note. The Seller Note will mature on the earlier of January 31, 2027 and the date on which all amounts under the Seller Note otherwise become due and payable; provided, however, if certain restrictive provisions under the YA Debenture (as defined below) (the “</w:t>
      </w:r>
      <w:r>
        <w:rPr>
          <w:rFonts w:ascii="Times New Roman;Times;Serif" w:hAnsi="Times New Roman;Times;Serif"/>
          <w:b/>
          <w:i w:val="false"/>
          <w:caps w:val="false"/>
          <w:smallCaps w:val="false"/>
          <w:sz w:val="20"/>
        </w:rPr>
        <w:t>Restrictive Provisions</w:t>
      </w:r>
      <w:r>
        <w:rPr>
          <w:rFonts w:ascii="Times New Roman;Times;Serif" w:hAnsi="Times New Roman;Times;Serif"/>
          <w:b w:val="false"/>
          <w:i w:val="false"/>
          <w:caps w:val="false"/>
          <w:smallCaps w:val="false"/>
          <w:sz w:val="20"/>
        </w:rPr>
        <w:t>”) prohibit the Company from making payments on the Seller Note, then the maturity date will be the earlier of (i) the date that is two business days after the date on which the Restrictive Provisions no longer apply and (ii) January 31, 2027. The Seller Note is an unsecured obligation of the Company.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The Seller Note also provides that the Company will use its reasonable best efforts to solicit the consent and waiver from the requisite holders of the 7.00% Notes (as defined below) required to grant a security interest and lien in the Company’s assets to secure the Company’s obligations under the Seller Note. If such consent and waiver is obtained, the Company and the Member with negotiate, execute and deliver a separate security agreement with respect to such security interest and lien.</w:t>
      </w:r>
    </w:p>
    <w:p>
      <w:pPr>
        <w:pStyle w:val="TextBody"/>
        <w:bidi w:val="0"/>
        <w:spacing w:before="0" w:after="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320"/>
        <w:gridCol w:w="314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3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Yorkville SEPA &amp; Convertible Note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Company entered into a standby equity purchase agreement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with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and a related registration rights agreement for an equity line of credit financing facility. Under the SEPA, the Company issued 175,000 shares as a commitment fee to Yorkville, and delivered to Yorkville a convertible promissory note, convertible into shares of the Company’s common stock, in the original principal amount of $1,900,000 on January 27,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Yorkville purchased and the Company issued a convertible debenture in the principal amount of $10.0 million (the “</w:t>
      </w:r>
      <w:r>
        <w:rPr>
          <w:rFonts w:ascii="Times New Roman;Times;Serif" w:hAnsi="Times New Roman;Times;Serif"/>
          <w:b/>
          <w:i w:val="false"/>
          <w:caps w:val="false"/>
          <w:smallCaps w:val="false"/>
          <w:sz w:val="20"/>
        </w:rPr>
        <w:t>YA Debenture</w:t>
      </w:r>
      <w:r>
        <w:rPr>
          <w:rFonts w:ascii="Times New Roman;Times;Serif" w:hAnsi="Times New Roman;Times;Serif"/>
          <w:b w:val="false"/>
          <w:i w:val="false"/>
          <w:caps w:val="false"/>
          <w:smallCaps w:val="false"/>
          <w:sz w:val="20"/>
        </w:rPr>
        <w:t>”). At the closing under such purchase agreement, we issued the YA Debenture to Yorkville in the original principal amount of $10.0 million for a purchase price of $9.0 million, less certain fees payable under the applicable purchase agreement. Yorkville may convert any portion of the outstanding balance under the YA Debenture into shares of the Company’s common stock at an adjusted fixed price of $1.64 per share (the “</w:t>
      </w:r>
      <w:r>
        <w:rPr>
          <w:rFonts w:ascii="Times New Roman;Times;Serif" w:hAnsi="Times New Roman;Times;Serif"/>
          <w:b/>
          <w:i w:val="false"/>
          <w:caps w:val="false"/>
          <w:smallCaps w:val="false"/>
          <w:sz w:val="20"/>
        </w:rPr>
        <w:t>Fixed Price</w:t>
      </w:r>
      <w:r>
        <w:rPr>
          <w:rFonts w:ascii="Times New Roman;Times;Serif" w:hAnsi="Times New Roman;Times;Serif"/>
          <w:b w:val="false"/>
          <w:i w:val="false"/>
          <w:caps w:val="false"/>
          <w:smallCaps w:val="false"/>
          <w:sz w:val="20"/>
        </w:rPr>
        <w:t>”). Additionally, at any time on or after any Installment Date (as defined in the YA Debenture), Yorkville may convert any portion of any due and unpaid Installment Amount (as defined in the YA Debenture) outstanding under the YA Debenture into shares of our common stock at a price equal to 95% of the volume weighted average price of our common stock during the five trading days prior to the conversion date (but the conversion price will not be lower than the “Floor Price” then in effect). On April 21, 2026, in connection with the Company’s offering of its 10% Notes (as defined below) due 2029, the Company and Yorkville entered into a letter agreement (the “</w:t>
      </w:r>
      <w:r>
        <w:rPr>
          <w:rFonts w:ascii="Times New Roman;Times;Serif" w:hAnsi="Times New Roman;Times;Serif"/>
          <w:b/>
          <w:i w:val="false"/>
          <w:caps w:val="false"/>
          <w:smallCaps w:val="false"/>
          <w:sz w:val="20"/>
        </w:rPr>
        <w:t>YA Letter</w:t>
      </w:r>
      <w:r>
        <w:rPr>
          <w:rFonts w:ascii="Times New Roman;Times;Serif" w:hAnsi="Times New Roman;Times;Serif"/>
          <w:b w:val="false"/>
          <w:i w:val="false"/>
          <w:caps w:val="false"/>
          <w:smallCaps w:val="false"/>
          <w:sz w:val="20"/>
        </w:rPr>
        <w:t>”). Pursuant to the YA Letter, the Company agreed to voluntary prepay $5,000,000 of the outstanding principal amount of YA Debenture, resulting in a revised outstanding principal balance under the YA Debenture of $5,000,000.</w:t>
      </w:r>
    </w:p>
    <w:p>
      <w:pPr>
        <w:pStyle w:val="TextBody"/>
        <w:bidi w:val="0"/>
        <w:spacing w:before="0" w:after="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320"/>
        <w:gridCol w:w="3380"/>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33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 Convertible Senior Secured 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the Company issued $41.0 million aggregate principal amount of its 10% convertible secured senior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to various lenders, $6.0 million of which were issued to a related party. On May 20, 2026, the Company issued a further $5,000,000 aggregate principal amount of 10% Notes to an additional lender. The 10% Notes bear interest at 10% per annum and mature on May 1, 2029. The 10% Notes are initially convertible into 610.3143 shares of common stock per $1,000 principal amount of 10% Notes, subject to the adjustment provisions, including make-whole adjustment terms, included in the 10% Notes, subject to a maximum conversion rate of 884.9557 shares of common stock per $1,000 principal amount of 10% Notes. The 10% Notes may be declared due and payable at the option of the holder upon an event of default and upon a qualifying change of control event. The 10% Notes are not redeemable by the Company.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2"/>
        <w:gridCol w:w="90"/>
        <w:gridCol w:w="6026"/>
        <w:gridCol w:w="90"/>
        <w:gridCol w:w="530"/>
        <w:gridCol w:w="90"/>
        <w:gridCol w:w="822"/>
        <w:gridCol w:w="90"/>
        <w:gridCol w:w="680"/>
        <w:gridCol w:w="90"/>
        <w:gridCol w:w="658"/>
        <w:gridCol w:w="137"/>
      </w:tblGrid>
      <w:tr>
        <w:trPr/>
        <w:tc>
          <w:tcPr>
            <w:tcW w:w="90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90" w:type="dxa"/>
            <w:tcBorders/>
            <w:tcMar>
              <w:bottom w:w="0" w:type="dxa"/>
            </w:tcMar>
            <w:vAlign w:val="center"/>
          </w:tcPr>
          <w:p>
            <w:pPr>
              <w:pStyle w:val="TableContents"/>
              <w:bidi w:val="0"/>
              <w:spacing w:before="0" w:after="283"/>
              <w:jc w:val="left"/>
              <w:rPr/>
            </w:pPr>
            <w:r>
              <w:rPr/>
              <w:t> </w:t>
            </w:r>
          </w:p>
        </w:tc>
        <w:tc>
          <w:tcPr>
            <w:tcW w:w="602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9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90" w:type="dxa"/>
            <w:tcBorders/>
            <w:tcMar>
              <w:bottom w:w="0" w:type="dxa"/>
            </w:tcMar>
            <w:vAlign w:val="center"/>
          </w:tcPr>
          <w:p>
            <w:pPr>
              <w:pStyle w:val="TableContents"/>
              <w:bidi w:val="0"/>
              <w:spacing w:before="0" w:after="283"/>
              <w:jc w:val="left"/>
              <w:rPr/>
            </w:pPr>
            <w:r>
              <w:rPr/>
              <w:t> </w:t>
            </w:r>
          </w:p>
        </w:tc>
        <w:tc>
          <w:tcPr>
            <w:tcW w:w="82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90" w:type="dxa"/>
            <w:tcBorders/>
            <w:tcMar>
              <w:bottom w:w="0" w:type="dxa"/>
            </w:tcMar>
            <w:vAlign w:val="center"/>
          </w:tcPr>
          <w:p>
            <w:pPr>
              <w:pStyle w:val="TableContents"/>
              <w:bidi w:val="0"/>
              <w:spacing w:before="0" w:after="283"/>
              <w:jc w:val="left"/>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6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"http://www.sec.gov/Archives/edgar/data/1838987/000119312523155921/d425844ds4a.htm" \l "anxacov"</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Amended and Restated Business Combination Agreement, dated as of May 26, 2023, by and among Freedom Acquisition I Corp., Jupiter Merger Sub I Corp., Jupiter Merger Sub II LLC, Complete Solar Holding Corporation, and The Solaria Corporation</w:t>
            </w:r>
            <w:r>
              <w:rPr>
                <w:rStyle w:val="InternetLink"/>
                <w:sz w:val="20"/>
                <w:rFonts w:ascii="Times New Roman;Times;Serif" w:hAnsi="Times New Roman;Times;Serif"/>
              </w:rPr>
              <w:fldChar w:fldCharType="end"/>
            </w:r>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2023-05-31</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Agreement and Plan of Merger, dated as of October 3, 2022, by and between Complete Solar Holding Corporation, Complete Solar Midco, LLC, Complete Solar Merger Sub, Inc., The Solaria Corporation, and Fortis Advisors LLC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2023-02-10</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Asset Purchase Agreement dated September 19, 2023, by and among Complete Solaria, Inc., SolarCA, LLC, and Maxeon Solar Technologies, Ltd.</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2023-09-21</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Certificate of Incorporation of the Company</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2023-07-21</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Certificate of Amendment to Certificate of Incorporation of SunPower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2025-10-22</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Second Amended and Restated Bylaws of SunPower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2025-10-22</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Form of Replacement Warrant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Form of First Amendment to Replacement Warrant</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2023-10-12</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Amended and Restated Registration Rights Agreement, dated July 18, 2023, by and among the Company and certain other stockholders party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Warrant Agreement, dated February 25, 2021, by and between the Company and Continental Stock Transfer &amp; Trust Company, as warrant agent</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2021-03-2</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sz w:val="20"/>
                </w:rPr>
                <w:t>Exchange Agreement, dated July 1, 2024, among the Company and the purchasers party thereto</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2024-07-08</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Form of 12.0% Convertible Senior Note due 2029</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sz w:val="20"/>
                </w:rPr>
                <w:t>Form of Seller Note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Form of 7.0% Convertible Senior Note due 2029</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sz w:val="20"/>
                </w:rPr>
                <w:t>Form of Indenture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333-283948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2024-12-20</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Convertible Promissory Note dated July 10, 2025</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2025-07-16</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6026" w:type="dxa"/>
            <w:tcBorders/>
            <w:shd w:fill="CCEEFF" w:val="clear"/>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sz w:val="20"/>
                </w:rPr>
                <w:t>Indenture, dated September 16, 2024, between the Company and U.S. Bank Trust Company, National Association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90" w:type="dxa"/>
            <w:tcBorders/>
            <w:tcMar>
              <w:bottom w:w="0" w:type="dxa"/>
            </w:tcMar>
            <w:vAlign w:val="center"/>
          </w:tcPr>
          <w:p>
            <w:pPr>
              <w:pStyle w:val="TableContents"/>
              <w:bidi w:val="0"/>
              <w:spacing w:before="0" w:after="283"/>
              <w:jc w:val="both"/>
              <w:rPr/>
            </w:pPr>
            <w:r>
              <w:rPr/>
              <w:t> </w:t>
            </w:r>
          </w:p>
        </w:tc>
        <w:tc>
          <w:tcPr>
            <w:tcW w:w="6026"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sz w:val="20"/>
                </w:rPr>
                <w:t xml:space="preserve">Form of Physical Note for 7.00% Convertible Senior Notes due 2029 </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sz w:val="20"/>
                </w:rPr>
                <w:t>Description of Capital Stock</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2025-04-30</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4.14</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sz w:val="20"/>
                </w:rPr>
                <w:t>Convertible Promissory Note dated January 29, 2026</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sz w:val="20"/>
                </w:rPr>
                <w:t>Indenture dated April 23, 2026 between SunPower Inc., the Guarantor party thereto and U.S. Bank Trust Company, National Association+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sz w:val="20"/>
                </w:rPr>
                <w:t>Form of 10.00% Convertible Senior Secured Note due 2029 (included in Exhibit 4.16)</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sz w:val="20"/>
                </w:rPr>
                <w:t>Amended and Restated Promissory Note dated April 23, 2026 issued  to Chicken Parm Pizza LLC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w:anchor="ea029443301ex5-1.htm">
              <w:r>
                <w:rPr>
                  <w:rStyle w:val="InternetLink"/>
                  <w:rFonts w:ascii="Times New Roman;Times;Serif" w:hAnsi="Times New Roman;Times;Serif"/>
                  <w:sz w:val="20"/>
                </w:rPr>
                <w:t>Opinion of Arnold &amp; Porter Kaye Scholer LLP</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Form of Indemnification Agreement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sz w:val="20"/>
                </w:rPr>
                <w:t>Forward Purchase Agreement, dated July 13, 2023, between Meteora Special Opportunity Fund I, LP, Meteora Capital Partners, LP and Meteora Select Trading Opportunities Master, LP; Freedom Acquisition I Corp.; and Complete Solaria,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10.24</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tcMar>
              <w:bottom w:w="0" w:type="dxa"/>
            </w:tcMar>
            <w:vAlign w:val="center"/>
          </w:tcPr>
          <w:p>
            <w:pPr>
              <w:pStyle w:val="TableContents"/>
              <w:bidi w:val="0"/>
              <w:spacing w:before="0" w:after="283"/>
              <w:jc w:val="center"/>
              <w:rPr/>
            </w:pPr>
            <w:r>
              <w:rPr/>
              <w:t> </w:t>
            </w:r>
          </w:p>
        </w:tc>
      </w:tr>
      <w:tr>
        <w:trPr/>
        <w:tc>
          <w:tcPr>
            <w:tcW w:w="9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6026" w:type="dxa"/>
            <w:tcBorders/>
            <w:shd w:fill="CCEE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Forward Purchase Agreement, dated July 13, 2023, between Polar Multi-Strategy Master Fund; Freedom Acquisition I Corp. and Complete Solaria,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tcMar>
              <w:bottom w:w="0" w:type="dxa"/>
            </w:tcMar>
            <w:vAlign w:val="center"/>
          </w:tcPr>
          <w:p>
            <w:pPr>
              <w:pStyle w:val="TableContents"/>
              <w:bidi w:val="0"/>
              <w:spacing w:before="0" w:after="283"/>
              <w:jc w:val="center"/>
              <w:rPr/>
            </w:pPr>
            <w:r>
              <w:rPr/>
              <w:t> </w:t>
            </w:r>
          </w:p>
        </w:tc>
      </w:tr>
      <w:tr>
        <w:trPr/>
        <w:tc>
          <w:tcPr>
            <w:tcW w:w="90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left"/>
              <w:rPr/>
            </w:pPr>
            <w:r>
              <w:rPr/>
              <w:t> </w:t>
            </w:r>
          </w:p>
        </w:tc>
        <w:tc>
          <w:tcPr>
            <w:tcW w:w="6026"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sz w:val="20"/>
                </w:rPr>
                <w:t>Forward Purchase Agreement, dated July 13, 2023, between Diametric True Alpha Market Neutral Master Fund, LP, Diametric True Alpha Enhanced Market Neutral Master Fund, LP, and Pinebridge Partners Master Fund, LP; Freedom Acquisition I Corp. and Complete Solaria, Inc.</w:t>
              </w:r>
            </w:hyperlink>
          </w:p>
        </w:tc>
        <w:tc>
          <w:tcPr>
            <w:tcW w:w="9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tcMar>
              <w:bottom w:w="0" w:type="dxa"/>
            </w:tcMar>
            <w:vAlign w:val="center"/>
          </w:tcPr>
          <w:p>
            <w:pPr>
              <w:pStyle w:val="TableContents"/>
              <w:bidi w:val="0"/>
              <w:spacing w:before="0" w:after="283"/>
              <w:jc w:val="left"/>
              <w:rPr/>
            </w:pPr>
            <w:r>
              <w:rPr/>
              <w:t> </w:t>
            </w:r>
          </w:p>
        </w:tc>
        <w:tc>
          <w:tcPr>
            <w:tcW w:w="82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w:t>
            </w:r>
          </w:p>
        </w:tc>
        <w:tc>
          <w:tcPr>
            <w:tcW w:w="90" w:type="dxa"/>
            <w:tcBorders/>
            <w:tcMar>
              <w:bottom w:w="0" w:type="dxa"/>
            </w:tcMar>
            <w:vAlign w:val="center"/>
          </w:tcPr>
          <w:p>
            <w:pPr>
              <w:pStyle w:val="TableContents"/>
              <w:bidi w:val="0"/>
              <w:spacing w:before="0" w:after="283"/>
              <w:jc w:val="left"/>
              <w:rPr/>
            </w:pPr>
            <w:r>
              <w:rPr/>
              <w:t> </w:t>
            </w:r>
          </w:p>
        </w:tc>
        <w:tc>
          <w:tcPr>
            <w:tcW w:w="65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tcMar>
              <w:bottom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3"/>
        <w:gridCol w:w="90"/>
        <w:gridCol w:w="6511"/>
        <w:gridCol w:w="90"/>
        <w:gridCol w:w="476"/>
        <w:gridCol w:w="90"/>
        <w:gridCol w:w="778"/>
        <w:gridCol w:w="90"/>
        <w:gridCol w:w="575"/>
        <w:gridCol w:w="90"/>
        <w:gridCol w:w="725"/>
        <w:gridCol w:w="137"/>
      </w:tblGrid>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sz w:val="20"/>
                </w:rPr>
                <w:t>FPA Funding Amount Pipe Subscription Agreements dated July 13, 2023, between Meteora Special Opportunity Fund I, LP, Meteora Capital Partners, LP and Meteora Select Trading Opportunities Master, LP; Freedom Acquisition I Corp.; and Complete Solaria, Inc.</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10.27</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46">
              <w:r>
                <w:rPr>
                  <w:rStyle w:val="InternetLink"/>
                  <w:rFonts w:ascii="Times New Roman;Times;Serif" w:hAnsi="Times New Roman;Times;Serif"/>
                  <w:sz w:val="20"/>
                </w:rPr>
                <w:t>FPA Funding Amount Pipe Subscription Agreements dated July 13, 2023, between Polar Multi-Strategy Master Fund; Freedom Acquisition I Corp. and Complete Solaria, Inc.</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sz w:val="20"/>
                </w:rPr>
                <w:t>FPA Funding Amount Pipe Subscription Agreements, dated July 13, 2023, between Diametric True Alpha Market Neutral Master Fund, LP, Diametric True Alpha Enhanced Market Neutral Master Fund, LP, and Pinebridge Partners Master Fund, LP; Freedom Acquisition I Corp. and Complete Solaria, Inc.</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10.29</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48">
              <w:r>
                <w:rPr>
                  <w:rStyle w:val="InternetLink"/>
                  <w:rFonts w:ascii="Times New Roman;Times;Serif" w:hAnsi="Times New Roman;Times;Serif"/>
                  <w:sz w:val="20"/>
                </w:rPr>
                <w:t>New Money Pipe Subscription Agreements dated July 13, 2023, between Meteora Special Opportunity Fund I, LP, Meteora Capital Partners, LP and Meteora Select Trading Opportunities Master, LP; Freedom Acquisition I Corp.; and Complete Solaria, Inc.</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10.30</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sz w:val="20"/>
                </w:rPr>
                <w:t>New Money Pipe Subscription Agreements, dated July 13, 2023, between Diametric True Alpha Market Neutral Master Fund, LP, Diametric True Alpha Enhanced Market Neutral Master Fund, LP, and Pinebridge Partners Master Fund, LP; Freedom Acquisition I Corp. and Complete Solaria, Inc.</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0">
              <w:r>
                <w:rPr>
                  <w:rStyle w:val="InternetLink"/>
                  <w:rFonts w:ascii="Times New Roman;Times;Serif" w:hAnsi="Times New Roman;Times;Serif"/>
                  <w:sz w:val="20"/>
                </w:rPr>
                <w:t>Form of Subscription Agreement</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sz w:val="20"/>
                </w:rPr>
                <w:t>Form of Subscription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2">
              <w:r>
                <w:rPr>
                  <w:rStyle w:val="InternetLink"/>
                  <w:rFonts w:ascii="Times New Roman;Times;Serif" w:hAnsi="Times New Roman;Times;Serif"/>
                  <w:sz w:val="20"/>
                </w:rPr>
                <w:t>Promissory Note dated July 10, 2023, issued by Freedom Acquisition I Corp. to Freedom Acquisition I LLC</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2023-07-11</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sz w:val="20"/>
                </w:rPr>
                <w:t>Consent to Business Combination Agreement, dated July 9, 2023.</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2023-07-10</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4">
              <w:r>
                <w:rPr>
                  <w:rStyle w:val="InternetLink"/>
                  <w:rFonts w:ascii="Times New Roman;Times;Serif" w:hAnsi="Times New Roman;Times;Serif"/>
                  <w:sz w:val="20"/>
                </w:rPr>
                <w:t>2023 Incentive Equity Plan, as amended</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pPr>
            <w:r>
              <w:rPr/>
              <w:t> </w:t>
            </w:r>
            <w:r>
              <w:rPr>
                <w:rFonts w:ascii="Times New Roman;Times;Serif" w:hAnsi="Times New Roman;Times;Serif"/>
                <w:sz w:val="20"/>
              </w:rPr>
              <w:t>S-1</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r>
              <w:rPr>
                <w:rFonts w:ascii="Times New Roman;Times;Serif" w:hAnsi="Times New Roman;Times;Serif"/>
                <w:sz w:val="20"/>
              </w:rPr>
              <w:t>333-292713</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rFonts w:ascii="Times New Roman;Times;Serif" w:hAnsi="Times New Roman;Times;Serif"/>
                <w:sz w:val="20"/>
              </w:rPr>
              <w:t>10.14</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r>
              <w:rPr>
                <w:rFonts w:ascii="Times New Roman;Times;Serif" w:hAnsi="Times New Roman;Times;Serif"/>
                <w:sz w:val="20"/>
              </w:rPr>
              <w:t>2026-01-14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sz w:val="20"/>
                </w:rPr>
                <w:t>Forms of Option Grant Notice and Option agreement and Global RSU Grant Notice and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shd w:fill="CCEEFF" w:val="clear"/>
            <w:vAlign w:val="center"/>
          </w:tcPr>
          <w:p>
            <w:pPr>
              <w:pStyle w:val="TableContents"/>
              <w:bidi w:val="0"/>
              <w:spacing w:before="0" w:after="283"/>
              <w:jc w:val="center"/>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6">
              <w:r>
                <w:rPr>
                  <w:rStyle w:val="InternetLink"/>
                  <w:rFonts w:ascii="Times New Roman;Times;Serif" w:hAnsi="Times New Roman;Times;Serif"/>
                  <w:sz w:val="20"/>
                </w:rPr>
                <w:t>2023 Employee Stock Purchase Plan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7" w:type="dxa"/>
            <w:tcBorders/>
            <w:vAlign w:val="center"/>
          </w:tcPr>
          <w:p>
            <w:pPr>
              <w:pStyle w:val="TableContents"/>
              <w:bidi w:val="0"/>
              <w:spacing w:before="0" w:after="283"/>
              <w:jc w:val="center"/>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sz w:val="20"/>
                </w:rPr>
                <w:t>Form of Employment Agreement between Complete Solaria, Inc. and Executive Officers</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333-269674</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10.22</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11, 2023</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58">
              <w:r>
                <w:rPr>
                  <w:rStyle w:val="InternetLink"/>
                  <w:rFonts w:ascii="Times New Roman;Times;Serif" w:hAnsi="Times New Roman;Times;Serif"/>
                  <w:sz w:val="20"/>
                </w:rPr>
                <w:t>Exchange Agreement dated July 1 2024 among Complete Solaria, Inc. and the Purchasers party thereto</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sz w:val="20"/>
                </w:rPr>
                <w:t>Form of Convertible Note dated July 1, 2024</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60">
              <w:r>
                <w:rPr>
                  <w:rStyle w:val="InternetLink"/>
                  <w:rFonts w:ascii="Times New Roman;Times;Serif" w:hAnsi="Times New Roman;Times;Serif"/>
                  <w:sz w:val="20"/>
                </w:rPr>
                <w:t>Form of Convertible Note Purchase Agreement dated July 1, 2024</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2024-07-8</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sz w:val="20"/>
                </w:rPr>
                <w:t>Form of Note Purchase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2024-09-26</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62">
              <w:r>
                <w:rPr>
                  <w:rStyle w:val="InternetLink"/>
                  <w:rFonts w:ascii="Times New Roman;Times;Serif" w:hAnsi="Times New Roman;Times;Serif"/>
                  <w:sz w:val="20"/>
                </w:rPr>
                <w:t>Form of Polar Third Amendment to Forward Purchase Agreement</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2024-07-23</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63">
              <w:r>
                <w:rPr>
                  <w:rStyle w:val="InternetLink"/>
                  <w:rFonts w:ascii="Times New Roman;Times;Serif" w:hAnsi="Times New Roman;Times;Serif"/>
                  <w:sz w:val="20"/>
                </w:rPr>
                <w:t>Common Stock Purchase Agreement effective July 16, 2024 between the Company and White Lion</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2024-07-17</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64">
              <w:r>
                <w:rPr>
                  <w:rStyle w:val="InternetLink"/>
                  <w:rFonts w:ascii="Times New Roman;Times;Serif" w:hAnsi="Times New Roman;Times;Serif"/>
                  <w:sz w:val="20"/>
                </w:rPr>
                <w:t>Amendment No. 1 to Common Stock Purchase Agreement effective July 24, 2024 between the Company and White Lion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2024-07-26</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65">
              <w:r>
                <w:rPr>
                  <w:rStyle w:val="InternetLink"/>
                  <w:rFonts w:ascii="Times New Roman;Times;Serif" w:hAnsi="Times New Roman;Times;Serif"/>
                  <w:sz w:val="20"/>
                </w:rPr>
                <w:t>Amendment No. 2 to Common Stock Purchase Agreement effective August 14, 2024 between the Company and White Lion</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2024-08-20</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66">
              <w:r>
                <w:rPr>
                  <w:rStyle w:val="InternetLink"/>
                  <w:rFonts w:ascii="Times New Roman;Times;Serif" w:hAnsi="Times New Roman;Times;Serif"/>
                  <w:sz w:val="20"/>
                </w:rPr>
                <w:t>Registration Rights Agreement dated July 16, 2024 by and between the Company and White Lion</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2024-07-17</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10.27</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67">
              <w:r>
                <w:rPr>
                  <w:rStyle w:val="InternetLink"/>
                  <w:rFonts w:ascii="Times New Roman;Times;Serif" w:hAnsi="Times New Roman;Times;Serif"/>
                  <w:sz w:val="20"/>
                </w:rPr>
                <w:t>OTC Equity Prepaid Forward Transaction Third Amendment dated as of July 17, 2024 by and between Polar Multi-Strategy Master Fund and the Company</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POS AM</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333-273820</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10.47</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2024-07-18</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10.28</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68">
              <w:r>
                <w:rPr>
                  <w:rStyle w:val="InternetLink"/>
                  <w:rFonts w:ascii="Times New Roman;Times;Serif" w:hAnsi="Times New Roman;Times;Serif"/>
                  <w:sz w:val="20"/>
                </w:rPr>
                <w:t>Asset Purchase Agreement dated as of August 5, 2024 by and among the Company, SunPower Corporation and the other parties thereto</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2024-08-06</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10.29#</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69">
              <w:r>
                <w:rPr>
                  <w:rStyle w:val="InternetLink"/>
                  <w:rFonts w:ascii="Times New Roman;Times;Serif" w:hAnsi="Times New Roman;Times;Serif"/>
                  <w:sz w:val="20"/>
                </w:rPr>
                <w:t>Employment Agreement dated October 10, 2024 between the Company and Daniel Foley</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2024-10-16</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10.30</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70">
              <w:r>
                <w:rPr>
                  <w:rStyle w:val="InternetLink"/>
                  <w:rFonts w:ascii="Times New Roman;Times;Serif" w:hAnsi="Times New Roman;Times;Serif"/>
                  <w:sz w:val="20"/>
                </w:rPr>
                <w:t>Transition Services Agreement dated September 30, 2024 among Complete Solaria, Inc. and the other parties thereto</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2024-10-01</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10.31</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71">
              <w:r>
                <w:rPr>
                  <w:rStyle w:val="InternetLink"/>
                  <w:rFonts w:ascii="Times New Roman;Times;Serif" w:hAnsi="Times New Roman;Times;Serif"/>
                  <w:sz w:val="20"/>
                </w:rPr>
                <w:t>Form of Amendment to SAFE (2024)</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2024-04-22</w:t>
            </w:r>
          </w:p>
        </w:tc>
        <w:tc>
          <w:tcPr>
            <w:tcW w:w="137" w:type="dxa"/>
            <w:tcBorders/>
            <w:shd w:fill="CCEEFF" w:val="clear"/>
            <w:vAlign w:val="center"/>
          </w:tcPr>
          <w:p>
            <w:pPr>
              <w:pStyle w:val="TableContents"/>
              <w:bidi w:val="0"/>
              <w:spacing w:before="0" w:after="283"/>
              <w:jc w:val="left"/>
              <w:rPr/>
            </w:pPr>
            <w:r>
              <w:rPr/>
              <w:t> </w:t>
            </w:r>
          </w:p>
        </w:tc>
      </w:tr>
      <w:tr>
        <w:trPr/>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10.32#</w:t>
            </w:r>
          </w:p>
        </w:tc>
        <w:tc>
          <w:tcPr>
            <w:tcW w:w="90" w:type="dxa"/>
            <w:tcBorders/>
            <w:vAlign w:val="center"/>
          </w:tcPr>
          <w:p>
            <w:pPr>
              <w:pStyle w:val="TableContents"/>
              <w:bidi w:val="0"/>
              <w:spacing w:before="0" w:after="283"/>
              <w:jc w:val="left"/>
              <w:rPr/>
            </w:pPr>
            <w:r>
              <w:rPr/>
              <w:t> </w:t>
            </w:r>
          </w:p>
        </w:tc>
        <w:tc>
          <w:tcPr>
            <w:tcW w:w="6511" w:type="dxa"/>
            <w:tcBorders/>
            <w:vAlign w:val="center"/>
          </w:tcPr>
          <w:p>
            <w:pPr>
              <w:pStyle w:val="TableContents"/>
              <w:bidi w:val="0"/>
              <w:spacing w:before="0" w:after="283"/>
              <w:jc w:val="both"/>
              <w:rPr/>
            </w:pPr>
            <w:hyperlink r:id="rId72">
              <w:r>
                <w:rPr>
                  <w:rStyle w:val="InternetLink"/>
                  <w:rFonts w:ascii="Times New Roman;Times;Serif" w:hAnsi="Times New Roman;Times;Serif"/>
                  <w:sz w:val="20"/>
                </w:rPr>
                <w:t>Executive Employment Agreement dated April 24, 2024 between the Company and Brian Wubbels</w:t>
              </w:r>
            </w:hyperlink>
          </w:p>
        </w:tc>
        <w:tc>
          <w:tcPr>
            <w:tcW w:w="90"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90"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2024-08-14</w:t>
            </w:r>
          </w:p>
        </w:tc>
        <w:tc>
          <w:tcPr>
            <w:tcW w:w="137" w:type="dxa"/>
            <w:tcBorders/>
            <w:vAlign w:val="center"/>
          </w:tcPr>
          <w:p>
            <w:pPr>
              <w:pStyle w:val="TableContents"/>
              <w:bidi w:val="0"/>
              <w:spacing w:before="0" w:after="283"/>
              <w:jc w:val="left"/>
              <w:rPr/>
            </w:pPr>
            <w:r>
              <w:rPr/>
              <w:t> </w:t>
            </w:r>
          </w:p>
        </w:tc>
      </w:tr>
      <w:tr>
        <w:trPr/>
        <w:tc>
          <w:tcPr>
            <w:tcW w:w="5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10.33</w:t>
            </w:r>
          </w:p>
        </w:tc>
        <w:tc>
          <w:tcPr>
            <w:tcW w:w="90" w:type="dxa"/>
            <w:tcBorders/>
            <w:shd w:fill="CCEEFF" w:val="clear"/>
            <w:vAlign w:val="center"/>
          </w:tcPr>
          <w:p>
            <w:pPr>
              <w:pStyle w:val="TableContents"/>
              <w:bidi w:val="0"/>
              <w:spacing w:before="0" w:after="283"/>
              <w:jc w:val="left"/>
              <w:rPr/>
            </w:pPr>
            <w:r>
              <w:rPr/>
              <w:t> </w:t>
            </w:r>
          </w:p>
        </w:tc>
        <w:tc>
          <w:tcPr>
            <w:tcW w:w="6511" w:type="dxa"/>
            <w:tcBorders/>
            <w:shd w:fill="CCEEFF" w:val="clear"/>
            <w:vAlign w:val="center"/>
          </w:tcPr>
          <w:p>
            <w:pPr>
              <w:pStyle w:val="TableContents"/>
              <w:bidi w:val="0"/>
              <w:spacing w:before="0" w:after="283"/>
              <w:jc w:val="both"/>
              <w:rPr/>
            </w:pPr>
            <w:hyperlink r:id="rId73">
              <w:r>
                <w:rPr>
                  <w:rStyle w:val="InternetLink"/>
                  <w:rFonts w:ascii="Times New Roman;Times;Serif" w:hAnsi="Times New Roman;Times;Serif"/>
                  <w:sz w:val="20"/>
                </w:rPr>
                <w:t>Form of Sandia Second Amendment to Forward Purchase Agreement</w:t>
              </w:r>
            </w:hyperlink>
          </w:p>
        </w:tc>
        <w:tc>
          <w:tcPr>
            <w:tcW w:w="9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2024-05-14</w:t>
            </w:r>
          </w:p>
        </w:tc>
        <w:tc>
          <w:tcPr>
            <w:tcW w:w="137"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0"/>
        <w:gridCol w:w="6574"/>
        <w:gridCol w:w="90"/>
        <w:gridCol w:w="378"/>
        <w:gridCol w:w="90"/>
        <w:gridCol w:w="841"/>
        <w:gridCol w:w="90"/>
        <w:gridCol w:w="515"/>
        <w:gridCol w:w="90"/>
        <w:gridCol w:w="736"/>
        <w:gridCol w:w="136"/>
      </w:tblGrid>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74">
              <w:r>
                <w:rPr>
                  <w:rStyle w:val="InternetLink"/>
                  <w:rFonts w:ascii="Times New Roman;Times;Serif" w:hAnsi="Times New Roman;Times;Serif"/>
                  <w:sz w:val="20"/>
                </w:rPr>
                <w:t>Form of Polar Second Amendment to Forward Purchase Agreement</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2024-05-14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75">
              <w:r>
                <w:rPr>
                  <w:rStyle w:val="InternetLink"/>
                  <w:rFonts w:ascii="Times New Roman;Times;Serif" w:hAnsi="Times New Roman;Times;Serif"/>
                  <w:sz w:val="20"/>
                </w:rPr>
                <w:t>Form of SAFE (May 2024)</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2024-05-17</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76">
              <w:r>
                <w:rPr>
                  <w:rStyle w:val="InternetLink"/>
                  <w:rFonts w:ascii="Times New Roman;Times;Serif" w:hAnsi="Times New Roman;Times;Serif"/>
                  <w:sz w:val="20"/>
                </w:rPr>
                <w:t>Separation Agreement with Chris Lundell dated as of May 18, 2024</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10-Q</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2024-08-14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77">
              <w:r>
                <w:rPr>
                  <w:rStyle w:val="InternetLink"/>
                  <w:rFonts w:ascii="Times New Roman;Times;Serif" w:hAnsi="Times New Roman;Times;Serif"/>
                  <w:sz w:val="20"/>
                </w:rPr>
                <w:t>Form of Sandia Third Amendment to Forward Purchase Agreement</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2024-06-20</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78">
              <w:r>
                <w:rPr>
                  <w:rStyle w:val="InternetLink"/>
                  <w:rFonts w:ascii="Times New Roman;Times;Serif" w:hAnsi="Times New Roman;Times;Serif"/>
                  <w:sz w:val="20"/>
                </w:rPr>
                <w:t>Form of Siemens v. Solaria Final Order</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2024-06-21</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79">
              <w:r>
                <w:rPr>
                  <w:rStyle w:val="InternetLink"/>
                  <w:rFonts w:ascii="Times New Roman;Times;Serif" w:hAnsi="Times New Roman;Times;Serif"/>
                  <w:sz w:val="20"/>
                </w:rPr>
                <w:t>Form of Common Stock Warrant (2024)</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2024-06-24</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80">
              <w:r>
                <w:rPr>
                  <w:rStyle w:val="InternetLink"/>
                  <w:rFonts w:ascii="Times New Roman;Times;Serif" w:hAnsi="Times New Roman;Times;Serif"/>
                  <w:sz w:val="20"/>
                </w:rPr>
                <w:t>Form of Statement of Work (2024)</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2024-06-24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10.41#</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81">
              <w:r>
                <w:rPr>
                  <w:rStyle w:val="InternetLink"/>
                  <w:rFonts w:ascii="Times New Roman;Times;Serif" w:hAnsi="Times New Roman;Times;Serif"/>
                  <w:sz w:val="20"/>
                </w:rPr>
                <w:t>Amended and Restated Omnibus Incentive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10.42#</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left"/>
              <w:rPr/>
            </w:pPr>
            <w:hyperlink r:id="rId82">
              <w:r>
                <w:rPr>
                  <w:rStyle w:val="InternetLink"/>
                  <w:rFonts w:ascii="Times New Roman;Times;Serif" w:hAnsi="Times New Roman;Times;Serif"/>
                  <w:sz w:val="20"/>
                </w:rPr>
                <w:t>Amended and Restated 2021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10.43#</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left"/>
              <w:rPr/>
            </w:pPr>
            <w:hyperlink r:id="rId83">
              <w:r>
                <w:rPr>
                  <w:rStyle w:val="InternetLink"/>
                  <w:rFonts w:ascii="Times New Roman;Times;Serif" w:hAnsi="Times New Roman;Times;Serif"/>
                  <w:sz w:val="20"/>
                </w:rPr>
                <w:t>Forms of Option Agreement and Option Exercise under 2021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10.10</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left"/>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84">
              <w:r>
                <w:rPr>
                  <w:rStyle w:val="InternetLink"/>
                  <w:rFonts w:ascii="Times New Roman;Times;Serif" w:hAnsi="Times New Roman;Times;Serif"/>
                  <w:sz w:val="20"/>
                </w:rPr>
                <w:t>Solaria Corporation 2016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85">
              <w:r>
                <w:rPr>
                  <w:rStyle w:val="InternetLink"/>
                  <w:rFonts w:ascii="Times New Roman;Times;Serif" w:hAnsi="Times New Roman;Times;Serif"/>
                  <w:sz w:val="20"/>
                </w:rPr>
                <w:t>Forms of Option Agreement and Notice of Exercise under 2016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10.12</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86">
              <w:r>
                <w:rPr>
                  <w:rStyle w:val="InternetLink"/>
                  <w:rFonts w:ascii="Times New Roman;Times;Serif" w:hAnsi="Times New Roman;Times;Serif"/>
                  <w:sz w:val="20"/>
                </w:rPr>
                <w:t>Complete Solaria 2011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10.13</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87">
              <w:r>
                <w:rPr>
                  <w:rStyle w:val="InternetLink"/>
                  <w:rFonts w:ascii="Times New Roman;Times;Serif" w:hAnsi="Times New Roman;Times;Serif"/>
                  <w:sz w:val="20"/>
                </w:rPr>
                <w:t>Forms of Option Agreement and Option Exercise under 2011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10.14</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88">
              <w:r>
                <w:rPr>
                  <w:rStyle w:val="InternetLink"/>
                  <w:rFonts w:ascii="Times New Roman;Times;Serif" w:hAnsi="Times New Roman;Times;Serif"/>
                  <w:sz w:val="20"/>
                </w:rPr>
                <w:t>Solaria Corporation 2006 Stock Plan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10.15</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89">
              <w:r>
                <w:rPr>
                  <w:rStyle w:val="InternetLink"/>
                  <w:rFonts w:ascii="Times New Roman;Times;Serif" w:hAnsi="Times New Roman;Times;Serif"/>
                  <w:sz w:val="20"/>
                </w:rPr>
                <w:t>Forms of Option Agreement, Restricted Stock Agreement and Early Exercise under 2006 Stock Plan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10.16</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2023-07-24</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10.50</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0">
              <w:r>
                <w:rPr>
                  <w:rStyle w:val="InternetLink"/>
                  <w:rFonts w:ascii="Times New Roman;Times;Serif" w:hAnsi="Times New Roman;Times;Serif"/>
                  <w:sz w:val="20"/>
                </w:rPr>
                <w:t>Form of Common Stock Purchase Agreement</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333-273820</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2024-07-19</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10.51#</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1">
              <w:r>
                <w:rPr>
                  <w:rStyle w:val="InternetLink"/>
                  <w:rFonts w:ascii="Times New Roman;Times;Serif" w:hAnsi="Times New Roman;Times;Serif"/>
                  <w:sz w:val="20"/>
                </w:rPr>
                <w:t>Form of Employment Extension Agreement</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2024-07-5</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10.52</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2">
              <w:r>
                <w:rPr>
                  <w:rStyle w:val="InternetLink"/>
                  <w:rFonts w:ascii="Times New Roman;Times;Serif" w:hAnsi="Times New Roman;Times;Serif"/>
                  <w:sz w:val="20"/>
                </w:rPr>
                <w:t>Controlled Equity Offering</w:t>
              </w:r>
            </w:hyperlink>
            <w:hyperlink r:id="rId93">
              <w:r>
                <w:rPr>
                  <w:rStyle w:val="InternetLink"/>
                  <w:rFonts w:ascii="Times New Roman;Times;Serif" w:hAnsi="Times New Roman;Times;Serif"/>
                  <w:position w:val="7"/>
                  <w:sz w:val="16"/>
                  <w:sz w:val="20"/>
                </w:rPr>
                <w:t>SM</w:t>
              </w:r>
            </w:hyperlink>
            <w:hyperlink r:id="rId94">
              <w:r>
                <w:rPr>
                  <w:rStyle w:val="InternetLink"/>
                  <w:rFonts w:ascii="Times New Roman;Times;Serif" w:hAnsi="Times New Roman;Times;Serif"/>
                  <w:sz w:val="20"/>
                </w:rPr>
                <w:t xml:space="preserve"> Sales Agreement, dated December 19, 2024, by and between Complete Solaria, Inc. and Cantor Fitzgerald &amp; Co.</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333-283948</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2024-12-20</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10.53</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5">
              <w:r>
                <w:rPr>
                  <w:rStyle w:val="InternetLink"/>
                  <w:rFonts w:ascii="Times New Roman;Times;Serif" w:hAnsi="Times New Roman;Times;Serif"/>
                  <w:sz w:val="20"/>
                </w:rPr>
                <w:t>Convertible Promissory Note dated July 10, 2025</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2025-07-16</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6">
              <w:r>
                <w:rPr>
                  <w:rStyle w:val="InternetLink"/>
                  <w:rFonts w:ascii="Times New Roman;Times;Serif" w:hAnsi="Times New Roman;Times;Serif"/>
                  <w:sz w:val="20"/>
                </w:rPr>
                <w:t>Form of Amendment to OTC Equity Prepaid Forward Transaction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2025-07-21</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7">
              <w:r>
                <w:rPr>
                  <w:rStyle w:val="InternetLink"/>
                  <w:rFonts w:ascii="Times New Roman;Times;Serif" w:hAnsi="Times New Roman;Times;Serif"/>
                  <w:sz w:val="20"/>
                </w:rPr>
                <w:t>Fourth Amendment to OTC Equity Prepaid Forward Transaction</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2025-07-21</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98">
              <w:r>
                <w:rPr>
                  <w:rStyle w:val="InternetLink"/>
                  <w:rFonts w:ascii="Times New Roman;Times;Serif" w:hAnsi="Times New Roman;Times;Serif"/>
                  <w:sz w:val="20"/>
                </w:rPr>
                <w:t>Fifth Amendment to OTC Equity Prepaid Forward Transaction</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2025-08-04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99">
              <w:r>
                <w:rPr>
                  <w:rStyle w:val="InternetLink"/>
                  <w:rFonts w:ascii="Times New Roman;Times;Serif" w:hAnsi="Times New Roman;Times;Serif"/>
                  <w:sz w:val="20"/>
                </w:rPr>
                <w:t>Membership Interest Purchase agreement, dated September 21, 2025, by and among the Company, Complete Solar, Inc., Sunder Energy LLC and Chicken Parm Pizza LLC</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0">
              <w:r>
                <w:rPr>
                  <w:rStyle w:val="InternetLink"/>
                  <w:rFonts w:ascii="Times New Roman;Times;Serif" w:hAnsi="Times New Roman;Times;Serif"/>
                  <w:sz w:val="20"/>
                </w:rPr>
                <w:t>Form of Seller Note</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1">
              <w:r>
                <w:rPr>
                  <w:rStyle w:val="InternetLink"/>
                  <w:rFonts w:ascii="Times New Roman;Times;Serif" w:hAnsi="Times New Roman;Times;Serif"/>
                  <w:sz w:val="20"/>
                </w:rPr>
                <w:t>Form of September 2025 Note Purchase Agreement</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2025-09-22</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10.60</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2">
              <w:r>
                <w:rPr>
                  <w:rStyle w:val="InternetLink"/>
                  <w:rFonts w:ascii="Times New Roman;Times;Serif" w:hAnsi="Times New Roman;Times;Serif"/>
                  <w:sz w:val="20"/>
                </w:rPr>
                <w:t>Amendment No. 3 to Common Stock Purchase Agreement, dated January 11, 2026, by and between SunPower Inc. and White Lion Capital, LLC</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10.1 </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2026-01-12</w:t>
            </w:r>
          </w:p>
        </w:tc>
        <w:tc>
          <w:tcPr>
            <w:tcW w:w="136" w:type="dxa"/>
            <w:tcBorders/>
            <w:shd w:fill="CCEEFF" w:val="cle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10.61</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3">
              <w:r>
                <w:rPr>
                  <w:rStyle w:val="InternetLink"/>
                  <w:rFonts w:ascii="Times New Roman;Times;Serif" w:hAnsi="Times New Roman;Times;Serif"/>
                  <w:sz w:val="20"/>
                </w:rPr>
                <w:t>Standby Equity Purchase Agreement, dated as of January 27, 2026, by and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10.62</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4">
              <w:r>
                <w:rPr>
                  <w:rStyle w:val="InternetLink"/>
                  <w:rFonts w:ascii="Times New Roman;Times;Serif" w:hAnsi="Times New Roman;Times;Serif"/>
                  <w:sz w:val="20"/>
                </w:rPr>
                <w:t>Convertible Promissory Note, dated as of January 27, 2026, issued to YA II PN, LTD</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10.63</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5">
              <w:r>
                <w:rPr>
                  <w:rStyle w:val="InternetLink"/>
                  <w:rFonts w:ascii="Times New Roman;Times;Serif" w:hAnsi="Times New Roman;Times;Serif"/>
                  <w:sz w:val="20"/>
                </w:rPr>
                <w:t>Registration Rights Agreement, dated as of January 27, 2026,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2026-01-30</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10.64</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6">
              <w:r>
                <w:rPr>
                  <w:rStyle w:val="InternetLink"/>
                  <w:rFonts w:ascii="Times New Roman;Times;Serif" w:hAnsi="Times New Roman;Times;Serif"/>
                  <w:sz w:val="20"/>
                </w:rPr>
                <w:t>Amendment and Agreement dated March 5, 2026 between SunPower Inc. and Chicken Parm Pizza LLC</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10.65#</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7">
              <w:r>
                <w:rPr>
                  <w:rStyle w:val="InternetLink"/>
                  <w:rFonts w:ascii="Times New Roman;Times;Serif" w:hAnsi="Times New Roman;Times;Serif"/>
                  <w:sz w:val="20"/>
                </w:rPr>
                <w:t>Offer Letter dated February 1, 2026 between SunPower Inc. and Wendell Laidley</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2026-02-05</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10.66#</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08">
              <w:r>
                <w:rPr>
                  <w:rStyle w:val="InternetLink"/>
                  <w:rFonts w:ascii="Times New Roman;Times;Serif" w:hAnsi="Times New Roman;Times;Serif"/>
                  <w:sz w:val="20"/>
                </w:rPr>
                <w:t>Form of Restricted Stock Inducement Agreement</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10.65</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2026-04-14</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10.67</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09">
              <w:r>
                <w:rPr>
                  <w:rStyle w:val="InternetLink"/>
                  <w:rFonts w:ascii="Times New Roman;Times;Serif" w:hAnsi="Times New Roman;Times;Serif"/>
                  <w:sz w:val="20"/>
                </w:rPr>
                <w:t>Purchase Agreement, dated March 6, 2026,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vAlign w:val="center"/>
          </w:tcPr>
          <w:p>
            <w:pPr>
              <w:pStyle w:val="TableContents"/>
              <w:bidi w:val="0"/>
              <w:spacing w:before="0" w:after="283"/>
              <w:jc w:val="center"/>
              <w:rPr/>
            </w:pPr>
            <w:r>
              <w:rPr/>
              <w:t> </w:t>
            </w:r>
          </w:p>
        </w:tc>
      </w:tr>
      <w:tr>
        <w:trPr/>
        <w:tc>
          <w:tcPr>
            <w:tcW w:w="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10.68</w:t>
            </w:r>
          </w:p>
        </w:tc>
        <w:tc>
          <w:tcPr>
            <w:tcW w:w="90" w:type="dxa"/>
            <w:tcBorders/>
            <w:shd w:fill="CCEEFF" w:val="clear"/>
            <w:vAlign w:val="center"/>
          </w:tcPr>
          <w:p>
            <w:pPr>
              <w:pStyle w:val="TableContents"/>
              <w:bidi w:val="0"/>
              <w:spacing w:before="0" w:after="283"/>
              <w:jc w:val="left"/>
              <w:rPr/>
            </w:pPr>
            <w:r>
              <w:rPr/>
              <w:t> </w:t>
            </w:r>
          </w:p>
        </w:tc>
        <w:tc>
          <w:tcPr>
            <w:tcW w:w="6574" w:type="dxa"/>
            <w:tcBorders/>
            <w:shd w:fill="CCEEFF" w:val="clear"/>
            <w:vAlign w:val="center"/>
          </w:tcPr>
          <w:p>
            <w:pPr>
              <w:pStyle w:val="TableContents"/>
              <w:bidi w:val="0"/>
              <w:spacing w:before="0" w:after="283"/>
              <w:jc w:val="both"/>
              <w:rPr/>
            </w:pPr>
            <w:hyperlink r:id="rId110">
              <w:r>
                <w:rPr>
                  <w:rStyle w:val="InternetLink"/>
                  <w:rFonts w:ascii="Times New Roman;Times;Serif" w:hAnsi="Times New Roman;Times;Serif"/>
                  <w:sz w:val="20"/>
                </w:rPr>
                <w:t>Convertible Debenture, dated March 6, 2026, between SunPower Inc. and YA II PN, LTD.</w:t>
              </w:r>
            </w:hyperlink>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shd w:fill="CCEEFF" w:val="clear"/>
            <w:vAlign w:val="center"/>
          </w:tcPr>
          <w:p>
            <w:pPr>
              <w:pStyle w:val="TableContents"/>
              <w:bidi w:val="0"/>
              <w:spacing w:before="0" w:after="283"/>
              <w:jc w:val="center"/>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10.69</w:t>
            </w:r>
          </w:p>
        </w:tc>
        <w:tc>
          <w:tcPr>
            <w:tcW w:w="90" w:type="dxa"/>
            <w:tcBorders/>
            <w:vAlign w:val="center"/>
          </w:tcPr>
          <w:p>
            <w:pPr>
              <w:pStyle w:val="TableContents"/>
              <w:bidi w:val="0"/>
              <w:spacing w:before="0" w:after="283"/>
              <w:jc w:val="left"/>
              <w:rPr/>
            </w:pPr>
            <w:r>
              <w:rPr/>
              <w:t> </w:t>
            </w:r>
          </w:p>
        </w:tc>
        <w:tc>
          <w:tcPr>
            <w:tcW w:w="6574" w:type="dxa"/>
            <w:tcBorders/>
            <w:vAlign w:val="center"/>
          </w:tcPr>
          <w:p>
            <w:pPr>
              <w:pStyle w:val="TableContents"/>
              <w:bidi w:val="0"/>
              <w:spacing w:before="0" w:after="283"/>
              <w:jc w:val="both"/>
              <w:rPr/>
            </w:pPr>
            <w:hyperlink r:id="rId111">
              <w:r>
                <w:rPr>
                  <w:rStyle w:val="InternetLink"/>
                  <w:rFonts w:ascii="Times New Roman;Times;Serif" w:hAnsi="Times New Roman;Times;Serif"/>
                  <w:sz w:val="20"/>
                </w:rPr>
                <w:t>Registration Rights Agreement, dated March 6, 2026, between SunPower Inc. and YA II PN, LTD.</w:t>
              </w:r>
            </w:hyperlink>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2026-03-11</w:t>
            </w:r>
          </w:p>
        </w:tc>
        <w:tc>
          <w:tcPr>
            <w:tcW w:w="136"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0"/>
        <w:gridCol w:w="6747"/>
        <w:gridCol w:w="90"/>
        <w:gridCol w:w="374"/>
        <w:gridCol w:w="90"/>
        <w:gridCol w:w="832"/>
        <w:gridCol w:w="90"/>
        <w:gridCol w:w="410"/>
        <w:gridCol w:w="90"/>
        <w:gridCol w:w="725"/>
        <w:gridCol w:w="137"/>
      </w:tblGrid>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10.70</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r:id="rId112">
              <w:r>
                <w:rPr>
                  <w:rStyle w:val="InternetLink"/>
                  <w:rFonts w:ascii="Times New Roman;Times;Serif" w:hAnsi="Times New Roman;Times;Serif"/>
                  <w:sz w:val="20"/>
                </w:rPr>
                <w:t>Form of Note Purchase Agreement</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10.71</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r:id="rId113">
              <w:r>
                <w:rPr>
                  <w:rStyle w:val="InternetLink"/>
                  <w:rFonts w:ascii="Times New Roman;Times;Serif" w:hAnsi="Times New Roman;Times;Serif"/>
                  <w:sz w:val="20"/>
                </w:rPr>
                <w:t>Affiliate Note Purchase Agreement, dated April 21, 2026</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10.72</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r:id="rId114">
              <w:r>
                <w:rPr>
                  <w:rStyle w:val="InternetLink"/>
                  <w:rFonts w:ascii="Times New Roman;Times;Serif" w:hAnsi="Times New Roman;Times;Serif"/>
                  <w:sz w:val="20"/>
                </w:rPr>
                <w:t>Note Purchase and Exchange Agreement, dated April 21, 2026, between SunPower Inc. and Chicken Parm Pizza LLC</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10.73</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r:id="rId115">
              <w:r>
                <w:rPr>
                  <w:rStyle w:val="InternetLink"/>
                  <w:rFonts w:ascii="Times New Roman;Times;Serif" w:hAnsi="Times New Roman;Times;Serif"/>
                  <w:sz w:val="20"/>
                </w:rPr>
                <w:t>Pledge and Security Agreement dated April 23, 2026 between SunPower Inc., the Grantor party thereto and U.S. Bank Trust Company, National Association</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10.74</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r:id="rId116">
              <w:r>
                <w:rPr>
                  <w:rStyle w:val="InternetLink"/>
                  <w:rFonts w:ascii="Times New Roman;Times;Serif" w:hAnsi="Times New Roman;Times;Serif"/>
                  <w:sz w:val="20"/>
                </w:rPr>
                <w:t>Patent Security Agreement dated April 23, 2026 between SunPower Inc., the Guarantor party thereto and U.S. Bank Trust Company, National Association</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10.75</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r:id="rId117">
              <w:r>
                <w:rPr>
                  <w:rStyle w:val="InternetLink"/>
                  <w:rFonts w:ascii="Times New Roman;Times;Serif" w:hAnsi="Times New Roman;Times;Serif"/>
                  <w:sz w:val="20"/>
                </w:rPr>
                <w:t>Trademark Security Agreement dated April 23, 2026 between SunPower Inc., the Guarantor party thereto and U.S. Bank Trust Company, National Association</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2026-04-29</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10.76</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r:id="rId118">
              <w:r>
                <w:rPr>
                  <w:rStyle w:val="InternetLink"/>
                  <w:rFonts w:ascii="Times New Roman;Times;Serif" w:hAnsi="Times New Roman;Times;Serif"/>
                  <w:sz w:val="20"/>
                </w:rPr>
                <w:t>Letter Agreement, dated April 21, 2026, between SunPower Inc. and YA II PN, Ltd.</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10.77</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r:id="rId119">
              <w:r>
                <w:rPr>
                  <w:rStyle w:val="InternetLink"/>
                  <w:rFonts w:ascii="Times New Roman;Times;Serif" w:hAnsi="Times New Roman;Times;Serif"/>
                  <w:sz w:val="20"/>
                </w:rPr>
                <w:t>Form of Exchange Agreement</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2026-04-22</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r:id="rId120">
              <w:r>
                <w:rPr>
                  <w:rStyle w:val="InternetLink"/>
                  <w:rFonts w:ascii="Times New Roman;Times;Serif" w:hAnsi="Times New Roman;Times;Serif"/>
                  <w:sz w:val="20"/>
                </w:rPr>
                <w:t>Code of Business Conduct and Ethics</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2026-04-14</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r:id="rId121">
              <w:r>
                <w:rPr>
                  <w:rStyle w:val="InternetLink"/>
                  <w:rFonts w:ascii="Times New Roman;Times;Serif" w:hAnsi="Times New Roman;Times;Serif"/>
                  <w:sz w:val="20"/>
                </w:rPr>
                <w:t>Letter from Deloitte &amp; Touche LLP</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8-K</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2024-08-01</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r:id="rId122">
              <w:r>
                <w:rPr>
                  <w:rStyle w:val="InternetLink"/>
                  <w:rFonts w:ascii="Times New Roman;Times;Serif" w:hAnsi="Times New Roman;Times;Serif"/>
                  <w:sz w:val="20"/>
                </w:rPr>
                <w:t>Insider Trading Policy</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10-K</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001-40117</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19.1</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2025-04-30</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r:id="rId123">
              <w:r>
                <w:rPr>
                  <w:rStyle w:val="InternetLink"/>
                  <w:rFonts w:ascii="Times New Roman;Times;Serif" w:hAnsi="Times New Roman;Times;Serif"/>
                  <w:sz w:val="20"/>
                </w:rPr>
                <w:t>List of Subsidiaries</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333-273820</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2023-08-09</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w:anchor="ea029443301ex23-1.htm">
              <w:r>
                <w:rPr>
                  <w:rStyle w:val="InternetLink"/>
                  <w:rFonts w:ascii="Times New Roman;Times;Serif" w:hAnsi="Times New Roman;Times;Serif"/>
                  <w:sz w:val="20"/>
                </w:rPr>
                <w:t>Consent of BDO USA, P.C.</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w:anchor="ea029443301ex23-2.htm">
              <w:r>
                <w:rPr>
                  <w:rStyle w:val="InternetLink"/>
                  <w:rFonts w:ascii="Times New Roman;Times;Serif" w:hAnsi="Times New Roman;Times;Serif"/>
                  <w:sz w:val="20"/>
                </w:rPr>
                <w:t>Consent of BDO USA, P.C.</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w:anchor="ea029443301ex23-3.htm">
              <w:r>
                <w:rPr>
                  <w:rStyle w:val="InternetLink"/>
                  <w:rFonts w:ascii="Times New Roman;Times;Serif" w:hAnsi="Times New Roman;Times;Serif"/>
                  <w:sz w:val="20"/>
                </w:rPr>
                <w:t>Consent of Tanner LLP</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pPr>
            <w:hyperlink w:anchor="ea029443301ex5-1.htm">
              <w:r>
                <w:rPr>
                  <w:rStyle w:val="InternetLink"/>
                  <w:rFonts w:ascii="Times New Roman;Times;Serif" w:hAnsi="Times New Roman;Times;Serif"/>
                  <w:sz w:val="20"/>
                </w:rPr>
                <w:t>Consent of Arnold &amp; Porter Kaye Scholer LLP (included in Exhibit 5.1)</w:t>
              </w:r>
            </w:hyperlink>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Document Set for the consolidated condensed financial statements and accompanying notes in Consolidated Condensed Financial Statements and Supplemental Details</w:t>
            </w:r>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pPr>
            <w:r>
              <w:rPr/>
              <w:t> </w:t>
            </w:r>
          </w:p>
        </w:tc>
        <w:tc>
          <w:tcPr>
            <w:tcW w:w="137" w:type="dxa"/>
            <w:tcBorders/>
            <w:shd w:fill="CCEEFF" w:val="clear"/>
            <w:vAlign w:val="center"/>
          </w:tcPr>
          <w:p>
            <w:pPr>
              <w:pStyle w:val="TableContents"/>
              <w:bidi w:val="0"/>
              <w:spacing w:before="0" w:after="283"/>
              <w:jc w:val="center"/>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vAlign w:val="center"/>
          </w:tcPr>
          <w:p>
            <w:pPr>
              <w:pStyle w:val="TableContents"/>
              <w:bidi w:val="0"/>
              <w:spacing w:before="0" w:after="283"/>
              <w:jc w:val="left"/>
              <w:rPr/>
            </w:pPr>
            <w:r>
              <w:rPr/>
              <w:t> </w:t>
            </w:r>
          </w:p>
        </w:tc>
        <w:tc>
          <w:tcPr>
            <w:tcW w:w="6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 formatted in Inline XBRL and included as Exhibit 101</w:t>
            </w:r>
          </w:p>
        </w:tc>
        <w:tc>
          <w:tcPr>
            <w:tcW w:w="9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center"/>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pPr>
            <w:r>
              <w:rPr/>
              <w:t> </w:t>
            </w:r>
          </w:p>
        </w:tc>
        <w:tc>
          <w:tcPr>
            <w:tcW w:w="6747" w:type="dxa"/>
            <w:tcBorders/>
            <w:shd w:fill="CCEEFF" w:val="clear"/>
            <w:vAlign w:val="center"/>
          </w:tcPr>
          <w:p>
            <w:pPr>
              <w:pStyle w:val="TableContents"/>
              <w:bidi w:val="0"/>
              <w:spacing w:before="0" w:after="283"/>
              <w:jc w:val="both"/>
              <w:rPr/>
            </w:pPr>
            <w:hyperlink w:anchor="ea029443301ex-fee.htm">
              <w:r>
                <w:rPr>
                  <w:rStyle w:val="InternetLink"/>
                  <w:rFonts w:ascii="Times New Roman;Times;Serif" w:hAnsi="Times New Roman;Times;Serif"/>
                  <w:sz w:val="20"/>
                </w:rPr>
                <w:t>Filing Fee Table</w:t>
              </w:r>
            </w:hyperlink>
          </w:p>
        </w:tc>
        <w:tc>
          <w:tcPr>
            <w:tcW w:w="9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6820" w:type="dxa"/>
        <w:jc w:val="left"/>
        <w:tblInd w:w="0" w:type="dxa"/>
        <w:tblLayout w:type="fixed"/>
        <w:tblCellMar>
          <w:top w:w="0" w:type="dxa"/>
          <w:left w:w="0" w:type="dxa"/>
          <w:bottom w:w="0" w:type="dxa"/>
          <w:right w:w="0" w:type="dxa"/>
        </w:tblCellMar>
      </w:tblPr>
      <w:tblGrid>
        <w:gridCol w:w="215"/>
        <w:gridCol w:w="6605"/>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215" w:type="dxa"/>
            <w:tcBorders/>
            <w:vAlign w:val="center"/>
          </w:tcPr>
          <w:p>
            <w:pPr>
              <w:pStyle w:val="TableContents"/>
              <w:bidi w:val="0"/>
              <w:spacing w:before="0" w:after="283"/>
              <w:jc w:val="both"/>
              <w:rPr/>
            </w:pPr>
            <w:r>
              <w:rPr/>
              <w:t> </w:t>
            </w:r>
          </w:p>
        </w:tc>
        <w:tc>
          <w:tcPr>
            <w:tcW w:w="6605" w:type="dxa"/>
            <w:tcBorders/>
            <w:vAlign w:val="center"/>
          </w:tcPr>
          <w:p>
            <w:pPr>
              <w:pStyle w:val="TableContents"/>
              <w:bidi w:val="0"/>
              <w:spacing w:before="0" w:after="283"/>
              <w:jc w:val="left"/>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a management contract or compensatory plan, contract or arrangement.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during any period in which offers or sales are being made, a post-effective amendment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which remain unsold at the termination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Post-Effective Amendment No. 1 to the registration statement to be signed on its behalf by the undersigned, thereunto duly authorized, in Orem, Utah, on June 29, 2026.</w:t>
      </w:r>
    </w:p>
    <w:p>
      <w:pPr>
        <w:pStyle w:val="TextBody"/>
        <w:bidi w:val="0"/>
        <w:spacing w:before="0" w:after="0"/>
        <w:jc w:val="center"/>
        <w:rPr>
          <w:caps/>
        </w:rPr>
      </w:pPr>
      <w:r>
        <w:rPr>
          <w:caps/>
        </w:rPr>
        <w:t> </w:t>
      </w:r>
    </w:p>
    <w:tbl>
      <w:tblPr>
        <w:tblW w:w="5190" w:type="dxa"/>
        <w:jc w:val="left"/>
        <w:tblInd w:w="0" w:type="dxa"/>
        <w:tblLayout w:type="fixed"/>
        <w:tblCellMar>
          <w:top w:w="0" w:type="dxa"/>
          <w:left w:w="0" w:type="dxa"/>
          <w:bottom w:w="0" w:type="dxa"/>
          <w:right w:w="0" w:type="dxa"/>
        </w:tblCellMar>
      </w:tblPr>
      <w:tblGrid>
        <w:gridCol w:w="105"/>
        <w:gridCol w:w="350"/>
        <w:gridCol w:w="665"/>
        <w:gridCol w:w="4070"/>
      </w:tblGrid>
      <w:tr>
        <w:trPr/>
        <w:tc>
          <w:tcPr>
            <w:tcW w:w="105" w:type="dxa"/>
            <w:tcBorders/>
            <w:vAlign w:val="center"/>
          </w:tcPr>
          <w:p>
            <w:pPr>
              <w:pStyle w:val="TableContents"/>
              <w:bidi w:val="0"/>
              <w:spacing w:before="0" w:after="283"/>
              <w:jc w:val="left"/>
              <w:rPr/>
            </w:pPr>
            <w:r>
              <w:rPr/>
              <w:t> </w:t>
            </w:r>
          </w:p>
        </w:tc>
        <w:tc>
          <w:tcPr>
            <w:tcW w:w="508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SUNPOWER INC.</w:t>
            </w:r>
          </w:p>
        </w:tc>
      </w:tr>
      <w:tr>
        <w:trPr/>
        <w:tc>
          <w:tcPr>
            <w:tcW w:w="105" w:type="dxa"/>
            <w:tcBorders/>
            <w:vAlign w:val="center"/>
          </w:tcPr>
          <w:p>
            <w:pPr>
              <w:pStyle w:val="TableContents"/>
              <w:bidi w:val="0"/>
              <w:spacing w:before="0" w:after="283"/>
              <w:jc w:val="left"/>
              <w:rPr/>
            </w:pPr>
            <w:r>
              <w:rPr/>
              <w:t> </w:t>
            </w:r>
          </w:p>
        </w:tc>
        <w:tc>
          <w:tcPr>
            <w:tcW w:w="5085"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Thurman J. Rodgers</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Executive Chairman</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POWER OF ATTORNEY</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hereby constitutes and appoints Thurman J. Rodgers as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8430" w:type="dxa"/>
        <w:jc w:val="left"/>
        <w:tblInd w:w="0" w:type="dxa"/>
        <w:tblLayout w:type="fixed"/>
        <w:tblCellMar>
          <w:top w:w="0" w:type="dxa"/>
          <w:left w:w="0" w:type="dxa"/>
          <w:bottom w:w="28" w:type="dxa"/>
          <w:right w:w="0" w:type="dxa"/>
        </w:tblCellMar>
      </w:tblPr>
      <w:tblGrid>
        <w:gridCol w:w="1955"/>
        <w:gridCol w:w="90"/>
        <w:gridCol w:w="5060"/>
        <w:gridCol w:w="90"/>
        <w:gridCol w:w="1235"/>
      </w:tblGrid>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50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Thurman J. Rodgers</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(Principal Executive Officer and Principal Financial Officer)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Lundell</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Antonio R. Alvarez</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Gishen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Ronald Pasek</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Tidjane Thiam</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Devin Whatley</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J. Anderson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Lothar Maier</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Jamie Haenggi</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Jamie Haenggi</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 Daniel McCranie</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Bernard Gutmann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2026</w:t>
            </w:r>
          </w:p>
        </w:tc>
      </w:tr>
      <w:tr>
        <w:trPr/>
        <w:tc>
          <w:tcPr>
            <w:tcW w:w="1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p>
        </w:tc>
        <w:tc>
          <w:tcPr>
            <w:tcW w:w="90" w:type="dxa"/>
            <w:tcBorders/>
            <w:tcMar>
              <w:bottom w:w="0" w:type="dxa"/>
            </w:tcMar>
            <w:vAlign w:val="center"/>
          </w:tcPr>
          <w:p>
            <w:pPr>
              <w:pStyle w:val="TableContents"/>
              <w:bidi w:val="0"/>
              <w:spacing w:before="0" w:after="283"/>
              <w:jc w:val="left"/>
              <w:rPr/>
            </w:pPr>
            <w:r>
              <w:rPr/>
              <w:t> </w:t>
            </w:r>
          </w:p>
        </w:tc>
        <w:tc>
          <w:tcPr>
            <w:tcW w:w="50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9443301ex5-1.htm"/>
      <w:bookmarkStart w:id="56" w:name="ksea029443301ex51"/>
      <w:bookmarkEnd w:id="55"/>
      <w:bookmarkEnd w:id="56"/>
      <w:r>
        <w:rPr>
          <w:rFonts w:ascii="Times New Roman;Times;Serif" w:hAnsi="Times New Roman;Times;Serif"/>
          <w:b/>
          <w:i w:val="false"/>
          <w:caps w:val="false"/>
          <w:smallCaps w:val="false"/>
          <w:sz w:val="20"/>
        </w:rPr>
        <w:t>Exhibit 5.1</w:t>
      </w:r>
      <w:r>
        <w:br w:type="page"/>
      </w:r>
    </w:p>
    <w:p>
      <w:pPr>
        <w:pStyle w:val="TextBody"/>
        <w:bidi w:val="0"/>
        <w:jc w:val="left"/>
        <w:rPr/>
      </w:pPr>
      <w:r>
        <w:rPr/>
        <w:drawing>
          <wp:inline distT="0" distB="0" distL="0" distR="0">
            <wp:extent cx="3904615" cy="58547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24"/>
                    <a:stretch>
                      <a:fillRect/>
                    </a:stretch>
                  </pic:blipFill>
                  <pic:spPr bwMode="auto">
                    <a:xfrm>
                      <a:off x="0" y="0"/>
                      <a:ext cx="3904615" cy="58547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45700 Northport Loop East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 94538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Form S-1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SunPower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of the Company’s registration statement on Form S-1 to be filed with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or about the date hereof (as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for resale of up to 19,532,154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$0.0001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consisting of: (i) 6,666,666 shares of Common Stock previously issued by the Company pursuant to the Amendment and Agreement, dated as of March 5, 2026 (the “</w:t>
      </w:r>
      <w:r>
        <w:rPr>
          <w:rFonts w:ascii="Times New Roman;Times;Serif" w:hAnsi="Times New Roman;Times;Serif"/>
          <w:b w:val="false"/>
          <w:i w:val="false"/>
          <w:caps w:val="false"/>
          <w:smallCaps w:val="false"/>
          <w:sz w:val="20"/>
          <w:u w:val="single"/>
        </w:rPr>
        <w:t>Sunder Amendment</w:t>
      </w:r>
      <w:r>
        <w:rPr>
          <w:rFonts w:ascii="Times New Roman;Times;Serif" w:hAnsi="Times New Roman;Times;Serif"/>
          <w:b w:val="false"/>
          <w:i w:val="false"/>
          <w:caps w:val="false"/>
          <w:smallCaps w:val="false"/>
          <w:sz w:val="20"/>
        </w:rPr>
        <w:t>”), relating to the Membership Interest Purchase Agreement (the “</w:t>
      </w:r>
      <w:r>
        <w:rPr>
          <w:rFonts w:ascii="Times New Roman;Times;Serif" w:hAnsi="Times New Roman;Times;Serif"/>
          <w:b w:val="false"/>
          <w:i w:val="false"/>
          <w:caps w:val="false"/>
          <w:smallCaps w:val="false"/>
          <w:sz w:val="20"/>
          <w:u w:val="single"/>
        </w:rPr>
        <w:t>Sunder Purchase Agreement</w:t>
      </w:r>
      <w:r>
        <w:rPr>
          <w:rFonts w:ascii="Times New Roman;Times;Serif" w:hAnsi="Times New Roman;Times;Serif"/>
          <w:b w:val="false"/>
          <w:i w:val="false"/>
          <w:caps w:val="false"/>
          <w:smallCaps w:val="false"/>
          <w:sz w:val="20"/>
        </w:rPr>
        <w:t>”), dated September 21, 2025, by and among the Company, Complete Solar, Inc., Sunder Energy LLC and Chicken Parm Pizza LLC; (ii) 1,805,705 shares of Common Stock previously issued pursuant to the Share Purchase Agreement, dated January 30, 2026, by and among the Company, Cobalt Power Systems, Inc. and the selling shareholders party thereto (the “</w:t>
      </w:r>
      <w:r>
        <w:rPr>
          <w:rFonts w:ascii="Times New Roman;Times;Serif" w:hAnsi="Times New Roman;Times;Serif"/>
          <w:b w:val="false"/>
          <w:i w:val="false"/>
          <w:caps w:val="false"/>
          <w:smallCaps w:val="false"/>
          <w:sz w:val="20"/>
          <w:u w:val="single"/>
        </w:rPr>
        <w:t>Cobalt Purchase Agreement</w:t>
      </w:r>
      <w:r>
        <w:rPr>
          <w:rFonts w:ascii="Times New Roman;Times;Serif" w:hAnsi="Times New Roman;Times;Serif"/>
          <w:b w:val="false"/>
          <w:i w:val="false"/>
          <w:caps w:val="false"/>
          <w:smallCaps w:val="false"/>
          <w:sz w:val="20"/>
        </w:rPr>
        <w:t>”); (iii) up to 380,000 shares of Common Stock issuable upon the exercise of the warrant to purchase common stock previously issued by Ayna.AI LLC (the “</w:t>
      </w:r>
      <w:r>
        <w:rPr>
          <w:rFonts w:ascii="Times New Roman;Times;Serif" w:hAnsi="Times New Roman;Times;Serif"/>
          <w:b w:val="false"/>
          <w:i w:val="false"/>
          <w:caps w:val="false"/>
          <w:smallCaps w:val="false"/>
          <w:sz w:val="20"/>
          <w:u w:val="single"/>
        </w:rPr>
        <w:t>Ayna Warrant</w:t>
      </w:r>
      <w:r>
        <w:rPr>
          <w:rFonts w:ascii="Times New Roman;Times;Serif" w:hAnsi="Times New Roman;Times;Serif"/>
          <w:b w:val="false"/>
          <w:i w:val="false"/>
          <w:caps w:val="false"/>
          <w:smallCaps w:val="false"/>
          <w:sz w:val="20"/>
        </w:rPr>
        <w:t>”); and (iv) up to 4,424,779 shares of Common Stock issuable upon conversion of a 10.0% Convertible Senior Secured Note due 2029 (the “</w:t>
      </w:r>
      <w:r>
        <w:rPr>
          <w:rFonts w:ascii="Times New Roman;Times;Serif" w:hAnsi="Times New Roman;Times;Serif"/>
          <w:b w:val="false"/>
          <w:i w:val="false"/>
          <w:caps w:val="false"/>
          <w:smallCaps w:val="false"/>
          <w:sz w:val="20"/>
          <w:u w:val="single"/>
        </w:rPr>
        <w:t>10% Note</w:t>
      </w:r>
      <w:r>
        <w:rPr>
          <w:rFonts w:ascii="Times New Roman;Times;Serif" w:hAnsi="Times New Roman;Times;Serif"/>
          <w:b w:val="false"/>
          <w:i w:val="false"/>
          <w:caps w:val="false"/>
          <w:smallCaps w:val="false"/>
          <w:sz w:val="20"/>
        </w:rPr>
        <w:t>”) issued pursuant to the Indenture, dated April 23, 2026, between the Company and U.S. Bank Trust Company, National Association, as trustee and collateral agent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and together with the Sunder Amendment, the Sunder Purchase Agreement, the Cobalt Purchase Agreement and the Ayna Warrant,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examined and relied upon such certificates, corporate records, agreements, instruments and other documents, and examined such matters of law, that we considered necessary or appropriate as a basis for the opinions. In our examination, we have assumed the legal capacity of all natural persons, the genuineness of all signatures, the authenticity of all documents submitted to us as originals, the conformity to original documents of all documents submitted to us as certified or photostatic copies, the authenticity of the originals of such latter documents, that all parties to such documents (other than the Company) had the power, corporate or other, to enter into and perform all obligations thereunder, that all such documents have been duly authorized by all requisite action, corporate or other, and duly executed and delivered by all parties thereto (other than the Company) and that all such documents constitute the valid and binding obligation of each party thereto (other than the Company) enforceable against each such party in accordance with their terms. As to any facts material to the opinions expressed herein that we did not independently establish or verify, we have relied upon oral or written statements and representations of officers and other representatives of the Company and others.</w:t>
      </w:r>
    </w:p>
    <w:p>
      <w:pPr>
        <w:pStyle w:val="TextBody"/>
        <w:bidi w:val="0"/>
        <w:spacing w:before="0" w:after="0"/>
        <w:ind w:left="0" w:right="0" w:firstLine="720"/>
        <w:jc w:val="both"/>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283"/>
              <w:jc w:val="left"/>
              <w:rPr/>
            </w:pPr>
            <w:r>
              <w:rPr>
                <w:b/>
              </w:rPr>
              <w:t>Arnold &amp; Porter Kaye Scholer LLP</w:t>
              <w:br/>
            </w:r>
            <w:r>
              <w:rPr/>
              <w:t xml:space="preserve">250 West 55th Street </w:t>
            </w:r>
            <w:r>
              <w:rPr>
                <w:b/>
              </w:rPr>
              <w:t>|</w:t>
            </w:r>
            <w:r>
              <w:rPr/>
              <w:t xml:space="preserve"> New York, NY 10019-9710 </w:t>
            </w:r>
            <w:r>
              <w:rPr>
                <w:b/>
              </w:rPr>
              <w:t xml:space="preserve">| </w:t>
            </w:r>
            <w:r>
              <w:rPr>
                <w:b/>
                <w:sz w:val="20"/>
              </w:rPr>
              <w:t>www.arnoldporter.com  </w:t>
            </w:r>
          </w:p>
        </w:tc>
      </w:tr>
    </w:tbl>
    <w:p>
      <w:pPr>
        <w:pStyle w:val="TextBody"/>
        <w:bidi w:val="0"/>
        <w:spacing w:before="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2581275" cy="514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125"/>
                    <a:stretch>
                      <a:fillRect/>
                    </a:stretch>
                  </pic:blipFill>
                  <pic:spPr bwMode="auto">
                    <a:xfrm>
                      <a:off x="0" y="0"/>
                      <a:ext cx="2581275" cy="5143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 the Shares, when issued pursuant to the terms of the Transaction Documents applicable to such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based solely upon the General Corporation Law of the State of Delaware (including the statutory provisions contained therein, the applicable rules and regulations underlying these provisions and reported judicial decisions interpreting the foregoing). We express no opinion herein as to any other laws, statutes, rules, regulations or ordinances.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rendered as of the date hereof, and we assume no obligation to update such opinion to reflect any acts, events, facts or circumstances occurring after the date hereof or which may hereafter come to our attention, or any change in the law which may hereafter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Registration Statement and to the reference to our firm under the caption “Legal Matters” in the prospectus included in the Registration Statement. In giving such consent, we do not thereby admit that we are experts within the meaning of the Securities Act or the rules and regulations of the Commission or that this consent is required by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8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Arnold &amp; Porter Kaye Scholer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7" w:name="ea029443301ex23-1.htm"/>
      <w:bookmarkStart w:id="58" w:name="ksea029443301ex231"/>
      <w:bookmarkEnd w:id="57"/>
      <w:bookmarkEnd w:id="58"/>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our report dated April 14, 2026, relating to the consolidated financial statements of SunPower Inc. (the “Company”), which is contained in that Prospectus. Our report contains an explanatory paragraph regarding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595" w:type="dxa"/>
        <w:jc w:val="left"/>
        <w:tblInd w:w="0" w:type="dxa"/>
        <w:tblLayout w:type="fixed"/>
        <w:tblCellMar>
          <w:top w:w="0" w:type="dxa"/>
          <w:left w:w="0" w:type="dxa"/>
          <w:bottom w:w="0" w:type="dxa"/>
          <w:right w:w="0" w:type="dxa"/>
        </w:tblCellMar>
      </w:tblPr>
      <w:tblGrid>
        <w:gridCol w:w="1520"/>
        <w:gridCol w:w="75"/>
      </w:tblGrid>
      <w:tr>
        <w:trPr/>
        <w:tc>
          <w:tcPr>
            <w:tcW w:w="1520" w:type="dxa"/>
            <w:tcBorders/>
            <w:vAlign w:val="center"/>
          </w:tcPr>
          <w:p>
            <w:pPr>
              <w:pStyle w:val="TableContents"/>
              <w:bidi w:val="0"/>
              <w:spacing w:before="0" w:after="283"/>
              <w:jc w:val="left"/>
              <w:rPr>
                <w:sz w:val="20"/>
              </w:rPr>
            </w:pPr>
            <w:r>
              <w:rPr>
                <w:sz w:val="20"/>
              </w:rPr>
              <w:t>/s/ BDO USA, P.C.</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Atlanta, GA</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June 29,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29443301ex23-2.htm"/>
      <w:bookmarkStart w:id="60" w:name="ksea029443301ex232"/>
      <w:bookmarkEnd w:id="59"/>
      <w:bookmarkEnd w:id="60"/>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Consent of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the Prospectus constituting a part of this Registration Statement of SunPower Inc. of our report dated January 9, 2026, relating to the financial statements of Sunder Energy LLC which is contained in that Prospectus. Our report contains an explanatory paragraph regarding Sunder Energy LLC’s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595" w:type="dxa"/>
        <w:jc w:val="left"/>
        <w:tblInd w:w="0" w:type="dxa"/>
        <w:tblLayout w:type="fixed"/>
        <w:tblCellMar>
          <w:top w:w="0" w:type="dxa"/>
          <w:left w:w="0" w:type="dxa"/>
          <w:bottom w:w="0" w:type="dxa"/>
          <w:right w:w="0" w:type="dxa"/>
        </w:tblCellMar>
      </w:tblPr>
      <w:tblGrid>
        <w:gridCol w:w="1520"/>
        <w:gridCol w:w="75"/>
      </w:tblGrid>
      <w:tr>
        <w:trPr/>
        <w:tc>
          <w:tcPr>
            <w:tcW w:w="1520" w:type="dxa"/>
            <w:tcBorders/>
            <w:vAlign w:val="center"/>
          </w:tcPr>
          <w:p>
            <w:pPr>
              <w:pStyle w:val="TableContents"/>
              <w:bidi w:val="0"/>
              <w:spacing w:before="0" w:after="283"/>
              <w:jc w:val="left"/>
              <w:rPr>
                <w:sz w:val="20"/>
              </w:rPr>
            </w:pPr>
            <w:r>
              <w:rPr>
                <w:sz w:val="20"/>
              </w:rPr>
              <w:t>/s/ BDO USA, P.C.</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Atlanta, GA</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June 29,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1" w:name="ea029443301ex23-3.htm"/>
      <w:bookmarkStart w:id="62" w:name="ksea029443301ex233"/>
      <w:bookmarkEnd w:id="61"/>
      <w:bookmarkEnd w:id="62"/>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the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S-1 of SunPower Inc. of our report dated December 22, 2025, relating to the financial statements of Ambia Energy, LLC as of December 31, 2024 and for the year then ended, which is part of this Registration Statement. We also consent to the reference to our firm under the heading “Experts” in such Prospectus.</w:t>
      </w:r>
    </w:p>
    <w:p>
      <w:pPr>
        <w:pStyle w:val="TextBody"/>
        <w:bidi w:val="0"/>
        <w:spacing w:before="0" w:after="0"/>
        <w:ind w:left="0" w:right="0" w:hanging="0"/>
        <w:jc w:val="both"/>
        <w:rPr>
          <w:caps w:val="false"/>
          <w:smallCaps w:val="false"/>
        </w:rPr>
      </w:pPr>
      <w:r>
        <w:rPr>
          <w:caps w:val="false"/>
          <w:smallCaps w:val="false"/>
        </w:rPr>
        <w:t> </w:t>
      </w:r>
    </w:p>
    <w:tbl>
      <w:tblPr>
        <w:tblW w:w="1310" w:type="dxa"/>
        <w:jc w:val="left"/>
        <w:tblInd w:w="0" w:type="dxa"/>
        <w:tblLayout w:type="fixed"/>
        <w:tblCellMar>
          <w:top w:w="0" w:type="dxa"/>
          <w:left w:w="0" w:type="dxa"/>
          <w:bottom w:w="0" w:type="dxa"/>
          <w:right w:w="0" w:type="dxa"/>
        </w:tblCellMar>
      </w:tblPr>
      <w:tblGrid>
        <w:gridCol w:w="1235"/>
        <w:gridCol w:w="75"/>
      </w:tblGrid>
      <w:tr>
        <w:trPr/>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Tanner LLP</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Lehi, Utah</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29,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63" w:name="ea029443301ex-fee.htm"/>
      <w:bookmarkStart w:id="64" w:name="ksea029443301exfee"/>
      <w:bookmarkEnd w:id="63"/>
      <w:bookmarkEnd w:id="6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SunPower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2"/>
        <w:gridCol w:w="60"/>
        <w:gridCol w:w="801"/>
        <w:gridCol w:w="60"/>
        <w:gridCol w:w="912"/>
        <w:gridCol w:w="60"/>
        <w:gridCol w:w="575"/>
        <w:gridCol w:w="60"/>
        <w:gridCol w:w="1100"/>
        <w:gridCol w:w="60"/>
        <w:gridCol w:w="1101"/>
        <w:gridCol w:w="60"/>
        <w:gridCol w:w="240"/>
        <w:gridCol w:w="758"/>
        <w:gridCol w:w="60"/>
        <w:gridCol w:w="140"/>
        <w:gridCol w:w="1284"/>
        <w:gridCol w:w="60"/>
        <w:gridCol w:w="1040"/>
        <w:gridCol w:w="60"/>
        <w:gridCol w:w="162"/>
        <w:gridCol w:w="1020"/>
      </w:tblGrid>
      <w:tr>
        <w:trPr/>
        <w:tc>
          <w:tcPr>
            <w:tcW w:w="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r>
      <w:tr>
        <w:trPr/>
        <w:tc>
          <w:tcPr>
            <w:tcW w:w="532"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1"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12"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1"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2"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457(a)</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13,277,150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8" w:type="dxa"/>
            <w:tcBorders/>
            <w:vAlign w:val="center"/>
          </w:tcPr>
          <w:p>
            <w:pPr>
              <w:pStyle w:val="TableContents"/>
              <w:bidi w:val="0"/>
              <w:spacing w:before="0" w:after="283"/>
              <w:jc w:val="right"/>
              <w:rPr/>
            </w:pPr>
            <w:r>
              <w:rPr/>
              <w:t>0.63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right"/>
              <w:rPr/>
            </w:pPr>
            <w:r>
              <w:rPr/>
              <w:t>8,364,604.50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1,155.15</w:t>
            </w:r>
          </w:p>
        </w:tc>
      </w:tr>
      <w:tr>
        <w:trPr/>
        <w:tc>
          <w:tcPr>
            <w:tcW w:w="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79"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right"/>
              <w:rPr/>
            </w:pPr>
            <w:r>
              <w:rPr/>
              <w:t>8,364,604.50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1,155.15</w:t>
            </w:r>
          </w:p>
        </w:tc>
      </w:tr>
      <w:tr>
        <w:trPr/>
        <w:tc>
          <w:tcPr>
            <w:tcW w:w="6379"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 </w:t>
            </w:r>
          </w:p>
        </w:tc>
      </w:tr>
      <w:tr>
        <w:trPr/>
        <w:tc>
          <w:tcPr>
            <w:tcW w:w="6379"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0"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6379"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20" w:type="dxa"/>
            <w:tcBorders>
              <w:bottom w:val="double" w:sz="8" w:space="0" w:color="000000"/>
            </w:tcBorders>
            <w:tcMar>
              <w:bottom w:w="28" w:type="dxa"/>
            </w:tcMar>
            <w:vAlign w:val="center"/>
          </w:tcPr>
          <w:p>
            <w:pPr>
              <w:pStyle w:val="TableContents"/>
              <w:bidi w:val="0"/>
              <w:spacing w:before="0" w:after="283"/>
              <w:jc w:val="right"/>
              <w:rPr/>
            </w:pPr>
            <w:r>
              <w:rPr/>
              <w:t>1,155.15</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Pursuant to Rule 416(a) of the Securities Act, there are also being registered an indeterminable number of additional shares of common stock, par value $0.0001 per share (“common stock”), of SunPower Inc. (the “Company”) as may be issued to prevent dilution resulting from stock splits, stock dividends or similar transactions.</w:t>
              <w:br/>
              <w:br/>
              <w:t>Includes up to: (i) 6,666,666 shares of common stock issued pursuant to the Membership Interest Purchase Agreement, dated September 21, 2025, among the Company, Sunder Energy LLC and the other parties thereto; (ii) 1,805,705 shares of common stock issued pursuant to the Share Purchase Agreement, dated January 30, 2026, among the Company, Cobalt Power Systems, Inc. and the other parties thereto; (iii) up to 380,000 shares of common stock issuable upon the exercise of a warrant to purchase common stock issued to Ayna.AI LLC; and (iv) up to 4,424,779 shares of common stock issuable upon the conversion of a 10% convertible senior secured note due 2029 in the original principal amount of $5.0 million.</w:t>
              <w:br/>
              <w:br/>
              <w:t>Estimated solely for the purpose of calculating the registration fee, based on the average of the high and low prices of the shares of Common Stock on the Nasdaq Stock Market on June 26, 2026. This calculation is in accordance with Rule 457(c) of the Securities Act.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hyperlink" Target="http://www.sec.gov/Archives/edgar/data/1838987/000119312523030704/d425844dex24.htm" TargetMode="External"/><Relationship Id="rId20" Type="http://schemas.openxmlformats.org/officeDocument/2006/relationships/hyperlink" Target="http://www.sec.gov/Archives/edgar/data/1838987/000119312523239699/d558159dex21.htm" TargetMode="External"/><Relationship Id="rId21" Type="http://schemas.openxmlformats.org/officeDocument/2006/relationships/hyperlink" Target="http://www.sec.gov/Archives/edgar/data/1838987/000119312523191334/d862117dex31.htm" TargetMode="External"/><Relationship Id="rId22" Type="http://schemas.openxmlformats.org/officeDocument/2006/relationships/hyperlink" Target="http://www.sec.gov/Archives/edgar/data/1838987/000121390025101247/ea026184401ex3-1_sunpower.htm" TargetMode="External"/><Relationship Id="rId23" Type="http://schemas.openxmlformats.org/officeDocument/2006/relationships/hyperlink" Target="http://www.sec.gov/Archives/edgar/data/1838987/000121390025101247/ea026184401ex3-2_sunpower.htm" TargetMode="External"/><Relationship Id="rId24" Type="http://schemas.openxmlformats.org/officeDocument/2006/relationships/hyperlink" Target="http://www.sec.gov/Archives/edgar/data/1838987/000119312523255093/d569645dex41.htm" TargetMode="External"/><Relationship Id="rId25" Type="http://schemas.openxmlformats.org/officeDocument/2006/relationships/hyperlink" Target="http://www.sec.gov/Archives/edgar/data/1838987/000119312523255093/d569645dex42.htm" TargetMode="External"/><Relationship Id="rId26" Type="http://schemas.openxmlformats.org/officeDocument/2006/relationships/hyperlink" Target="http://www.sec.gov/Archives/edgar/data/1838987/000119312523192359/d530739dex41.htm" TargetMode="External"/><Relationship Id="rId27" Type="http://schemas.openxmlformats.org/officeDocument/2006/relationships/hyperlink" Target="http://www.sec.gov/Archives/edgar/data/1838987/000095010321003441/dp147251_ex0401.htm" TargetMode="External"/><Relationship Id="rId28" Type="http://schemas.openxmlformats.org/officeDocument/2006/relationships/hyperlink" Target="http://www.sec.gov/Archives/edgar/data/1838987/000121390024059870/ea020910501ex10-1_complete.htm" TargetMode="External"/><Relationship Id="rId29" Type="http://schemas.openxmlformats.org/officeDocument/2006/relationships/hyperlink" Target="http://www.sec.gov/Archives/edgar/data/1838987/000121390024059870/ea020910501ex10-2_complete.htm" TargetMode="External"/><Relationship Id="rId30" Type="http://schemas.openxmlformats.org/officeDocument/2006/relationships/hyperlink" Target="http://www.sec.gov/Archives/edgar/data/1838987/000121390025089842/ea025817301ex10-2_complete.htm" TargetMode="External"/><Relationship Id="rId31" Type="http://schemas.openxmlformats.org/officeDocument/2006/relationships/hyperlink" Target="http://www.sec.gov/Archives/edgar/data/1838987/000121390024082266/ea021574201ex4-2_complete.htm" TargetMode="External"/><Relationship Id="rId32" Type="http://schemas.openxmlformats.org/officeDocument/2006/relationships/hyperlink" Target="http://www.sec.gov/Archives/edgar/data/1838987/000121390024110645/ea022515001ex4-13_complete.htm" TargetMode="External"/><Relationship Id="rId33" Type="http://schemas.openxmlformats.org/officeDocument/2006/relationships/hyperlink" Target="http://www.sec.gov/Archives/edgar/data/1838987/000121390025064680/ea024916501ex4-1_complete.htm" TargetMode="External"/><Relationship Id="rId34" Type="http://schemas.openxmlformats.org/officeDocument/2006/relationships/hyperlink" Target="http://www.sec.gov/Archives/edgar/data/1838987/000121390024082266/ea021574201ex4-1_complete.htm" TargetMode="External"/><Relationship Id="rId35" Type="http://schemas.openxmlformats.org/officeDocument/2006/relationships/hyperlink" Target="http://www.sec.gov/Archives/edgar/data/1838987/000121390024082266/ea021574201ex4-2_complete.htm" TargetMode="External"/><Relationship Id="rId36" Type="http://schemas.openxmlformats.org/officeDocument/2006/relationships/hyperlink" Target="http://www.sec.gov/Archives/edgar/data/1838987/000121390025037748/ea023783401ex4-8_complete.htm" TargetMode="External"/><Relationship Id="rId37" Type="http://schemas.openxmlformats.org/officeDocument/2006/relationships/hyperlink" Target="http://www.sec.gov/Archives/edgar/data/1838987/000121390026009812/ea027447901ex4-1_sunpower.htm" TargetMode="External"/><Relationship Id="rId38" Type="http://schemas.openxmlformats.org/officeDocument/2006/relationships/hyperlink" Target="http://www.sec.gov/Archives/edgar/data/1838987/000121390026049337/ea028807701ex4-1.htm" TargetMode="External"/><Relationship Id="rId39" Type="http://schemas.openxmlformats.org/officeDocument/2006/relationships/hyperlink" Target="http://www.sec.gov/Archives/edgar/data/1838987/000121390026046407/ea028730701ex4-1.htm" TargetMode="External"/><Relationship Id="rId40" Type="http://schemas.openxmlformats.org/officeDocument/2006/relationships/hyperlink" Target="http://www.sec.gov/Archives/edgar/data/1838987/000121390026049337/ea028807701ex4-2.htm" TargetMode="External"/><Relationship Id="rId41" Type="http://schemas.openxmlformats.org/officeDocument/2006/relationships/hyperlink" Target="http://www.sec.gov/Archives/edgar/data/1838987/000119312523192359/d530739dex1023.htm" TargetMode="External"/><Relationship Id="rId42" Type="http://schemas.openxmlformats.org/officeDocument/2006/relationships/hyperlink" Target="http://www.sec.gov/Archives/edgar/data/1838987/000119312523192359/d530739dex1024.htm" TargetMode="External"/><Relationship Id="rId43" Type="http://schemas.openxmlformats.org/officeDocument/2006/relationships/hyperlink" Target="http://www.sec.gov/Archives/edgar/data/1838987/000119312523192359/d530739dex1025.htm" TargetMode="External"/><Relationship Id="rId44" Type="http://schemas.openxmlformats.org/officeDocument/2006/relationships/hyperlink" Target="http://www.sec.gov/Archives/edgar/data/1838987/000119312523192359/d530739dex1026.htm" TargetMode="External"/><Relationship Id="rId45" Type="http://schemas.openxmlformats.org/officeDocument/2006/relationships/hyperlink" Target="http://www.sec.gov/Archives/edgar/data/1838987/000119312523192359/d530739dex1027.htm" TargetMode="External"/><Relationship Id="rId46" Type="http://schemas.openxmlformats.org/officeDocument/2006/relationships/hyperlink" Target="http://www.sec.gov/Archives/edgar/data/1838987/000119312523192359/d530739dex1028.htm" TargetMode="External"/><Relationship Id="rId47" Type="http://schemas.openxmlformats.org/officeDocument/2006/relationships/hyperlink" Target="http://www.sec.gov/Archives/edgar/data/1838987/000119312523192359/d530739dex1029.htm" TargetMode="External"/><Relationship Id="rId48" Type="http://schemas.openxmlformats.org/officeDocument/2006/relationships/hyperlink" Target="http://www.sec.gov/Archives/edgar/data/1838987/000119312523192359/d530739dex1030.htm" TargetMode="External"/><Relationship Id="rId49" Type="http://schemas.openxmlformats.org/officeDocument/2006/relationships/hyperlink" Target="http://www.sec.gov/Archives/edgar/data/1838987/000119312523192359/d530739dex1031.htm" TargetMode="External"/><Relationship Id="rId50" Type="http://schemas.openxmlformats.org/officeDocument/2006/relationships/hyperlink" Target="http://www.sec.gov/Archives/edgar/data/1838987/000119312523192359/d530739dex1032.htm" TargetMode="External"/><Relationship Id="rId51" Type="http://schemas.openxmlformats.org/officeDocument/2006/relationships/hyperlink" Target="http://www.sec.gov/Archives/edgar/data/1838987/000119312523186922/d530874dex101.htm" TargetMode="External"/><Relationship Id="rId52" Type="http://schemas.openxmlformats.org/officeDocument/2006/relationships/hyperlink" Target="http://www.sec.gov/Archives/edgar/data/1838987/000119312523185048/d532459dex101.htm" TargetMode="External"/><Relationship Id="rId53" Type="http://schemas.openxmlformats.org/officeDocument/2006/relationships/hyperlink" Target="http://www.sec.gov/Archives/edgar/data/1838987/000119312523184254/d531627dex101.htm" TargetMode="External"/><Relationship Id="rId54" Type="http://schemas.openxmlformats.org/officeDocument/2006/relationships/hyperlink" Target="http://www.sec.gov/Archives/edgar/data/1838987/000121390026004024/ea027210101ex10-14_sunpower.htm" TargetMode="External"/><Relationship Id="rId55" Type="http://schemas.openxmlformats.org/officeDocument/2006/relationships/hyperlink" Target="http://www.sec.gov/Archives/edgar/data/1838987/000119312523192359/d530739dex106.htm" TargetMode="External"/><Relationship Id="rId56" Type="http://schemas.openxmlformats.org/officeDocument/2006/relationships/hyperlink" Target="http://www.sec.gov/Archives/edgar/data/1838987/000119312523192359/d530739dex107.htm" TargetMode="External"/><Relationship Id="rId57" Type="http://schemas.openxmlformats.org/officeDocument/2006/relationships/hyperlink" Target="http://www.sec.gov/Archives/edgar/data/1838987/000119312523141069/d425844dex1022.htm" TargetMode="External"/><Relationship Id="rId58" Type="http://schemas.openxmlformats.org/officeDocument/2006/relationships/hyperlink" Target="http://www.sec.gov/Archives/edgar/data/1838987/000121390024059870/ea020910501ex10-1_complete.htm" TargetMode="External"/><Relationship Id="rId59" Type="http://schemas.openxmlformats.org/officeDocument/2006/relationships/hyperlink" Target="http://www.sec.gov/Archives/edgar/data/1838987/000121390024059870/ea020910501ex10-2_complete.htm" TargetMode="External"/><Relationship Id="rId60" Type="http://schemas.openxmlformats.org/officeDocument/2006/relationships/hyperlink" Target="http://www.sec.gov/Archives/edgar/data/1838987/000121390024059870/ea020910501ex10-3_complete.htm" TargetMode="External"/><Relationship Id="rId61" Type="http://schemas.openxmlformats.org/officeDocument/2006/relationships/hyperlink" Target="http://www.sec.gov/Archives/edgar/data/1838987/000121390024082266/ea021574201ex10-1_complete.htm" TargetMode="External"/><Relationship Id="rId62" Type="http://schemas.openxmlformats.org/officeDocument/2006/relationships/hyperlink" Target="http://www.sec.gov/Archives/edgar/data/1838987/000121390024063629/ea020991301ex10-1_complete.htm" TargetMode="External"/><Relationship Id="rId63" Type="http://schemas.openxmlformats.org/officeDocument/2006/relationships/hyperlink" Target="https://www.sec.gov/Archives/edgar/data/1838987/000121390024062183/ea020939801ex10-1_complete.htm" TargetMode="External"/><Relationship Id="rId64" Type="http://schemas.openxmlformats.org/officeDocument/2006/relationships/hyperlink" Target="http://www.sec.gov/Archives/edgar/data/1838987/000101376224001581/ea021010801ex10-1_complete.htm" TargetMode="External"/><Relationship Id="rId65" Type="http://schemas.openxmlformats.org/officeDocument/2006/relationships/hyperlink" Target="http://www.sec.gov/Archives/edgar/data/1838987/000121390024070909/ea021183501ex10-1_complete.htm" TargetMode="External"/><Relationship Id="rId66" Type="http://schemas.openxmlformats.org/officeDocument/2006/relationships/hyperlink" Target="http://www.sec.gov/Archives/edgar/data/1838987/000121390024062183/ea020939801ex10-2_complete.htm" TargetMode="External"/><Relationship Id="rId67" Type="http://schemas.openxmlformats.org/officeDocument/2006/relationships/hyperlink" Target="http://www.sec.gov/Archives/edgar/data/1838987/000121390024063080/ea020954501ex10-47_comp.htm" TargetMode="External"/><Relationship Id="rId68" Type="http://schemas.openxmlformats.org/officeDocument/2006/relationships/hyperlink" Target="http://www.sec.gov/Archives/edgar/data/1838987/000121390024065369/ea0210606ex10-1_complete.htm" TargetMode="External"/><Relationship Id="rId69" Type="http://schemas.openxmlformats.org/officeDocument/2006/relationships/hyperlink" Target="http://www.sec.gov/Archives/edgar/data/1838987/000121390024088191/ea021775901ex10-1_complete.htm" TargetMode="External"/><Relationship Id="rId70" Type="http://schemas.openxmlformats.org/officeDocument/2006/relationships/hyperlink" Target="http://www.sec.gov/Archives/edgar/data/1838987/000121390024084077/ea021637401ex10-1_complete.htm" TargetMode="External"/><Relationship Id="rId71" Type="http://schemas.openxmlformats.org/officeDocument/2006/relationships/hyperlink" Target="http://www.sec.gov/Archives/edgar/data/1838987/000121390024034907/ea020435701ex10-1_complete.htm" TargetMode="External"/><Relationship Id="rId72" Type="http://schemas.openxmlformats.org/officeDocument/2006/relationships/hyperlink" Target="http://www.sec.gov/Archives/edgar/data/1838987/000121390024068973/ea021055601ex10-2_complete.htm" TargetMode="External"/><Relationship Id="rId73" Type="http://schemas.openxmlformats.org/officeDocument/2006/relationships/hyperlink" Target="http://www.sec.gov/Archives/edgar/data/1838987/000121390024042914/ea020601801ex10-1_complete.htm" TargetMode="External"/><Relationship Id="rId74" Type="http://schemas.openxmlformats.org/officeDocument/2006/relationships/hyperlink" Target="http://www.sec.gov/Archives/edgar/data/1838987/000121390024042914/ea020601801ex10-2_complete.htm" TargetMode="External"/><Relationship Id="rId75" Type="http://schemas.openxmlformats.org/officeDocument/2006/relationships/hyperlink" Target="http://www.sec.gov/Archives/edgar/data/1838987/000121390024044730/ea020599101ex10-1_complete.htm" TargetMode="External"/><Relationship Id="rId76" Type="http://schemas.openxmlformats.org/officeDocument/2006/relationships/hyperlink" Target="http://www.sec.gov/Archives/edgar/data/1838987/000121390024068973/ea021055601ex10-7_complete.htm" TargetMode="External"/><Relationship Id="rId77" Type="http://schemas.openxmlformats.org/officeDocument/2006/relationships/hyperlink" Target="http://www.sec.gov/Archives/edgar/data/1838987/000121390024054298/ea020820901ex10-1_complete.htm" TargetMode="External"/><Relationship Id="rId78" Type="http://schemas.openxmlformats.org/officeDocument/2006/relationships/hyperlink" Target="http://www.sec.gov/Archives/edgar/data/1838987/000121390024054756/ea020827201ex10-1_complete.htm" TargetMode="External"/><Relationship Id="rId79" Type="http://schemas.openxmlformats.org/officeDocument/2006/relationships/hyperlink" Target="http://www.sec.gov/Archives/edgar/data/1838987/000121390024055210/ea020839101ex10-1_complete.htm" TargetMode="External"/><Relationship Id="rId80" Type="http://schemas.openxmlformats.org/officeDocument/2006/relationships/hyperlink" Target="http://www.sec.gov/Archives/edgar/data/1838987/000121390024055210/ea020839101ex10-2_complete.htm" TargetMode="External"/><Relationship Id="rId81" Type="http://schemas.openxmlformats.org/officeDocument/2006/relationships/hyperlink" Target="http://www.sec.gov/Archives/edgar/data/1838987/000119312523192359/d530739dex108.htm" TargetMode="External"/><Relationship Id="rId82" Type="http://schemas.openxmlformats.org/officeDocument/2006/relationships/hyperlink" Target="http://www.sec.gov/Archives/edgar/data/1838987/000119312523192359/d530739dex109.htm" TargetMode="External"/><Relationship Id="rId83" Type="http://schemas.openxmlformats.org/officeDocument/2006/relationships/hyperlink" Target="http://www.sec.gov/Archives/edgar/data/1838987/000119312523192359/d530739dex1010.htm" TargetMode="External"/><Relationship Id="rId84" Type="http://schemas.openxmlformats.org/officeDocument/2006/relationships/hyperlink" Target="http://www.sec.gov/Archives/edgar/data/1838987/000119312523192359/d530739dex1011.htm" TargetMode="External"/><Relationship Id="rId85" Type="http://schemas.openxmlformats.org/officeDocument/2006/relationships/hyperlink" Target="http://www.sec.gov/Archives/edgar/data/1838987/000119312523192359/d530739dex1012.htm" TargetMode="External"/><Relationship Id="rId86" Type="http://schemas.openxmlformats.org/officeDocument/2006/relationships/hyperlink" Target="http://www.sec.gov/Archives/edgar/data/1838987/000119312523192359/d530739dex1013.htm" TargetMode="External"/><Relationship Id="rId87" Type="http://schemas.openxmlformats.org/officeDocument/2006/relationships/hyperlink" Target="http://www.sec.gov/Archives/edgar/data/1838987/000119312523192359/d530739dex1014.htm" TargetMode="External"/><Relationship Id="rId88" Type="http://schemas.openxmlformats.org/officeDocument/2006/relationships/hyperlink" Target="http://www.sec.gov/Archives/edgar/data/1838987/000119312523192359/d530739dex1015.htm" TargetMode="External"/><Relationship Id="rId89" Type="http://schemas.openxmlformats.org/officeDocument/2006/relationships/hyperlink" Target="http://www.sec.gov/Archives/edgar/data/1838987/000119312523192359/d530739dex1016.htm" TargetMode="External"/><Relationship Id="rId90" Type="http://schemas.openxmlformats.org/officeDocument/2006/relationships/hyperlink" Target="http://www.sec.gov/Archives/edgar/data/1838987/000121390024063080/ea020954501ex10-41_comp.htm" TargetMode="External"/><Relationship Id="rId91" Type="http://schemas.openxmlformats.org/officeDocument/2006/relationships/hyperlink" Target="http://www.sec.gov/Archives/edgar/data/1838987/000121390024059547/ea020897701ex10-1_complete.htm" TargetMode="External"/><Relationship Id="rId92" Type="http://schemas.openxmlformats.org/officeDocument/2006/relationships/hyperlink" Target="http://www.sec.gov/Archives/edgar/data/1838987/000121390024110645/ea022515001ex1-2_complete.htm" TargetMode="External"/><Relationship Id="rId93" Type="http://schemas.openxmlformats.org/officeDocument/2006/relationships/hyperlink" Target="http://www.sec.gov/Archives/edgar/data/1838987/000121390024110645/ea022515001ex1-2_complete.htm" TargetMode="External"/><Relationship Id="rId94" Type="http://schemas.openxmlformats.org/officeDocument/2006/relationships/hyperlink" Target="http://www.sec.gov/Archives/edgar/data/1838987/000121390024110645/ea022515001ex1-2_complete.htm" TargetMode="External"/><Relationship Id="rId95" Type="http://schemas.openxmlformats.org/officeDocument/2006/relationships/hyperlink" Target="http://www.sec.gov/Archives/edgar/data/1838987/000121390025064680/ea024916501ex4-1_complete.htm" TargetMode="External"/><Relationship Id="rId96" Type="http://schemas.openxmlformats.org/officeDocument/2006/relationships/hyperlink" Target="http://www.sec.gov/Archives/edgar/data/1838987/000121390025066104/ea024964401ex10-1_comple.htm" TargetMode="External"/><Relationship Id="rId97" Type="http://schemas.openxmlformats.org/officeDocument/2006/relationships/hyperlink" Target="http://www.sec.gov/Archives/edgar/data/1838987/000121390025066104/ea024964401ex10-2_comple.htm" TargetMode="External"/><Relationship Id="rId98" Type="http://schemas.openxmlformats.org/officeDocument/2006/relationships/hyperlink" Target="http://www.sec.gov/Archives/edgar/data/1838987/000121390025071336/ea025156001ex10-1_complete.htm" TargetMode="External"/><Relationship Id="rId99" Type="http://schemas.openxmlformats.org/officeDocument/2006/relationships/hyperlink" Target="http://www.sec.gov/Archives/edgar/data/1838987/000121390025089842/ea025817301ex10-1_complete.htm" TargetMode="External"/><Relationship Id="rId100" Type="http://schemas.openxmlformats.org/officeDocument/2006/relationships/hyperlink" Target="http://www.sec.gov/Archives/edgar/data/1838987/000121390025089842/ea025817301ex10-2_complete.htm" TargetMode="External"/><Relationship Id="rId101" Type="http://schemas.openxmlformats.org/officeDocument/2006/relationships/hyperlink" Target="http://www.sec.gov/Archives/edgar/data/1838987/000121390025089842/ea025817301ex10-3_complete.htm" TargetMode="External"/><Relationship Id="rId102" Type="http://schemas.openxmlformats.org/officeDocument/2006/relationships/hyperlink" Target="http://www.sec.gov/Archives/edgar/data/1838987/000121390026003483/ea027251301ex10-1_sunpower.htm" TargetMode="External"/><Relationship Id="rId103" Type="http://schemas.openxmlformats.org/officeDocument/2006/relationships/hyperlink" Target="http://www.sec.gov/Archives/edgar/data/1838987/000121390026009812/ea027447901ex10-1_sunpower.htm" TargetMode="External"/><Relationship Id="rId104" Type="http://schemas.openxmlformats.org/officeDocument/2006/relationships/hyperlink" Target="http://www.sec.gov/Archives/edgar/data/1838987/000121390026009812/ea027447901ex10-2_sunpower.htm" TargetMode="External"/><Relationship Id="rId105" Type="http://schemas.openxmlformats.org/officeDocument/2006/relationships/hyperlink" Target="http://www.sec.gov/Archives/edgar/data/1838987/000121390026009812/ea027447901ex10-3_sunpower.htm" TargetMode="External"/><Relationship Id="rId106" Type="http://schemas.openxmlformats.org/officeDocument/2006/relationships/hyperlink" Target="http://www.sec.gov/Archives/edgar/data/1838987/000121390026026160/ea028090601ex10-4.htm" TargetMode="External"/><Relationship Id="rId107" Type="http://schemas.openxmlformats.org/officeDocument/2006/relationships/hyperlink" Target="http://www.sec.gov/Archives/edgar/data/1838987/000121390026012763/ea027575801ex10-1_sunpower.htm" TargetMode="External"/><Relationship Id="rId108" Type="http://schemas.openxmlformats.org/officeDocument/2006/relationships/hyperlink" Target="http://www.sec.gov/Archives/edgar/data/1838987/000121390026043623/ea028392001ex10-65.htm" TargetMode="External"/><Relationship Id="rId109" Type="http://schemas.openxmlformats.org/officeDocument/2006/relationships/hyperlink" Target="http://www.sec.gov/Archives/edgar/data/1838987/000121390026026160/ea028090601ex10-1.htm" TargetMode="External"/><Relationship Id="rId110" Type="http://schemas.openxmlformats.org/officeDocument/2006/relationships/hyperlink" Target="http://www.sec.gov/Archives/edgar/data/1838987/000121390026026160/ea028090601ex10-2.htm" TargetMode="External"/><Relationship Id="rId111" Type="http://schemas.openxmlformats.org/officeDocument/2006/relationships/hyperlink" Target="http://www.sec.gov/Archives/edgar/data/1838987/000121390026026160/ea028090601ex10-3.htm" TargetMode="External"/><Relationship Id="rId112" Type="http://schemas.openxmlformats.org/officeDocument/2006/relationships/hyperlink" Target="http://www.sec.gov/Archives/edgar/data/1838987/000121390026046407/ea028730701ex10-1.htm" TargetMode="External"/><Relationship Id="rId113" Type="http://schemas.openxmlformats.org/officeDocument/2006/relationships/hyperlink" Target="http://www.sec.gov/Archives/edgar/data/1838987/000121390026046407/ea028730701ex10-2.htm" TargetMode="External"/><Relationship Id="rId114" Type="http://schemas.openxmlformats.org/officeDocument/2006/relationships/hyperlink" Target="http://www.sec.gov/Archives/edgar/data/1838987/000121390026046407/ea028730701ex10-3.htm" TargetMode="External"/><Relationship Id="rId115" Type="http://schemas.openxmlformats.org/officeDocument/2006/relationships/hyperlink" Target="http://www.sec.gov/Archives/edgar/data/1838987/000121390026049337/ea028807701ex10-1.htm" TargetMode="External"/><Relationship Id="rId116" Type="http://schemas.openxmlformats.org/officeDocument/2006/relationships/hyperlink" Target="http://www.sec.gov/Archives/edgar/data/1838987/000121390026049337/ea028807701ex10-2.htm" TargetMode="External"/><Relationship Id="rId117" Type="http://schemas.openxmlformats.org/officeDocument/2006/relationships/hyperlink" Target="http://www.sec.gov/Archives/edgar/data/1838987/000121390026049337/ea028807701ex10-3.htm" TargetMode="External"/><Relationship Id="rId118" Type="http://schemas.openxmlformats.org/officeDocument/2006/relationships/hyperlink" Target="http://www.sec.gov/Archives/edgar/data/1838987/000121390026046407/ea028730701ex10-5.htm" TargetMode="External"/><Relationship Id="rId119" Type="http://schemas.openxmlformats.org/officeDocument/2006/relationships/hyperlink" Target="http://www.sec.gov/Archives/edgar/data/1838987/000121390026046407/ea028730701ex10-6.htm" TargetMode="External"/><Relationship Id="rId120" Type="http://schemas.openxmlformats.org/officeDocument/2006/relationships/hyperlink" Target="http://www.sec.gov/Archives/edgar/data/1838987/000121390026043623/ea028392001ex14-1.htm" TargetMode="External"/><Relationship Id="rId121" Type="http://schemas.openxmlformats.org/officeDocument/2006/relationships/hyperlink" Target="http://www.sec.gov/Archives/edgar/data/1838987/000121390024064146/ea021041601ex16-1_complete.htm" TargetMode="External"/><Relationship Id="rId122" Type="http://schemas.openxmlformats.org/officeDocument/2006/relationships/hyperlink" Target="http://www.sec.gov/Archives/edgar/data/1838987/000121390025037748/ea023783401ex19-1_complete.htm" TargetMode="External"/><Relationship Id="rId123" Type="http://schemas.openxmlformats.org/officeDocument/2006/relationships/hyperlink" Target="http://www.sec.gov/Archives/edgar/data/1838987/000119312523206474/d508460dex211.htm" TargetMode="External"/><Relationship Id="rId124" Type="http://schemas.openxmlformats.org/officeDocument/2006/relationships/image" Target="media/image5.jpeg"/><Relationship Id="rId125" Type="http://schemas.openxmlformats.org/officeDocument/2006/relationships/image" Target="media/image6.jpeg"/><Relationship Id="rId126" Type="http://schemas.openxmlformats.org/officeDocument/2006/relationships/fontTable" Target="fontTable.xml"/><Relationship Id="rId1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173161</Words>
  <Characters>940624</Characters>
  <CharactersWithSpaces>1123698</CharactersWithSpaces>
  <Paragraphs>37626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