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6120" w:right="0" w:hanging="0"/>
        <w:jc w:val="right"/>
        <w:rPr>
          <w:rFonts w:ascii="Times New Roman;Times;Serif" w:hAnsi="Times New Roman;Times;Serif"/>
          <w:b/>
          <w:i w:val="false"/>
          <w:caps w:val="false"/>
          <w:smallCaps w:val="false"/>
          <w:sz w:val="20"/>
        </w:rPr>
      </w:pPr>
      <w:bookmarkStart w:id="0" w:name="ea030142103-424b3_sunpower.htm"/>
      <w:bookmarkStart w:id="1" w:name="ksea030142103424b3_sunpower"/>
      <w:bookmarkEnd w:id="0"/>
      <w:bookmarkEnd w:id="1"/>
      <w:r>
        <w:rPr>
          <w:rFonts w:ascii="Times New Roman;Times;Serif" w:hAnsi="Times New Roman;Times;Serif"/>
          <w:b/>
          <w:i w:val="false"/>
          <w:caps w:val="false"/>
          <w:smallCaps w:val="false"/>
          <w:sz w:val="20"/>
        </w:rPr>
        <w:t>Filed Pursuant to Rule 424(b)(3)</w:t>
      </w:r>
    </w:p>
    <w:p>
      <w:pPr>
        <w:pStyle w:val="TextBody"/>
        <w:bidi w:val="0"/>
        <w:spacing w:before="0" w:after="0"/>
        <w:ind w:left="612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333-297138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 NO. 2</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the Prospectus dated July 10,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SUNPOWER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8,472,371 Shares of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380,000 Shares of Common Stock Issuable Upon Exercise of a Warrant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4,424,779 Shares of Common Stock Issuable Upon Conversion of Convertible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supplements the prospectus dated July 10, 2026 (as amended or supplemented, the “</w:t>
      </w:r>
      <w:r>
        <w:rPr>
          <w:rFonts w:ascii="Times New Roman;Times;Serif" w:hAnsi="Times New Roman;Times;Serif"/>
          <w:b/>
          <w:i w:val="false"/>
          <w:caps w:val="false"/>
          <w:smallCaps w:val="false"/>
          <w:sz w:val="20"/>
        </w:rPr>
        <w:t>prospectus</w:t>
      </w:r>
      <w:r>
        <w:rPr>
          <w:rFonts w:ascii="Times New Roman;Times;Serif" w:hAnsi="Times New Roman;Times;Serif"/>
          <w:b w:val="false"/>
          <w:i w:val="false"/>
          <w:caps w:val="false"/>
          <w:smallCaps w:val="false"/>
          <w:sz w:val="20"/>
        </w:rPr>
        <w:t>”), which forms a part of our registration statement on Form S-1 (No. 333-297138). This prospectus supplement is being filed to update and supplement the information in the prospectus with the information contained in our Current Report on Form 8-K filed with the Securities and Exchange Commission on August 10, 2026 (the “</w:t>
      </w:r>
      <w:r>
        <w:rPr>
          <w:rFonts w:ascii="Times New Roman;Times;Serif" w:hAnsi="Times New Roman;Times;Serif"/>
          <w:b/>
          <w:i w:val="false"/>
          <w:caps w:val="false"/>
          <w:smallCaps w:val="false"/>
          <w:sz w:val="20"/>
        </w:rPr>
        <w:t>Current Report</w:t>
      </w:r>
      <w:r>
        <w:rPr>
          <w:rFonts w:ascii="Times New Roman;Times;Serif" w:hAnsi="Times New Roman;Times;Serif"/>
          <w:b w:val="false"/>
          <w:i w:val="false"/>
          <w:caps w:val="false"/>
          <w:smallCaps w:val="false"/>
          <w:sz w:val="20"/>
        </w:rPr>
        <w:t>” and such information, the “</w:t>
      </w:r>
      <w:r>
        <w:rPr>
          <w:rFonts w:ascii="Times New Roman;Times;Serif" w:hAnsi="Times New Roman;Times;Serif"/>
          <w:b/>
          <w:i w:val="false"/>
          <w:caps w:val="false"/>
          <w:smallCaps w:val="false"/>
          <w:sz w:val="20"/>
        </w:rPr>
        <w:t>Supplemental Information</w:t>
      </w:r>
      <w:r>
        <w:rPr>
          <w:rFonts w:ascii="Times New Roman;Times;Serif" w:hAnsi="Times New Roman;Times;Serif"/>
          <w:b w:val="false"/>
          <w:i w:val="false"/>
          <w:caps w:val="false"/>
          <w:smallCaps w:val="false"/>
          <w:sz w:val="20"/>
        </w:rPr>
        <w:t>”). Accordingly, we have attached the Current Report to this prospectus supplement with respect to the Supplemental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and this prospectus supplement relate to the offer and sale from time to time by the selling securityholders named in the prospectus or their permitted transferees (the “</w:t>
      </w:r>
      <w:r>
        <w:rPr>
          <w:rFonts w:ascii="Times New Roman;Times;Serif" w:hAnsi="Times New Roman;Times;Serif"/>
          <w:b/>
          <w:i w:val="false"/>
          <w:caps w:val="false"/>
          <w:smallCaps w:val="false"/>
          <w:sz w:val="20"/>
        </w:rPr>
        <w:t>Selling Securityholders</w:t>
      </w:r>
      <w:r>
        <w:rPr>
          <w:rFonts w:ascii="Times New Roman;Times;Serif" w:hAnsi="Times New Roman;Times;Serif"/>
          <w:b w:val="false"/>
          <w:i w:val="false"/>
          <w:caps w:val="false"/>
          <w:smallCaps w:val="false"/>
          <w:sz w:val="20"/>
        </w:rPr>
        <w:t>”) of up to 13,277,150 shares of our common stock, par value $0.0001 per share (the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consisting of: (i) 6,666,666 shares of common stock (the “</w:t>
      </w:r>
      <w:r>
        <w:rPr>
          <w:rFonts w:ascii="Times New Roman;Times;Serif" w:hAnsi="Times New Roman;Times;Serif"/>
          <w:b/>
          <w:i w:val="false"/>
          <w:caps w:val="false"/>
          <w:smallCaps w:val="false"/>
          <w:sz w:val="20"/>
        </w:rPr>
        <w:t>Sunder Shares</w:t>
      </w:r>
      <w:r>
        <w:rPr>
          <w:rFonts w:ascii="Times New Roman;Times;Serif" w:hAnsi="Times New Roman;Times;Serif"/>
          <w:b w:val="false"/>
          <w:i w:val="false"/>
          <w:caps w:val="false"/>
          <w:smallCaps w:val="false"/>
          <w:sz w:val="20"/>
        </w:rPr>
        <w:t>”) previously issued by us pursuant to the Amendment and Agreement, dated as of March 5, 2026 (the “</w:t>
      </w:r>
      <w:r>
        <w:rPr>
          <w:rFonts w:ascii="Times New Roman;Times;Serif" w:hAnsi="Times New Roman;Times;Serif"/>
          <w:b/>
          <w:i w:val="false"/>
          <w:caps w:val="false"/>
          <w:smallCaps w:val="false"/>
          <w:sz w:val="20"/>
        </w:rPr>
        <w:t>Sunder Amendment</w:t>
      </w:r>
      <w:r>
        <w:rPr>
          <w:rFonts w:ascii="Times New Roman;Times;Serif" w:hAnsi="Times New Roman;Times;Serif"/>
          <w:b w:val="false"/>
          <w:i w:val="false"/>
          <w:caps w:val="false"/>
          <w:smallCaps w:val="false"/>
          <w:sz w:val="20"/>
        </w:rPr>
        <w:t>”), relating to the Membership Interest Purchase Agreement (the “</w:t>
      </w:r>
      <w:r>
        <w:rPr>
          <w:rFonts w:ascii="Times New Roman;Times;Serif" w:hAnsi="Times New Roman;Times;Serif"/>
          <w:b/>
          <w:i w:val="false"/>
          <w:caps w:val="false"/>
          <w:smallCaps w:val="false"/>
          <w:sz w:val="20"/>
        </w:rPr>
        <w:t>Sunder Purchase Agreement</w:t>
      </w:r>
      <w:r>
        <w:rPr>
          <w:rFonts w:ascii="Times New Roman;Times;Serif" w:hAnsi="Times New Roman;Times;Serif"/>
          <w:b w:val="false"/>
          <w:i w:val="false"/>
          <w:caps w:val="false"/>
          <w:smallCaps w:val="false"/>
          <w:sz w:val="20"/>
        </w:rPr>
        <w:t>”), dated September 21, 2025, by and among the Company, Complete Solar, Inc., Sunder Energy LLC (“</w:t>
      </w:r>
      <w:r>
        <w:rPr>
          <w:rFonts w:ascii="Times New Roman;Times;Serif" w:hAnsi="Times New Roman;Times;Serif"/>
          <w:b/>
          <w:i w:val="false"/>
          <w:caps w:val="false"/>
          <w:smallCaps w:val="false"/>
          <w:sz w:val="20"/>
        </w:rPr>
        <w:t>Sunder</w:t>
      </w:r>
      <w:r>
        <w:rPr>
          <w:rFonts w:ascii="Times New Roman;Times;Serif" w:hAnsi="Times New Roman;Times;Serif"/>
          <w:b w:val="false"/>
          <w:i w:val="false"/>
          <w:caps w:val="false"/>
          <w:smallCaps w:val="false"/>
          <w:sz w:val="20"/>
        </w:rPr>
        <w:t>”) and Chicken Parm Pizza LLC (“</w:t>
      </w:r>
      <w:r>
        <w:rPr>
          <w:rFonts w:ascii="Times New Roman;Times;Serif" w:hAnsi="Times New Roman;Times;Serif"/>
          <w:b/>
          <w:i w:val="false"/>
          <w:caps w:val="false"/>
          <w:smallCaps w:val="false"/>
          <w:sz w:val="20"/>
        </w:rPr>
        <w:t>CPP</w:t>
      </w:r>
      <w:r>
        <w:rPr>
          <w:rFonts w:ascii="Times New Roman;Times;Serif" w:hAnsi="Times New Roman;Times;Serif"/>
          <w:b w:val="false"/>
          <w:i w:val="false"/>
          <w:caps w:val="false"/>
          <w:smallCaps w:val="false"/>
          <w:sz w:val="20"/>
        </w:rPr>
        <w:t>”), in connection with our acquisition of Sunder; (ii) up to 1,805,705 shares of common stock (the “</w:t>
      </w:r>
      <w:r>
        <w:rPr>
          <w:rFonts w:ascii="Times New Roman;Times;Serif" w:hAnsi="Times New Roman;Times;Serif"/>
          <w:b/>
          <w:i w:val="false"/>
          <w:caps w:val="false"/>
          <w:smallCaps w:val="false"/>
          <w:sz w:val="20"/>
        </w:rPr>
        <w:t>Cobalt Shares</w:t>
      </w:r>
      <w:r>
        <w:rPr>
          <w:rFonts w:ascii="Times New Roman;Times;Serif" w:hAnsi="Times New Roman;Times;Serif"/>
          <w:b w:val="false"/>
          <w:i w:val="false"/>
          <w:caps w:val="false"/>
          <w:smallCaps w:val="false"/>
          <w:sz w:val="20"/>
        </w:rPr>
        <w:t>”) previously issued pursuant to the Share Purchase Agreement, dated January 30, 2026, by and among the Company, Cobalt Power Systems, Inc. (“</w:t>
      </w:r>
      <w:r>
        <w:rPr>
          <w:rFonts w:ascii="Times New Roman;Times;Serif" w:hAnsi="Times New Roman;Times;Serif"/>
          <w:b/>
          <w:i w:val="false"/>
          <w:caps w:val="false"/>
          <w:smallCaps w:val="false"/>
          <w:sz w:val="20"/>
        </w:rPr>
        <w:t>Cobalt</w:t>
      </w:r>
      <w:r>
        <w:rPr>
          <w:rFonts w:ascii="Times New Roman;Times;Serif" w:hAnsi="Times New Roman;Times;Serif"/>
          <w:b w:val="false"/>
          <w:i w:val="false"/>
          <w:caps w:val="false"/>
          <w:smallCaps w:val="false"/>
          <w:sz w:val="20"/>
        </w:rPr>
        <w:t>”) and the selling shareholders (the “</w:t>
      </w:r>
      <w:r>
        <w:rPr>
          <w:rFonts w:ascii="Times New Roman;Times;Serif" w:hAnsi="Times New Roman;Times;Serif"/>
          <w:b/>
          <w:i w:val="false"/>
          <w:caps w:val="false"/>
          <w:smallCaps w:val="false"/>
          <w:sz w:val="20"/>
        </w:rPr>
        <w:t>Selling Shareholders</w:t>
      </w:r>
      <w:r>
        <w:rPr>
          <w:rFonts w:ascii="Times New Roman;Times;Serif" w:hAnsi="Times New Roman;Times;Serif"/>
          <w:b w:val="false"/>
          <w:i w:val="false"/>
          <w:caps w:val="false"/>
          <w:smallCaps w:val="false"/>
          <w:sz w:val="20"/>
        </w:rPr>
        <w:t>”) party thereto (the “</w:t>
      </w:r>
      <w:r>
        <w:rPr>
          <w:rFonts w:ascii="Times New Roman;Times;Serif" w:hAnsi="Times New Roman;Times;Serif"/>
          <w:b/>
          <w:i w:val="false"/>
          <w:caps w:val="false"/>
          <w:smallCaps w:val="false"/>
          <w:sz w:val="20"/>
        </w:rPr>
        <w:t>Cobalt Purchase Agreement</w:t>
      </w:r>
      <w:r>
        <w:rPr>
          <w:rFonts w:ascii="Times New Roman;Times;Serif" w:hAnsi="Times New Roman;Times;Serif"/>
          <w:b w:val="false"/>
          <w:i w:val="false"/>
          <w:caps w:val="false"/>
          <w:smallCaps w:val="false"/>
          <w:sz w:val="20"/>
        </w:rPr>
        <w:t>” and, together with the Sunder Purchase Agreement, the “</w:t>
      </w:r>
      <w:r>
        <w:rPr>
          <w:rFonts w:ascii="Times New Roman;Times;Serif" w:hAnsi="Times New Roman;Times;Serif"/>
          <w:b/>
          <w:i w:val="false"/>
          <w:caps w:val="false"/>
          <w:smallCaps w:val="false"/>
          <w:sz w:val="20"/>
        </w:rPr>
        <w:t>Acquisition Agreements</w:t>
      </w:r>
      <w:r>
        <w:rPr>
          <w:rFonts w:ascii="Times New Roman;Times;Serif" w:hAnsi="Times New Roman;Times;Serif"/>
          <w:b w:val="false"/>
          <w:i w:val="false"/>
          <w:caps w:val="false"/>
          <w:smallCaps w:val="false"/>
          <w:sz w:val="20"/>
        </w:rPr>
        <w:t>”) in connection with our acquisition of Cobalt; (iii) up to 380,000 shares of common stock (the “</w:t>
      </w:r>
      <w:r>
        <w:rPr>
          <w:rFonts w:ascii="Times New Roman;Times;Serif" w:hAnsi="Times New Roman;Times;Serif"/>
          <w:b/>
          <w:i w:val="false"/>
          <w:caps w:val="false"/>
          <w:smallCaps w:val="false"/>
          <w:sz w:val="20"/>
        </w:rPr>
        <w:t>Ayna Shares</w:t>
      </w:r>
      <w:r>
        <w:rPr>
          <w:rFonts w:ascii="Times New Roman;Times;Serif" w:hAnsi="Times New Roman;Times;Serif"/>
          <w:b w:val="false"/>
          <w:i w:val="false"/>
          <w:caps w:val="false"/>
          <w:smallCaps w:val="false"/>
          <w:sz w:val="20"/>
        </w:rPr>
        <w:t>”) that are issuable upon the exercise of the warrant to purchase common stock (the “</w:t>
      </w:r>
      <w:r>
        <w:rPr>
          <w:rFonts w:ascii="Times New Roman;Times;Serif" w:hAnsi="Times New Roman;Times;Serif"/>
          <w:b/>
          <w:i w:val="false"/>
          <w:caps w:val="false"/>
          <w:smallCaps w:val="false"/>
          <w:sz w:val="20"/>
        </w:rPr>
        <w:t>Ayna 2026 Warrant</w:t>
      </w:r>
      <w:r>
        <w:rPr>
          <w:rFonts w:ascii="Times New Roman;Times;Serif" w:hAnsi="Times New Roman;Times;Serif"/>
          <w:b w:val="false"/>
          <w:i w:val="false"/>
          <w:caps w:val="false"/>
          <w:smallCaps w:val="false"/>
          <w:sz w:val="20"/>
        </w:rPr>
        <w:t>”) originally issued in a private placement to Ayna.AI LLC (“</w:t>
      </w:r>
      <w:r>
        <w:rPr>
          <w:rFonts w:ascii="Times New Roman;Times;Serif" w:hAnsi="Times New Roman;Times;Serif"/>
          <w:b/>
          <w:i w:val="false"/>
          <w:caps w:val="false"/>
          <w:smallCaps w:val="false"/>
          <w:sz w:val="20"/>
        </w:rPr>
        <w:t>Ayna</w:t>
      </w:r>
      <w:r>
        <w:rPr>
          <w:rFonts w:ascii="Times New Roman;Times;Serif" w:hAnsi="Times New Roman;Times;Serif"/>
          <w:b w:val="false"/>
          <w:i w:val="false"/>
          <w:caps w:val="false"/>
          <w:smallCaps w:val="false"/>
          <w:sz w:val="20"/>
        </w:rPr>
        <w:t>”); and (iv) up to 4,424,779 shares of common stock (the “</w:t>
      </w:r>
      <w:r>
        <w:rPr>
          <w:rFonts w:ascii="Times New Roman;Times;Serif" w:hAnsi="Times New Roman;Times;Serif"/>
          <w:b/>
          <w:i w:val="false"/>
          <w:caps w:val="false"/>
          <w:smallCaps w:val="false"/>
          <w:sz w:val="20"/>
        </w:rPr>
        <w:t>Conversion Shares</w:t>
      </w:r>
      <w:r>
        <w:rPr>
          <w:rFonts w:ascii="Times New Roman;Times;Serif" w:hAnsi="Times New Roman;Times;Serif"/>
          <w:b w:val="false"/>
          <w:i w:val="false"/>
          <w:caps w:val="false"/>
          <w:smallCaps w:val="false"/>
          <w:sz w:val="20"/>
        </w:rPr>
        <w:t>” and, collectively with the Sunder Shares, the Cobalt Shares and the Ayna Shares, the “</w:t>
      </w:r>
      <w:r>
        <w:rPr>
          <w:rFonts w:ascii="Times New Roman;Times;Serif" w:hAnsi="Times New Roman;Times;Serif"/>
          <w:b/>
          <w:i w:val="false"/>
          <w:caps w:val="false"/>
          <w:smallCaps w:val="false"/>
          <w:sz w:val="20"/>
        </w:rPr>
        <w:t>Offered Securities</w:t>
      </w:r>
      <w:r>
        <w:rPr>
          <w:rFonts w:ascii="Times New Roman;Times;Serif" w:hAnsi="Times New Roman;Times;Serif"/>
          <w:b w:val="false"/>
          <w:i w:val="false"/>
          <w:caps w:val="false"/>
          <w:smallCaps w:val="false"/>
          <w:sz w:val="20"/>
        </w:rPr>
        <w:t>”) issuable upon conversion of a 10% convertible senior secured note due 2029 in the original principal amount of $5.0 million (the “</w:t>
      </w:r>
      <w:r>
        <w:rPr>
          <w:rFonts w:ascii="Times New Roman;Times;Serif" w:hAnsi="Times New Roman;Times;Serif"/>
          <w:b/>
          <w:i w:val="false"/>
          <w:caps w:val="false"/>
          <w:smallCaps w:val="false"/>
          <w:sz w:val="20"/>
        </w:rPr>
        <w:t>Secured Note</w:t>
      </w:r>
      <w:r>
        <w:rPr>
          <w:rFonts w:ascii="Times New Roman;Times;Serif" w:hAnsi="Times New Roman;Times;Serif"/>
          <w:b w:val="false"/>
          <w:i w:val="false"/>
          <w:caps w:val="false"/>
          <w:smallCaps w:val="false"/>
          <w:sz w:val="20"/>
        </w:rPr>
        <w:t>”). The Sunder Shares were issued by us to CPP pursuant to the Sunder Amendment on April 8, 2026. The Cobalt Shares were issued by us to the Selling Shareholders pursuant to the Cobalt Purchase Agreement on February 2, 2026. The Ayna 2026 Warrant was issued by us effective January 1, 2026. The 10% Note was issued by us on May 20, 2026 pursuant to the Note Purchase Agreement, dated May 19, 2026, between the Company and the Selling Securityholder party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w:t>
      </w:r>
      <w:r>
        <w:rPr>
          <w:rFonts w:ascii="Times New Roman;Times;Serif" w:hAnsi="Times New Roman;Times;Serif"/>
          <w:b w:val="false"/>
          <w:i/>
          <w:caps w:val="false"/>
          <w:smallCaps w:val="false"/>
          <w:sz w:val="20"/>
        </w:rPr>
        <w:t>Prospectus Summary</w:t>
      </w:r>
      <w:r>
        <w:rPr>
          <w:rFonts w:ascii="Times New Roman;Times;Serif" w:hAnsi="Times New Roman;Times;Serif"/>
          <w:b w:val="false"/>
          <w:i w:val="false"/>
          <w:caps w:val="false"/>
          <w:smallCaps w:val="false"/>
          <w:sz w:val="20"/>
        </w:rPr>
        <w:t>” for a description of the Acquisition Agreements, the Ambia Acquisition and the Sunder Acquisition and the 7% Notes and “</w:t>
      </w:r>
      <w:r>
        <w:rPr>
          <w:rFonts w:ascii="Times New Roman;Times;Serif" w:hAnsi="Times New Roman;Times;Serif"/>
          <w:b w:val="false"/>
          <w:i/>
          <w:caps w:val="false"/>
          <w:smallCaps w:val="false"/>
          <w:sz w:val="20"/>
        </w:rPr>
        <w:t>Selling Securityholders</w:t>
      </w:r>
      <w:r>
        <w:rPr>
          <w:rFonts w:ascii="Times New Roman;Times;Serif" w:hAnsi="Times New Roman;Times;Serif"/>
          <w:b w:val="false"/>
          <w:i w:val="false"/>
          <w:caps w:val="false"/>
          <w:smallCaps w:val="false"/>
          <w:sz w:val="20"/>
        </w:rPr>
        <w:t>” for additional information regarding the Selling Securityholders.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selling any securities under he prospectus and this prospectus supplement and will not receive any of the proceeds from the sale of shares of common stock by the Selling Securityholders.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may sell or otherwise dispose of the shares of common stock described in he prospectus and this prospectus supplement in a number of different ways and at varying prices. See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 for more information about how the Selling Securityholders may sell or otherwise dispose of the shares of common stock being registered pursuant to he prospectus and this prospectus supplement. None of the Selling Securityholders are an “underwriter” with respect to the securities registered hereunder within the meaning of Section 2(a)(11) of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will pay all brokerage fees and commissions and similar expenses attributable to the sales of its common stock. We will pay the expenses (except brokerage fees and commissions and similar expenses) incurred in registering the shares of common stock offered hereby, including legal and accounting fees. See “</w:t>
      </w:r>
      <w:r>
        <w:rPr>
          <w:rFonts w:ascii="Times New Roman;Times;Serif" w:hAnsi="Times New Roman;Times;Serif"/>
          <w:b w:val="false"/>
          <w:i/>
          <w:caps w:val="false"/>
          <w:smallCaps w:val="false"/>
          <w:sz w:val="20"/>
        </w:rPr>
        <w:t>Plan of Distribution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our common stock are listed on the Nasdaq Global Market (“</w:t>
      </w:r>
      <w:r>
        <w:rPr>
          <w:rFonts w:ascii="Times New Roman;Times;Serif" w:hAnsi="Times New Roman;Times;Serif"/>
          <w:b/>
          <w:i w:val="false"/>
          <w:caps w:val="false"/>
          <w:smallCaps w:val="false"/>
          <w:sz w:val="20"/>
        </w:rPr>
        <w:t>Nasdaq</w:t>
      </w:r>
      <w:r>
        <w:rPr>
          <w:rFonts w:ascii="Times New Roman;Times;Serif" w:hAnsi="Times New Roman;Times;Serif"/>
          <w:b w:val="false"/>
          <w:i w:val="false"/>
          <w:caps w:val="false"/>
          <w:smallCaps w:val="false"/>
          <w:sz w:val="20"/>
        </w:rPr>
        <w:t>”) under the symbol “SPWR”. On August 7, 2026, the closing price of our common stock was $0.2675.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should be read in conjunction with the prospectus, including any amendments or supplements thereto, which is to be delivered with this prospectus supplement. This prospectus supplement is qualified by reference to the prospectus, including any amendments or supplements thereto, except to the extent that the information in this prospectus supplement updates and supersedes the information contained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is not complete without, and may not be delivered or utilized except in connection with, the prospectus, including any amendments or supplements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are an “emerging growth company” as defined under U.S. federal securities laws and, as such, have elected to comply with reduced public company reporting requirements. The prospectus and this prospectus supplement comply with the requirements that apply to an issuer that is an emerging growth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a high degree of risk. You should review carefully the risks and uncertainties described in the section titled “Risk Factors” beginning on page 10 of the prospectus, and under similar headings in any amendments or supplements to the prospectus and this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passed upon the accuracy or adequacy of the prospectus and this prospectus supplement. Any representation to the contrary is a criminal offense.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dated August 10, 2026</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Washington, D.C. 20549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CURRENT REPORT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of the Securities Exchange Act of 1934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r>
        <w:rPr>
          <w:rFonts w:ascii="Times New Roman;Times;Serif" w:hAnsi="Times New Roman;Times;Serif"/>
          <w:b/>
          <w:i w:val="false"/>
          <w:caps w:val="false"/>
          <w:smallCaps w:val="false"/>
          <w:sz w:val="20"/>
        </w:rPr>
        <w:t>August 4,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SunPower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990" w:type="dxa"/>
        <w:jc w:val="left"/>
        <w:tblInd w:w="0" w:type="dxa"/>
        <w:tblLayout w:type="fixed"/>
        <w:tblCellMar>
          <w:top w:w="0" w:type="dxa"/>
          <w:left w:w="0" w:type="dxa"/>
          <w:bottom w:w="28" w:type="dxa"/>
          <w:right w:w="0" w:type="dxa"/>
        </w:tblCellMar>
      </w:tblPr>
      <w:tblGrid>
        <w:gridCol w:w="2480"/>
        <w:gridCol w:w="60"/>
        <w:gridCol w:w="2615"/>
        <w:gridCol w:w="60"/>
        <w:gridCol w:w="1775"/>
      </w:tblGrid>
      <w:tr>
        <w:trPr/>
        <w:tc>
          <w:tcPr>
            <w:tcW w:w="2480" w:type="dxa"/>
            <w:tcBorders>
              <w:bottom w:val="single" w:sz="12" w:space="0" w:color="000000"/>
            </w:tcBorders>
            <w:vAlign w:val="center"/>
          </w:tcPr>
          <w:p>
            <w:pPr>
              <w:pStyle w:val="TableContents"/>
              <w:bidi w:val="0"/>
              <w:spacing w:before="0" w:after="283"/>
              <w:jc w:val="center"/>
              <w:rPr>
                <w:b/>
              </w:rPr>
            </w:pPr>
            <w:r>
              <w:rPr>
                <w:b/>
              </w:rPr>
              <w:t>Delaware</w:t>
            </w:r>
          </w:p>
        </w:tc>
        <w:tc>
          <w:tcPr>
            <w:tcW w:w="60" w:type="dxa"/>
            <w:tcBorders/>
            <w:tcMar>
              <w:bottom w:w="0" w:type="dxa"/>
            </w:tcMar>
            <w:vAlign w:val="center"/>
          </w:tcPr>
          <w:p>
            <w:pPr>
              <w:pStyle w:val="TableContents"/>
              <w:bidi w:val="0"/>
              <w:spacing w:before="0" w:after="283"/>
              <w:jc w:val="left"/>
              <w:rPr/>
            </w:pPr>
            <w:r>
              <w:rPr/>
              <w:t> </w:t>
            </w:r>
          </w:p>
        </w:tc>
        <w:tc>
          <w:tcPr>
            <w:tcW w:w="2615" w:type="dxa"/>
            <w:tcBorders>
              <w:bottom w:val="single" w:sz="12" w:space="0" w:color="000000"/>
            </w:tcBorders>
            <w:vAlign w:val="center"/>
          </w:tcPr>
          <w:p>
            <w:pPr>
              <w:pStyle w:val="TableContents"/>
              <w:bidi w:val="0"/>
              <w:spacing w:before="0" w:after="283"/>
              <w:jc w:val="center"/>
              <w:rPr>
                <w:b/>
              </w:rPr>
            </w:pPr>
            <w:r>
              <w:rPr>
                <w:b/>
              </w:rPr>
              <w:t>001-40117</w:t>
            </w:r>
          </w:p>
        </w:tc>
        <w:tc>
          <w:tcPr>
            <w:tcW w:w="60" w:type="dxa"/>
            <w:tcBorders/>
            <w:tcMar>
              <w:bottom w:w="0" w:type="dxa"/>
            </w:tcMar>
            <w:vAlign w:val="center"/>
          </w:tcPr>
          <w:p>
            <w:pPr>
              <w:pStyle w:val="TableContents"/>
              <w:bidi w:val="0"/>
              <w:spacing w:before="0" w:after="283"/>
              <w:jc w:val="left"/>
              <w:rPr/>
            </w:pPr>
            <w:r>
              <w:rPr/>
              <w:t> </w:t>
            </w:r>
          </w:p>
        </w:tc>
        <w:tc>
          <w:tcPr>
            <w:tcW w:w="1775" w:type="dxa"/>
            <w:tcBorders>
              <w:bottom w:val="single" w:sz="12" w:space="0" w:color="000000"/>
            </w:tcBorders>
            <w:vAlign w:val="center"/>
          </w:tcPr>
          <w:p>
            <w:pPr>
              <w:pStyle w:val="TableContents"/>
              <w:bidi w:val="0"/>
              <w:spacing w:before="0" w:after="283"/>
              <w:jc w:val="center"/>
              <w:rPr>
                <w:b/>
              </w:rPr>
            </w:pPr>
            <w:r>
              <w:rPr>
                <w:b/>
              </w:rPr>
              <w:t>93-2279786</w:t>
            </w:r>
          </w:p>
        </w:tc>
      </w:tr>
      <w:tr>
        <w:trPr/>
        <w:tc>
          <w:tcPr>
            <w:tcW w:w="2480" w:type="dxa"/>
            <w:tcBorders/>
            <w:tcMar>
              <w:bottom w:w="0" w:type="dxa"/>
            </w:tcMar>
            <w:vAlign w:val="center"/>
          </w:tcPr>
          <w:p>
            <w:pPr>
              <w:pStyle w:val="TableContents"/>
              <w:bidi w:val="0"/>
              <w:spacing w:before="0" w:after="283"/>
              <w:jc w:val="center"/>
              <w:rPr/>
            </w:pPr>
            <w:r>
              <w:rPr/>
              <w:t>(State or other jurisdiction</w:t>
              <w:br/>
              <w:t>of incorporation)</w:t>
            </w:r>
          </w:p>
        </w:tc>
        <w:tc>
          <w:tcPr>
            <w:tcW w:w="60" w:type="dxa"/>
            <w:tcBorders/>
            <w:tcMar>
              <w:bottom w:w="0" w:type="dxa"/>
            </w:tcMar>
            <w:vAlign w:val="center"/>
          </w:tcPr>
          <w:p>
            <w:pPr>
              <w:pStyle w:val="TableContents"/>
              <w:bidi w:val="0"/>
              <w:spacing w:before="0" w:after="283"/>
              <w:jc w:val="left"/>
              <w:rPr/>
            </w:pPr>
            <w:r>
              <w:rPr/>
              <w:t> </w:t>
            </w:r>
          </w:p>
        </w:tc>
        <w:tc>
          <w:tcPr>
            <w:tcW w:w="2615" w:type="dxa"/>
            <w:tcBorders/>
            <w:tcMar>
              <w:bottom w:w="0" w:type="dxa"/>
            </w:tcMar>
            <w:vAlign w:val="center"/>
          </w:tcPr>
          <w:p>
            <w:pPr>
              <w:pStyle w:val="TableContents"/>
              <w:bidi w:val="0"/>
              <w:spacing w:before="0" w:after="283"/>
              <w:jc w:val="center"/>
              <w:rPr/>
            </w:pPr>
            <w:r>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775" w:type="dxa"/>
            <w:tcBorders/>
            <w:tcMar>
              <w:bottom w:w="0" w:type="dxa"/>
            </w:tcMar>
            <w:vAlign w:val="center"/>
          </w:tcPr>
          <w:p>
            <w:pPr>
              <w:pStyle w:val="TableContents"/>
              <w:bidi w:val="0"/>
              <w:spacing w:before="0" w:after="283"/>
              <w:jc w:val="center"/>
              <w:rPr/>
            </w:pPr>
            <w:r>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900" w:type="dxa"/>
        <w:jc w:val="left"/>
        <w:tblInd w:w="0" w:type="dxa"/>
        <w:tblLayout w:type="fixed"/>
        <w:tblCellMar>
          <w:top w:w="0" w:type="dxa"/>
          <w:left w:w="0" w:type="dxa"/>
          <w:bottom w:w="28" w:type="dxa"/>
          <w:right w:w="0" w:type="dxa"/>
        </w:tblCellMar>
      </w:tblPr>
      <w:tblGrid>
        <w:gridCol w:w="3755"/>
        <w:gridCol w:w="60"/>
        <w:gridCol w:w="1085"/>
      </w:tblGrid>
      <w:tr>
        <w:trPr/>
        <w:tc>
          <w:tcPr>
            <w:tcW w:w="3755" w:type="dxa"/>
            <w:tcBorders>
              <w:bottom w:val="single" w:sz="12" w:space="0" w:color="000000"/>
            </w:tcBorders>
            <w:vAlign w:val="center"/>
          </w:tcPr>
          <w:p>
            <w:pPr>
              <w:pStyle w:val="TableContents"/>
              <w:bidi w:val="0"/>
              <w:spacing w:before="0" w:after="283"/>
              <w:jc w:val="center"/>
              <w:rPr>
                <w:b/>
              </w:rPr>
            </w:pPr>
            <w:r>
              <w:rPr>
                <w:b/>
              </w:rPr>
              <w:t>1403 N. Research Way, Orem UT</w:t>
            </w:r>
          </w:p>
        </w:tc>
        <w:tc>
          <w:tcPr>
            <w:tcW w:w="60" w:type="dxa"/>
            <w:tcBorders/>
            <w:tcMar>
              <w:bottom w:w="0" w:type="dxa"/>
            </w:tcMar>
            <w:vAlign w:val="center"/>
          </w:tcPr>
          <w:p>
            <w:pPr>
              <w:pStyle w:val="TableContents"/>
              <w:bidi w:val="0"/>
              <w:spacing w:before="0" w:after="283"/>
              <w:jc w:val="center"/>
              <w:rPr/>
            </w:pPr>
            <w:r>
              <w:rPr/>
              <w:t> </w:t>
            </w:r>
          </w:p>
        </w:tc>
        <w:tc>
          <w:tcPr>
            <w:tcW w:w="1085" w:type="dxa"/>
            <w:tcBorders>
              <w:bottom w:val="single" w:sz="12" w:space="0" w:color="000000"/>
            </w:tcBorders>
            <w:vAlign w:val="center"/>
          </w:tcPr>
          <w:p>
            <w:pPr>
              <w:pStyle w:val="TableContents"/>
              <w:bidi w:val="0"/>
              <w:spacing w:before="0" w:after="283"/>
              <w:jc w:val="center"/>
              <w:rPr>
                <w:b/>
              </w:rPr>
            </w:pPr>
            <w:r>
              <w:rPr>
                <w:b/>
              </w:rPr>
              <w:t>84097</w:t>
            </w:r>
          </w:p>
        </w:tc>
      </w:tr>
      <w:tr>
        <w:trPr/>
        <w:tc>
          <w:tcPr>
            <w:tcW w:w="3755" w:type="dxa"/>
            <w:tcBorders/>
            <w:tcMar>
              <w:bottom w:w="0" w:type="dxa"/>
            </w:tcMar>
            <w:vAlign w:val="center"/>
          </w:tcPr>
          <w:p>
            <w:pPr>
              <w:pStyle w:val="TableContents"/>
              <w:bidi w:val="0"/>
              <w:spacing w:before="0" w:after="283"/>
              <w:jc w:val="center"/>
              <w:rPr/>
            </w:pPr>
            <w:r>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1085" w:type="dxa"/>
            <w:tcBorders/>
            <w:tcMar>
              <w:bottom w:w="0" w:type="dxa"/>
            </w:tcMar>
            <w:vAlign w:val="center"/>
          </w:tcPr>
          <w:p>
            <w:pPr>
              <w:pStyle w:val="TableContents"/>
              <w:bidi w:val="0"/>
              <w:spacing w:before="0" w:after="283"/>
              <w:jc w:val="center"/>
              <w:rPr/>
            </w:pPr>
            <w:r>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(877) 299-4943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45700 Northport Loop East, Fremont CA 94538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obligations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830" w:type="dxa"/>
        <w:jc w:val="left"/>
        <w:tblInd w:w="0" w:type="dxa"/>
        <w:tblLayout w:type="fixed"/>
        <w:tblCellMar>
          <w:top w:w="0" w:type="dxa"/>
          <w:left w:w="0" w:type="dxa"/>
          <w:bottom w:w="0" w:type="dxa"/>
          <w:right w:w="0" w:type="dxa"/>
        </w:tblCellMar>
      </w:tblPr>
      <w:tblGrid>
        <w:gridCol w:w="245"/>
        <w:gridCol w:w="8585"/>
      </w:tblGrid>
      <w:tr>
        <w:trPr/>
        <w:tc>
          <w:tcPr>
            <w:tcW w:w="245" w:type="dxa"/>
            <w:tcBorders/>
            <w:vAlign w:val="center"/>
          </w:tcPr>
          <w:p>
            <w:pPr>
              <w:pStyle w:val="TableContents"/>
              <w:bidi w:val="0"/>
              <w:spacing w:before="0" w:after="283"/>
              <w:jc w:val="left"/>
              <w:rPr/>
            </w:pPr>
            <w:r>
              <w:rPr/>
              <w:t>☐</w:t>
            </w:r>
          </w:p>
        </w:tc>
        <w:tc>
          <w:tcPr>
            <w:tcW w:w="8585" w:type="dxa"/>
            <w:tcBorders/>
            <w:vAlign w:val="center"/>
          </w:tcPr>
          <w:p>
            <w:pPr>
              <w:pStyle w:val="TableContents"/>
              <w:bidi w:val="0"/>
              <w:spacing w:before="0" w:after="283"/>
              <w:jc w:val="both"/>
              <w:rPr/>
            </w:pPr>
            <w:r>
              <w:rPr/>
              <w:t> </w:t>
            </w: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60" w:type="dxa"/>
        <w:jc w:val="left"/>
        <w:tblInd w:w="0" w:type="dxa"/>
        <w:tblLayout w:type="fixed"/>
        <w:tblCellMar>
          <w:top w:w="0" w:type="dxa"/>
          <w:left w:w="0" w:type="dxa"/>
          <w:bottom w:w="0" w:type="dxa"/>
          <w:right w:w="0" w:type="dxa"/>
        </w:tblCellMar>
      </w:tblPr>
      <w:tblGrid>
        <w:gridCol w:w="245"/>
        <w:gridCol w:w="8615"/>
      </w:tblGrid>
      <w:tr>
        <w:trPr/>
        <w:tc>
          <w:tcPr>
            <w:tcW w:w="245" w:type="dxa"/>
            <w:tcBorders/>
            <w:vAlign w:val="center"/>
          </w:tcPr>
          <w:p>
            <w:pPr>
              <w:pStyle w:val="TableContents"/>
              <w:bidi w:val="0"/>
              <w:spacing w:before="0" w:after="283"/>
              <w:jc w:val="left"/>
              <w:rPr/>
            </w:pPr>
            <w:r>
              <w:rPr/>
              <w:t>☐</w:t>
            </w:r>
          </w:p>
        </w:tc>
        <w:tc>
          <w:tcPr>
            <w:tcW w:w="8615" w:type="dxa"/>
            <w:tcBorders/>
            <w:vAlign w:val="center"/>
          </w:tcPr>
          <w:p>
            <w:pPr>
              <w:pStyle w:val="TableContents"/>
              <w:bidi w:val="0"/>
              <w:spacing w:before="0" w:after="283"/>
              <w:jc w:val="both"/>
              <w:rPr/>
            </w:pPr>
            <w:r>
              <w:rPr/>
              <w:t> </w:t>
            </w: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 </w:t>
            </w: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 </w:t>
            </w: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029"/>
        <w:gridCol w:w="60"/>
        <w:gridCol w:w="1412"/>
        <w:gridCol w:w="60"/>
        <w:gridCol w:w="2644"/>
      </w:tblGrid>
      <w:tr>
        <w:trPr/>
        <w:tc>
          <w:tcPr>
            <w:tcW w:w="6029" w:type="dxa"/>
            <w:tcBorders>
              <w:bottom w:val="single" w:sz="12"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412" w:type="dxa"/>
            <w:tcBorders>
              <w:bottom w:val="single" w:sz="12" w:space="0" w:color="000000"/>
            </w:tcBorders>
            <w:vAlign w:val="center"/>
          </w:tcPr>
          <w:p>
            <w:pPr>
              <w:pStyle w:val="TableContents"/>
              <w:bidi w:val="0"/>
              <w:spacing w:before="0" w:after="283"/>
              <w:jc w:val="center"/>
              <w:rPr>
                <w:b/>
              </w:rPr>
            </w:pPr>
            <w:r>
              <w:rPr>
                <w:b/>
              </w:rPr>
              <w:t>Trading Symbol(s)</w:t>
            </w:r>
          </w:p>
        </w:tc>
        <w:tc>
          <w:tcPr>
            <w:tcW w:w="60" w:type="dxa"/>
            <w:tcBorders/>
            <w:tcMar>
              <w:bottom w:w="0" w:type="dxa"/>
            </w:tcMar>
            <w:vAlign w:val="center"/>
          </w:tcPr>
          <w:p>
            <w:pPr>
              <w:pStyle w:val="TableContents"/>
              <w:bidi w:val="0"/>
              <w:spacing w:before="0" w:after="283"/>
              <w:jc w:val="center"/>
              <w:rPr/>
            </w:pPr>
            <w:r>
              <w:rPr/>
              <w:t> </w:t>
            </w:r>
          </w:p>
        </w:tc>
        <w:tc>
          <w:tcPr>
            <w:tcW w:w="2644" w:type="dxa"/>
            <w:tcBorders>
              <w:bottom w:val="single" w:sz="12" w:space="0" w:color="000000"/>
            </w:tcBorders>
            <w:vAlign w:val="center"/>
          </w:tcPr>
          <w:p>
            <w:pPr>
              <w:pStyle w:val="TableContents"/>
              <w:bidi w:val="0"/>
              <w:spacing w:before="0" w:after="283"/>
              <w:jc w:val="center"/>
              <w:rPr>
                <w:b/>
              </w:rPr>
            </w:pPr>
            <w:r>
              <w:rPr>
                <w:b/>
              </w:rPr>
              <w:t>Name of each exchange on which registered</w:t>
            </w:r>
          </w:p>
        </w:tc>
      </w:tr>
      <w:tr>
        <w:trPr/>
        <w:tc>
          <w:tcPr>
            <w:tcW w:w="6029" w:type="dxa"/>
            <w:tcBorders/>
            <w:shd w:fill="CCEEFF" w:val="clear"/>
            <w:tcMar>
              <w:bottom w:w="0" w:type="dxa"/>
            </w:tcMar>
            <w:vAlign w:val="center"/>
          </w:tcPr>
          <w:p>
            <w:pPr>
              <w:pStyle w:val="TableContents"/>
              <w:bidi w:val="0"/>
              <w:spacing w:before="0" w:after="283"/>
              <w:jc w:val="center"/>
              <w:rPr>
                <w:b/>
              </w:rPr>
            </w:pPr>
            <w:r>
              <w:rPr>
                <w:b/>
              </w:rPr>
              <w:t>Common Stock, par value $0.0001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12" w:type="dxa"/>
            <w:tcBorders/>
            <w:shd w:fill="CCEEFF" w:val="clear"/>
            <w:tcMar>
              <w:bottom w:w="0" w:type="dxa"/>
            </w:tcMar>
            <w:vAlign w:val="center"/>
          </w:tcPr>
          <w:p>
            <w:pPr>
              <w:pStyle w:val="TableContents"/>
              <w:bidi w:val="0"/>
              <w:spacing w:before="0" w:after="283"/>
              <w:jc w:val="center"/>
              <w:rPr>
                <w:b/>
              </w:rPr>
            </w:pPr>
            <w:r>
              <w:rPr>
                <w:b/>
              </w:rPr>
              <w:t>SPWR</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644" w:type="dxa"/>
            <w:tcBorders/>
            <w:shd w:fill="CCEEFF" w:val="clear"/>
            <w:tcMar>
              <w:bottom w:w="0" w:type="dxa"/>
            </w:tcMar>
            <w:vAlign w:val="center"/>
          </w:tcPr>
          <w:p>
            <w:pPr>
              <w:pStyle w:val="TableContents"/>
              <w:bidi w:val="0"/>
              <w:spacing w:before="0" w:after="283"/>
              <w:jc w:val="center"/>
              <w:rPr>
                <w:b/>
              </w:rPr>
            </w:pPr>
            <w:r>
              <w:rPr>
                <w:b/>
              </w:rPr>
              <w:t>The Nasdaq Global Market</w:t>
            </w:r>
          </w:p>
        </w:tc>
      </w:tr>
      <w:tr>
        <w:trPr/>
        <w:tc>
          <w:tcPr>
            <w:tcW w:w="6029"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412"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644" w:type="dxa"/>
            <w:tcBorders/>
            <w:shd w:fill="FFFFFF" w:val="clear"/>
            <w:tcMar>
              <w:bottom w:w="0" w:type="dxa"/>
            </w:tcMar>
            <w:vAlign w:val="center"/>
          </w:tcPr>
          <w:p>
            <w:pPr>
              <w:pStyle w:val="TableContents"/>
              <w:bidi w:val="0"/>
              <w:spacing w:before="0" w:after="283"/>
              <w:jc w:val="center"/>
              <w:rPr/>
            </w:pPr>
            <w:r>
              <w:rPr/>
              <w:t> </w:t>
            </w:r>
          </w:p>
        </w:tc>
      </w:tr>
      <w:tr>
        <w:trPr/>
        <w:tc>
          <w:tcPr>
            <w:tcW w:w="6029" w:type="dxa"/>
            <w:tcBorders/>
            <w:shd w:fill="CCEEFF" w:val="clear"/>
            <w:tcMar>
              <w:bottom w:w="0" w:type="dxa"/>
            </w:tcMar>
            <w:vAlign w:val="center"/>
          </w:tcPr>
          <w:p>
            <w:pPr>
              <w:pStyle w:val="TableContents"/>
              <w:bidi w:val="0"/>
              <w:spacing w:before="0" w:after="283"/>
              <w:jc w:val="center"/>
              <w:rPr>
                <w:b/>
              </w:rPr>
            </w:pPr>
            <w:r>
              <w:rPr>
                <w:b/>
              </w:rPr>
              <w:t>Warrants, each whole warrant exercisable for one share of Common Stock at an exercise price of $11.50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12" w:type="dxa"/>
            <w:tcBorders/>
            <w:shd w:fill="CCEEFF" w:val="clear"/>
            <w:tcMar>
              <w:bottom w:w="0" w:type="dxa"/>
            </w:tcMar>
            <w:vAlign w:val="center"/>
          </w:tcPr>
          <w:p>
            <w:pPr>
              <w:pStyle w:val="TableContents"/>
              <w:bidi w:val="0"/>
              <w:spacing w:before="0" w:after="283"/>
              <w:jc w:val="center"/>
              <w:rPr>
                <w:b/>
              </w:rPr>
            </w:pPr>
            <w:r>
              <w:rPr>
                <w:b/>
              </w:rPr>
              <w:t>SPWRW</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644" w:type="dxa"/>
            <w:tcBorders/>
            <w:shd w:fill="CCEEFF" w:val="clear"/>
            <w:tcMar>
              <w:bottom w:w="0" w:type="dxa"/>
            </w:tcMar>
            <w:vAlign w:val="center"/>
          </w:tcPr>
          <w:p>
            <w:pPr>
              <w:pStyle w:val="TableContents"/>
              <w:bidi w:val="0"/>
              <w:spacing w:before="0" w:after="283"/>
              <w:jc w:val="center"/>
              <w:rPr>
                <w:b/>
              </w:rPr>
            </w:pPr>
            <w:r>
              <w:rPr>
                <w:b/>
              </w:rPr>
              <w:t>The 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1.01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4, 2026, SunPower Inc. (the “Company”) entered into a simple agreement for future equity (the “SAFE”) with an institutional investor in connection with its investment of $3,500,000 (the “Purchase Amount”) in the Company. The SAFE is convertible into equity securities of the Company in an amount equal to the Purchase Amount divided by the applicable price per share, unit or other increment of the securities issued by the Company in its next equity financing transaction, and without any discount.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3.02.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Unregistered Sales of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disclosure set forth above in Item 1.01 of this Current Report on Form 8-K relating to the issuance of the SAFE is incorporated by reference herein in its entirety. The offer and sale of the SAFE was made in reliance upon the exemption from registration contained in Section 4(a)(2) of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SIGNATURES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980" w:type="dxa"/>
        <w:jc w:val="left"/>
        <w:tblInd w:w="0" w:type="dxa"/>
        <w:tblLayout w:type="fixed"/>
        <w:tblCellMar>
          <w:top w:w="0" w:type="dxa"/>
          <w:left w:w="0" w:type="dxa"/>
          <w:bottom w:w="0" w:type="dxa"/>
          <w:right w:w="0" w:type="dxa"/>
        </w:tblCellMar>
      </w:tblPr>
      <w:tblGrid>
        <w:gridCol w:w="2315"/>
        <w:gridCol w:w="365"/>
        <w:gridCol w:w="2300"/>
      </w:tblGrid>
      <w:tr>
        <w:trPr/>
        <w:tc>
          <w:tcPr>
            <w:tcW w:w="2315" w:type="dxa"/>
            <w:tcBorders/>
            <w:vAlign w:val="center"/>
          </w:tcPr>
          <w:p>
            <w:pPr>
              <w:pStyle w:val="TableContents"/>
              <w:bidi w:val="0"/>
              <w:spacing w:before="0" w:after="283"/>
              <w:ind w:left="0" w:right="0" w:hanging="200"/>
              <w:jc w:val="left"/>
              <w:rPr/>
            </w:pPr>
            <w:r>
              <w:rPr/>
              <w:t> </w:t>
            </w:r>
          </w:p>
        </w:tc>
        <w:tc>
          <w:tcPr>
            <w:tcW w:w="2665" w:type="dxa"/>
            <w:gridSpan w:val="2"/>
            <w:tcBorders/>
            <w:vAlign w:val="center"/>
          </w:tcPr>
          <w:p>
            <w:pPr>
              <w:pStyle w:val="TableContents"/>
              <w:bidi w:val="0"/>
              <w:spacing w:before="0" w:after="283"/>
              <w:ind w:left="0" w:right="0" w:hanging="200"/>
              <w:jc w:val="left"/>
              <w:rPr>
                <w:b/>
                <w:smallCaps/>
              </w:rPr>
            </w:pPr>
            <w:r>
              <w:rPr>
                <w:b/>
                <w:smallCaps/>
              </w:rPr>
              <w:t>SunPower Inc.</w:t>
            </w:r>
          </w:p>
        </w:tc>
      </w:tr>
      <w:tr>
        <w:trPr/>
        <w:tc>
          <w:tcPr>
            <w:tcW w:w="2315" w:type="dxa"/>
            <w:tcBorders/>
            <w:vAlign w:val="center"/>
          </w:tcPr>
          <w:p>
            <w:pPr>
              <w:pStyle w:val="TableContents"/>
              <w:bidi w:val="0"/>
              <w:spacing w:before="0" w:after="283"/>
              <w:jc w:val="left"/>
              <w:rPr/>
            </w:pPr>
            <w:r>
              <w:rPr/>
              <w:t>Dated: August 10, 2026</w:t>
            </w:r>
          </w:p>
        </w:tc>
        <w:tc>
          <w:tcPr>
            <w:tcW w:w="2665" w:type="dxa"/>
            <w:gridSpan w:val="2"/>
            <w:tcBorders/>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ind w:left="0" w:right="0" w:hanging="200"/>
              <w:jc w:val="left"/>
              <w:rPr/>
            </w:pPr>
            <w:r>
              <w:rPr/>
              <w:t> </w:t>
            </w:r>
          </w:p>
        </w:tc>
        <w:tc>
          <w:tcPr>
            <w:tcW w:w="365" w:type="dxa"/>
            <w:tcBorders/>
            <w:vAlign w:val="center"/>
          </w:tcPr>
          <w:p>
            <w:pPr>
              <w:pStyle w:val="TableContents"/>
              <w:bidi w:val="0"/>
              <w:spacing w:before="0" w:after="283"/>
              <w:jc w:val="left"/>
              <w:rPr/>
            </w:pPr>
            <w:r>
              <w:rPr/>
              <w:t>By:</w:t>
            </w:r>
          </w:p>
        </w:tc>
        <w:tc>
          <w:tcPr>
            <w:tcW w:w="2300" w:type="dxa"/>
            <w:tcBorders>
              <w:bottom w:val="single" w:sz="12" w:space="0" w:color="000000"/>
            </w:tcBorders>
            <w:tcMar>
              <w:bottom w:w="28" w:type="dxa"/>
            </w:tcMar>
            <w:vAlign w:val="center"/>
          </w:tcPr>
          <w:p>
            <w:pPr>
              <w:pStyle w:val="TableContents"/>
              <w:bidi w:val="0"/>
              <w:spacing w:before="0" w:after="283"/>
              <w:jc w:val="left"/>
              <w:rPr/>
            </w:pPr>
            <w:r>
              <w:rPr/>
              <w:t>/s/ Thurman J. Rodgers</w:t>
            </w:r>
          </w:p>
        </w:tc>
      </w:tr>
      <w:tr>
        <w:trPr/>
        <w:tc>
          <w:tcPr>
            <w:tcW w:w="231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ind w:left="0" w:right="0" w:hanging="200"/>
              <w:jc w:val="left"/>
              <w:rPr/>
            </w:pPr>
            <w:r>
              <w:rPr/>
              <w:t> </w:t>
            </w:r>
          </w:p>
        </w:tc>
        <w:tc>
          <w:tcPr>
            <w:tcW w:w="2300" w:type="dxa"/>
            <w:tcBorders/>
            <w:vAlign w:val="center"/>
          </w:tcPr>
          <w:p>
            <w:pPr>
              <w:pStyle w:val="TableContents"/>
              <w:bidi w:val="0"/>
              <w:spacing w:before="0" w:after="283"/>
              <w:jc w:val="left"/>
              <w:rPr/>
            </w:pPr>
            <w:r>
              <w:rPr/>
              <w:t>Thurman J. Rodgers</w:t>
            </w:r>
          </w:p>
        </w:tc>
      </w:tr>
      <w:tr>
        <w:trPr/>
        <w:tc>
          <w:tcPr>
            <w:tcW w:w="231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ind w:left="0" w:right="0" w:hanging="200"/>
              <w:jc w:val="left"/>
              <w:rPr/>
            </w:pPr>
            <w:r>
              <w:rPr/>
              <w:t> </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1499</Words>
  <Characters>8222</Characters>
  <CharactersWithSpaces>9728</CharactersWithSpaces>
  <Paragraphs>157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