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a030582406-424b3_sunpower.htm"/>
      <w:bookmarkStart w:id="1" w:name="ksea030582406424b3_sunpower"/>
      <w:bookmarkEnd w:id="0"/>
      <w:bookmarkEnd w:id="1"/>
      <w:r>
        <w:rPr/>
        <w:t> </w:t>
      </w:r>
    </w:p>
    <w:p>
      <w:pPr>
        <w:pStyle w:val="TextBody"/>
        <w:bidi w:val="0"/>
        <w:spacing w:before="0" w:after="0"/>
        <w:ind w:left="612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424(b)(3)</w:t>
      </w:r>
    </w:p>
    <w:p>
      <w:pPr>
        <w:pStyle w:val="TextBody"/>
        <w:bidi w:val="0"/>
        <w:spacing w:before="0" w:after="0"/>
        <w:ind w:left="612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333-297138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NO. 5</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Prospectus dated July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8,472,371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380,000 Shares of Common Stock Issuable Upon Exercise of a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4,424,779 Shares of Common Stock Issuable Upon Conversion of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supplements the prospectus dated July 10, 2026 (as amended or supplemented,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which forms a part of our registration statement on Form S-1 (No. 333-297138). This prospectus supplement is being filed to update and supplement the information in the prospectus with the information contained in our Current Report on Form 8-K filed with the SEC on September 17, 2026 (the “</w:t>
      </w: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and such information, the “</w:t>
      </w:r>
      <w:r>
        <w:rPr>
          <w:rFonts w:ascii="Times New Roman;Times;Serif" w:hAnsi="Times New Roman;Times;Serif"/>
          <w:b/>
          <w:i w:val="false"/>
          <w:caps w:val="false"/>
          <w:smallCaps w:val="false"/>
          <w:sz w:val="20"/>
        </w:rPr>
        <w:t>Supplemental Information</w:t>
      </w:r>
      <w:r>
        <w:rPr>
          <w:rFonts w:ascii="Times New Roman;Times;Serif" w:hAnsi="Times New Roman;Times;Serif"/>
          <w:b w:val="false"/>
          <w:i w:val="false"/>
          <w:caps w:val="false"/>
          <w:smallCaps w:val="false"/>
          <w:sz w:val="20"/>
        </w:rPr>
        <w:t>”). Accordingly, we have attached the Current Report to this prospectus supplement with respect to the Supplemental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and this prospectus supplement relate to the offer and sale from time to time by the selling securityholders named in the prospectus or their permitted transferees (the “</w:t>
      </w:r>
      <w:r>
        <w:rPr>
          <w:rFonts w:ascii="Times New Roman;Times;Serif" w:hAnsi="Times New Roman;Times;Serif"/>
          <w:b/>
          <w:i w:val="false"/>
          <w:caps w:val="false"/>
          <w:smallCaps w:val="false"/>
          <w:sz w:val="20"/>
        </w:rPr>
        <w:t>Selling Securityholders</w:t>
      </w:r>
      <w:r>
        <w:rPr>
          <w:rFonts w:ascii="Times New Roman;Times;Serif" w:hAnsi="Times New Roman;Times;Serif"/>
          <w:b w:val="false"/>
          <w:i w:val="false"/>
          <w:caps w:val="false"/>
          <w:smallCaps w:val="false"/>
          <w:sz w:val="20"/>
        </w:rPr>
        <w:t>”) of up to 13,277,150 shares of our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consisting of: (i) 6,666,666 shares of common stock (the “</w:t>
      </w:r>
      <w:r>
        <w:rPr>
          <w:rFonts w:ascii="Times New Roman;Times;Serif" w:hAnsi="Times New Roman;Times;Serif"/>
          <w:b/>
          <w:i w:val="false"/>
          <w:caps w:val="false"/>
          <w:smallCaps w:val="false"/>
          <w:sz w:val="20"/>
        </w:rPr>
        <w:t>Sunder Shares</w:t>
      </w:r>
      <w:r>
        <w:rPr>
          <w:rFonts w:ascii="Times New Roman;Times;Serif" w:hAnsi="Times New Roman;Times;Serif"/>
          <w:b w:val="false"/>
          <w:i w:val="false"/>
          <w:caps w:val="false"/>
          <w:smallCaps w:val="false"/>
          <w:sz w:val="20"/>
        </w:rPr>
        <w:t>”) previously issued by us pursuant to the Amendment and Agreement, dated as of March 5, 2026 (the “</w:t>
      </w:r>
      <w:r>
        <w:rPr>
          <w:rFonts w:ascii="Times New Roman;Times;Serif" w:hAnsi="Times New Roman;Times;Serif"/>
          <w:b/>
          <w:i w:val="false"/>
          <w:caps w:val="false"/>
          <w:smallCaps w:val="false"/>
          <w:sz w:val="20"/>
        </w:rPr>
        <w:t>Sunder Amendment</w:t>
      </w:r>
      <w:r>
        <w:rPr>
          <w:rFonts w:ascii="Times New Roman;Times;Serif" w:hAnsi="Times New Roman;Times;Serif"/>
          <w:b w:val="false"/>
          <w:i w:val="false"/>
          <w:caps w:val="false"/>
          <w:smallCaps w:val="false"/>
          <w:sz w:val="20"/>
        </w:rPr>
        <w:t>”), relating to the Membership Interest Purchase Agreement (the “</w:t>
      </w:r>
      <w:r>
        <w:rPr>
          <w:rFonts w:ascii="Times New Roman;Times;Serif" w:hAnsi="Times New Roman;Times;Serif"/>
          <w:b/>
          <w:i w:val="false"/>
          <w:caps w:val="false"/>
          <w:smallCaps w:val="false"/>
          <w:sz w:val="20"/>
        </w:rPr>
        <w:t>Sunder Purchase Agreement</w:t>
      </w:r>
      <w:r>
        <w:rPr>
          <w:rFonts w:ascii="Times New Roman;Times;Serif" w:hAnsi="Times New Roman;Times;Serif"/>
          <w:b w:val="false"/>
          <w:i w:val="false"/>
          <w:caps w:val="false"/>
          <w:smallCaps w:val="false"/>
          <w:sz w:val="20"/>
        </w:rPr>
        <w:t>”), dated September 21, 2025, by and among the Company, Complete Solar, Inc., Sunder Energy LLC (“</w:t>
      </w:r>
      <w:r>
        <w:rPr>
          <w:rFonts w:ascii="Times New Roman;Times;Serif" w:hAnsi="Times New Roman;Times;Serif"/>
          <w:b/>
          <w:i w:val="false"/>
          <w:caps w:val="false"/>
          <w:smallCaps w:val="false"/>
          <w:sz w:val="20"/>
        </w:rPr>
        <w:t>Sunder</w:t>
      </w:r>
      <w:r>
        <w:rPr>
          <w:rFonts w:ascii="Times New Roman;Times;Serif" w:hAnsi="Times New Roman;Times;Serif"/>
          <w:b w:val="false"/>
          <w:i w:val="false"/>
          <w:caps w:val="false"/>
          <w:smallCaps w:val="false"/>
          <w:sz w:val="20"/>
        </w:rPr>
        <w:t>”) and Chicken Parm Pizza LLC (“</w:t>
      </w:r>
      <w:r>
        <w:rPr>
          <w:rFonts w:ascii="Times New Roman;Times;Serif" w:hAnsi="Times New Roman;Times;Serif"/>
          <w:b/>
          <w:i w:val="false"/>
          <w:caps w:val="false"/>
          <w:smallCaps w:val="false"/>
          <w:sz w:val="20"/>
        </w:rPr>
        <w:t>CPP</w:t>
      </w:r>
      <w:r>
        <w:rPr>
          <w:rFonts w:ascii="Times New Roman;Times;Serif" w:hAnsi="Times New Roman;Times;Serif"/>
          <w:b w:val="false"/>
          <w:i w:val="false"/>
          <w:caps w:val="false"/>
          <w:smallCaps w:val="false"/>
          <w:sz w:val="20"/>
        </w:rPr>
        <w:t>”), in connection with our acquisition of Sunder; (ii) up to 1,805,705 shares of common stock (the “</w:t>
      </w:r>
      <w:r>
        <w:rPr>
          <w:rFonts w:ascii="Times New Roman;Times;Serif" w:hAnsi="Times New Roman;Times;Serif"/>
          <w:b/>
          <w:i w:val="false"/>
          <w:caps w:val="false"/>
          <w:smallCaps w:val="false"/>
          <w:sz w:val="20"/>
        </w:rPr>
        <w:t>Cobalt Shares</w:t>
      </w:r>
      <w:r>
        <w:rPr>
          <w:rFonts w:ascii="Times New Roman;Times;Serif" w:hAnsi="Times New Roman;Times;Serif"/>
          <w:b w:val="false"/>
          <w:i w:val="false"/>
          <w:caps w:val="false"/>
          <w:smallCaps w:val="false"/>
          <w:sz w:val="20"/>
        </w:rPr>
        <w:t>”) previously issued pursuant to the Share Purchase Agreement, dated January 30, 2026, by and among the Company, Cobalt Power Systems, Inc. (“</w:t>
      </w:r>
      <w:r>
        <w:rPr>
          <w:rFonts w:ascii="Times New Roman;Times;Serif" w:hAnsi="Times New Roman;Times;Serif"/>
          <w:b/>
          <w:i w:val="false"/>
          <w:caps w:val="false"/>
          <w:smallCaps w:val="false"/>
          <w:sz w:val="20"/>
        </w:rPr>
        <w:t>Cobalt</w:t>
      </w:r>
      <w:r>
        <w:rPr>
          <w:rFonts w:ascii="Times New Roman;Times;Serif" w:hAnsi="Times New Roman;Times;Serif"/>
          <w:b w:val="false"/>
          <w:i w:val="false"/>
          <w:caps w:val="false"/>
          <w:smallCaps w:val="false"/>
          <w:sz w:val="20"/>
        </w:rPr>
        <w:t>”) and the selling shareholders (the “</w:t>
      </w:r>
      <w:r>
        <w:rPr>
          <w:rFonts w:ascii="Times New Roman;Times;Serif" w:hAnsi="Times New Roman;Times;Serif"/>
          <w:b/>
          <w:i w:val="false"/>
          <w:caps w:val="false"/>
          <w:smallCaps w:val="false"/>
          <w:sz w:val="20"/>
        </w:rPr>
        <w:t>Selling Shareholders</w:t>
      </w:r>
      <w:r>
        <w:rPr>
          <w:rFonts w:ascii="Times New Roman;Times;Serif" w:hAnsi="Times New Roman;Times;Serif"/>
          <w:b w:val="false"/>
          <w:i w:val="false"/>
          <w:caps w:val="false"/>
          <w:smallCaps w:val="false"/>
          <w:sz w:val="20"/>
        </w:rPr>
        <w:t>”) party thereto (the “</w:t>
      </w:r>
      <w:r>
        <w:rPr>
          <w:rFonts w:ascii="Times New Roman;Times;Serif" w:hAnsi="Times New Roman;Times;Serif"/>
          <w:b/>
          <w:i w:val="false"/>
          <w:caps w:val="false"/>
          <w:smallCaps w:val="false"/>
          <w:sz w:val="20"/>
        </w:rPr>
        <w:t>Cobalt Purchase Agreement</w:t>
      </w:r>
      <w:r>
        <w:rPr>
          <w:rFonts w:ascii="Times New Roman;Times;Serif" w:hAnsi="Times New Roman;Times;Serif"/>
          <w:b w:val="false"/>
          <w:i w:val="false"/>
          <w:caps w:val="false"/>
          <w:smallCaps w:val="false"/>
          <w:sz w:val="20"/>
        </w:rPr>
        <w:t>” and, together with the Sunder Purchase Agreement, the “</w:t>
      </w:r>
      <w:r>
        <w:rPr>
          <w:rFonts w:ascii="Times New Roman;Times;Serif" w:hAnsi="Times New Roman;Times;Serif"/>
          <w:b/>
          <w:i w:val="false"/>
          <w:caps w:val="false"/>
          <w:smallCaps w:val="false"/>
          <w:sz w:val="20"/>
        </w:rPr>
        <w:t>Acquisition Agreements</w:t>
      </w:r>
      <w:r>
        <w:rPr>
          <w:rFonts w:ascii="Times New Roman;Times;Serif" w:hAnsi="Times New Roman;Times;Serif"/>
          <w:b w:val="false"/>
          <w:i w:val="false"/>
          <w:caps w:val="false"/>
          <w:smallCaps w:val="false"/>
          <w:sz w:val="20"/>
        </w:rPr>
        <w:t>”) in connection with our acquisition of Cobalt; (iii) up to 380,000 shares of common stock (the “</w:t>
      </w:r>
      <w:r>
        <w:rPr>
          <w:rFonts w:ascii="Times New Roman;Times;Serif" w:hAnsi="Times New Roman;Times;Serif"/>
          <w:b/>
          <w:i w:val="false"/>
          <w:caps w:val="false"/>
          <w:smallCaps w:val="false"/>
          <w:sz w:val="20"/>
        </w:rPr>
        <w:t>Ayna Shares</w:t>
      </w:r>
      <w:r>
        <w:rPr>
          <w:rFonts w:ascii="Times New Roman;Times;Serif" w:hAnsi="Times New Roman;Times;Serif"/>
          <w:b w:val="false"/>
          <w:i w:val="false"/>
          <w:caps w:val="false"/>
          <w:smallCaps w:val="false"/>
          <w:sz w:val="20"/>
        </w:rPr>
        <w:t>”) that are issuable upon the exercise of the warrant to purchase common stock (the “</w:t>
      </w:r>
      <w:r>
        <w:rPr>
          <w:rFonts w:ascii="Times New Roman;Times;Serif" w:hAnsi="Times New Roman;Times;Serif"/>
          <w:b/>
          <w:i w:val="false"/>
          <w:caps w:val="false"/>
          <w:smallCaps w:val="false"/>
          <w:sz w:val="20"/>
        </w:rPr>
        <w:t>Ayna 2026 Warrant</w:t>
      </w:r>
      <w:r>
        <w:rPr>
          <w:rFonts w:ascii="Times New Roman;Times;Serif" w:hAnsi="Times New Roman;Times;Serif"/>
          <w:b w:val="false"/>
          <w:i w:val="false"/>
          <w:caps w:val="false"/>
          <w:smallCaps w:val="false"/>
          <w:sz w:val="20"/>
        </w:rPr>
        <w:t>”) originally issued in a private placement to Ayna.AI LLC (“</w:t>
      </w:r>
      <w:r>
        <w:rPr>
          <w:rFonts w:ascii="Times New Roman;Times;Serif" w:hAnsi="Times New Roman;Times;Serif"/>
          <w:b/>
          <w:i w:val="false"/>
          <w:caps w:val="false"/>
          <w:smallCaps w:val="false"/>
          <w:sz w:val="20"/>
        </w:rPr>
        <w:t>Ayna</w:t>
      </w:r>
      <w:r>
        <w:rPr>
          <w:rFonts w:ascii="Times New Roman;Times;Serif" w:hAnsi="Times New Roman;Times;Serif"/>
          <w:b w:val="false"/>
          <w:i w:val="false"/>
          <w:caps w:val="false"/>
          <w:smallCaps w:val="false"/>
          <w:sz w:val="20"/>
        </w:rPr>
        <w:t>”); and (iv) up to 4,424,779 shares of common stock (the “</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and, collectively with the Sunder Shares, the Cobalt Shares and the Ayna Shares, the “</w:t>
      </w:r>
      <w:r>
        <w:rPr>
          <w:rFonts w:ascii="Times New Roman;Times;Serif" w:hAnsi="Times New Roman;Times;Serif"/>
          <w:b/>
          <w:i w:val="false"/>
          <w:caps w:val="false"/>
          <w:smallCaps w:val="false"/>
          <w:sz w:val="20"/>
        </w:rPr>
        <w:t>Offered Securities</w:t>
      </w:r>
      <w:r>
        <w:rPr>
          <w:rFonts w:ascii="Times New Roman;Times;Serif" w:hAnsi="Times New Roman;Times;Serif"/>
          <w:b w:val="false"/>
          <w:i w:val="false"/>
          <w:caps w:val="false"/>
          <w:smallCaps w:val="false"/>
          <w:sz w:val="20"/>
        </w:rPr>
        <w:t>”) issuable upon conversion of a 10% convertible senior secured note due 2029 in the original principal amount of $5.0 million (the “</w:t>
      </w:r>
      <w:r>
        <w:rPr>
          <w:rFonts w:ascii="Times New Roman;Times;Serif" w:hAnsi="Times New Roman;Times;Serif"/>
          <w:b/>
          <w:i w:val="false"/>
          <w:caps w:val="false"/>
          <w:smallCaps w:val="false"/>
          <w:sz w:val="20"/>
        </w:rPr>
        <w:t>Secured Note</w:t>
      </w:r>
      <w:r>
        <w:rPr>
          <w:rFonts w:ascii="Times New Roman;Times;Serif" w:hAnsi="Times New Roman;Times;Serif"/>
          <w:b w:val="false"/>
          <w:i w:val="false"/>
          <w:caps w:val="false"/>
          <w:smallCaps w:val="false"/>
          <w:sz w:val="20"/>
        </w:rPr>
        <w:t>”). The Sunder Shares were issued by us to CPP pursuant to the Sunder Amendment on April 8, 2026. The Cobalt Shares were issued by us to the Selling Shareholders pursuant to the Cobalt Purchase Agreement on February 2, 2026. The Ayna 2026 Warrant was issued by us effective January 1, 2026. The 10% Note was issued by us on May 20, 2026 pursuant to the Note Purchase Agreement, dated May 19, 2026, between the Company and the Selling Securityholder party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Prospectus Summary</w:t>
      </w:r>
      <w:r>
        <w:rPr>
          <w:rFonts w:ascii="Times New Roman;Times;Serif" w:hAnsi="Times New Roman;Times;Serif"/>
          <w:b w:val="false"/>
          <w:i w:val="false"/>
          <w:caps w:val="false"/>
          <w:smallCaps w:val="false"/>
          <w:sz w:val="20"/>
        </w:rPr>
        <w:t>” for a description of the Acquisition Agreements, the Ambia Acquisition and the Sunder Acquisition and the 7% Notes and “</w:t>
      </w:r>
      <w:r>
        <w:rPr>
          <w:rFonts w:ascii="Times New Roman;Times;Serif" w:hAnsi="Times New Roman;Times;Serif"/>
          <w:b w:val="false"/>
          <w:i/>
          <w:caps w:val="false"/>
          <w:smallCaps w:val="false"/>
          <w:sz w:val="20"/>
        </w:rPr>
        <w:t>Selling Securityholders</w:t>
      </w:r>
      <w:r>
        <w:rPr>
          <w:rFonts w:ascii="Times New Roman;Times;Serif" w:hAnsi="Times New Roman;Times;Serif"/>
          <w:b w:val="false"/>
          <w:i w:val="false"/>
          <w:caps w:val="false"/>
          <w:smallCaps w:val="false"/>
          <w:sz w:val="20"/>
        </w:rPr>
        <w:t>” for additional information regarding the Selling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securities under the prospectus and this prospectus supplement and will not receive any of the proceeds from the sale of shares of common stock by the Selling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sell or otherwise dispose of the shares of common stock described in the prospectus and this prospectus supplement in a number of different ways and at varying prices.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for more information about how the Selling Securityholders may sell or otherwise dispose of the shares of common stock being registered pursuant to the prospectus and this prospectus supplement. None of the Selling Securityholders are an “underwriter” with respect to the securities registered hereunder within the meaning of Section 2(a)(11)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will pay all brokerage fees and commissions and similar expenses attributable to the sales of its common stock. We will pay the expenses (except brokerage fees and commissions and similar expenses) incurred in registering the shares of common stock offered hereby, including legal and accounting fees.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common stock are listed on the Nasdaq Global Market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under the symbol “SPWR”. On September 16, 2026, the closing price of our common stock was $0.3169.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should be read in conjunction with the prospectus, including any amendments or supplements thereto, which is to be delivered with this prospectus supplement. This prospectus supplement is qualified by reference to the prospectus, including any amendments or supplements thereto, except to the extent that the information in this prospectus supplement updates and supersedes the information contained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not complete without, and may not be delivered or utilized except in connection with, the prospectus, including any amendments or supplements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as defined under U.S. federal securities laws and, as such, have elected to comply with reduced public company reporting requirements. The prospectus and this prospectus supplement comply with the requirements that apply to an issuer that is an emerging growth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review carefully the risks and uncertainties described in the section titled “Risk Factors” beginning on page 10 of the prospectus, and under similar headings in any amendments or supplements to the prospectus and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accuracy or adequacy of the prospectus and this prospectus supplement.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dated September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1934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September 17,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990" w:type="dxa"/>
        <w:jc w:val="left"/>
        <w:tblInd w:w="0" w:type="dxa"/>
        <w:tblLayout w:type="fixed"/>
        <w:tblCellMar>
          <w:top w:w="0" w:type="dxa"/>
          <w:left w:w="0" w:type="dxa"/>
          <w:bottom w:w="28" w:type="dxa"/>
          <w:right w:w="0" w:type="dxa"/>
        </w:tblCellMar>
      </w:tblPr>
      <w:tblGrid>
        <w:gridCol w:w="2480"/>
        <w:gridCol w:w="60"/>
        <w:gridCol w:w="2615"/>
        <w:gridCol w:w="60"/>
        <w:gridCol w:w="1775"/>
      </w:tblGrid>
      <w:tr>
        <w:trPr/>
        <w:tc>
          <w:tcPr>
            <w:tcW w:w="2480" w:type="dxa"/>
            <w:tcBorders>
              <w:bottom w:val="single" w:sz="12" w:space="0" w:color="000000"/>
            </w:tcBorders>
            <w:vAlign w:val="center"/>
          </w:tcPr>
          <w:p>
            <w:pPr>
              <w:pStyle w:val="TableContents"/>
              <w:bidi w:val="0"/>
              <w:spacing w:before="0" w:after="283"/>
              <w:jc w:val="center"/>
              <w:rPr>
                <w:b/>
              </w:rPr>
            </w:pPr>
            <w:r>
              <w:rPr>
                <w:b/>
              </w:rPr>
              <w:t>Delaware</w:t>
            </w:r>
          </w:p>
        </w:tc>
        <w:tc>
          <w:tcPr>
            <w:tcW w:w="60" w:type="dxa"/>
            <w:tcBorders/>
            <w:tcMar>
              <w:bottom w:w="0" w:type="dxa"/>
            </w:tcMar>
            <w:vAlign w:val="center"/>
          </w:tcPr>
          <w:p>
            <w:pPr>
              <w:pStyle w:val="TableContents"/>
              <w:bidi w:val="0"/>
              <w:spacing w:before="0" w:after="283"/>
              <w:jc w:val="left"/>
              <w:rPr/>
            </w:pPr>
            <w:r>
              <w:rPr/>
              <w:t> </w:t>
            </w:r>
          </w:p>
        </w:tc>
        <w:tc>
          <w:tcPr>
            <w:tcW w:w="2615" w:type="dxa"/>
            <w:tcBorders>
              <w:bottom w:val="single" w:sz="12" w:space="0" w:color="000000"/>
            </w:tcBorders>
            <w:vAlign w:val="center"/>
          </w:tcPr>
          <w:p>
            <w:pPr>
              <w:pStyle w:val="TableContents"/>
              <w:bidi w:val="0"/>
              <w:spacing w:before="0" w:after="283"/>
              <w:jc w:val="center"/>
              <w:rPr>
                <w:b/>
              </w:rPr>
            </w:pPr>
            <w:r>
              <w:rPr>
                <w:b/>
              </w:rPr>
              <w:t>001-40117</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12" w:space="0" w:color="000000"/>
            </w:tcBorders>
            <w:vAlign w:val="center"/>
          </w:tcPr>
          <w:p>
            <w:pPr>
              <w:pStyle w:val="TableContents"/>
              <w:bidi w:val="0"/>
              <w:spacing w:before="0" w:after="283"/>
              <w:jc w:val="center"/>
              <w:rPr>
                <w:b/>
              </w:rPr>
            </w:pPr>
            <w:r>
              <w:rPr>
                <w:b/>
              </w:rPr>
              <w:t>93-2279786</w:t>
            </w:r>
          </w:p>
        </w:tc>
      </w:tr>
      <w:tr>
        <w:trPr/>
        <w:tc>
          <w:tcPr>
            <w:tcW w:w="2480" w:type="dxa"/>
            <w:tcBorders/>
            <w:tcMar>
              <w:bottom w:w="0" w:type="dxa"/>
            </w:tcMar>
            <w:vAlign w:val="center"/>
          </w:tcPr>
          <w:p>
            <w:pPr>
              <w:pStyle w:val="TableContents"/>
              <w:bidi w:val="0"/>
              <w:spacing w:before="0" w:after="283"/>
              <w:jc w:val="center"/>
              <w:rPr/>
            </w:pPr>
            <w:r>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tblLayout w:type="fixed"/>
        <w:tblCellMar>
          <w:top w:w="0" w:type="dxa"/>
          <w:left w:w="0" w:type="dxa"/>
          <w:bottom w:w="28" w:type="dxa"/>
          <w:right w:w="0" w:type="dxa"/>
        </w:tblCellMar>
      </w:tblPr>
      <w:tblGrid>
        <w:gridCol w:w="3755"/>
        <w:gridCol w:w="60"/>
        <w:gridCol w:w="1085"/>
      </w:tblGrid>
      <w:tr>
        <w:trPr/>
        <w:tc>
          <w:tcPr>
            <w:tcW w:w="3755" w:type="dxa"/>
            <w:tcBorders>
              <w:bottom w:val="single" w:sz="12" w:space="0" w:color="000000"/>
            </w:tcBorders>
            <w:vAlign w:val="center"/>
          </w:tcPr>
          <w:p>
            <w:pPr>
              <w:pStyle w:val="TableContents"/>
              <w:bidi w:val="0"/>
              <w:spacing w:before="0" w:after="283"/>
              <w:jc w:val="center"/>
              <w:rPr>
                <w:b/>
              </w:rPr>
            </w:pPr>
            <w:r>
              <w:rPr>
                <w:b/>
              </w:rPr>
              <w:t xml:space="preserve">1403 N. Research Way, Orem, UT </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12" w:space="0" w:color="000000"/>
            </w:tcBorders>
            <w:vAlign w:val="center"/>
          </w:tcPr>
          <w:p>
            <w:pPr>
              <w:pStyle w:val="TableContents"/>
              <w:bidi w:val="0"/>
              <w:spacing w:before="0" w:after="283"/>
              <w:jc w:val="center"/>
              <w:rPr>
                <w:b/>
              </w:rPr>
            </w:pPr>
            <w:r>
              <w:rPr>
                <w:b/>
              </w:rPr>
              <w:t>84097</w:t>
            </w:r>
          </w:p>
        </w:tc>
      </w:tr>
      <w:tr>
        <w:trPr/>
        <w:tc>
          <w:tcPr>
            <w:tcW w:w="3755"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r>
        <w:rPr>
          <w:rFonts w:ascii="Times New Roman;Times;Serif" w:hAnsi="Times New Roman;Times;Serif"/>
          <w:b/>
          <w:i w:val="false"/>
          <w:caps w:val="false"/>
          <w:smallCaps w:val="false"/>
          <w:sz w:val="20"/>
        </w:rPr>
        <w:t>877) 299-4943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029"/>
        <w:gridCol w:w="60"/>
        <w:gridCol w:w="1412"/>
        <w:gridCol w:w="60"/>
        <w:gridCol w:w="2644"/>
      </w:tblGrid>
      <w:tr>
        <w:trPr/>
        <w:tc>
          <w:tcPr>
            <w:tcW w:w="6029"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12"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2644"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6029" w:type="dxa"/>
            <w:tcBorders/>
            <w:shd w:fill="CCEEFF" w:val="clear"/>
            <w:tcMar>
              <w:bottom w:w="0" w:type="dxa"/>
            </w:tcMar>
            <w:vAlign w:val="center"/>
          </w:tcPr>
          <w:p>
            <w:pPr>
              <w:pStyle w:val="TableContents"/>
              <w:bidi w:val="0"/>
              <w:spacing w:before="0" w:after="283"/>
              <w:jc w:val="center"/>
              <w:rPr>
                <w:b/>
              </w:rPr>
            </w:pPr>
            <w:r>
              <w:rPr>
                <w:b/>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2" w:type="dxa"/>
            <w:tcBorders/>
            <w:shd w:fill="CCEEFF" w:val="clear"/>
            <w:tcMar>
              <w:bottom w:w="0" w:type="dxa"/>
            </w:tcMar>
            <w:vAlign w:val="center"/>
          </w:tcPr>
          <w:p>
            <w:pPr>
              <w:pStyle w:val="TableContents"/>
              <w:bidi w:val="0"/>
              <w:spacing w:before="0" w:after="283"/>
              <w:jc w:val="center"/>
              <w:rPr>
                <w:b/>
              </w:rPr>
            </w:pPr>
            <w:r>
              <w:rPr>
                <w:b/>
              </w:rPr>
              <w:t>SPWR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44" w:type="dxa"/>
            <w:tcBorders/>
            <w:shd w:fill="CCEEFF" w:val="clear"/>
            <w:tcMar>
              <w:bottom w:w="0" w:type="dxa"/>
            </w:tcMar>
            <w:vAlign w:val="center"/>
          </w:tcPr>
          <w:p>
            <w:pPr>
              <w:pStyle w:val="TableContents"/>
              <w:bidi w:val="0"/>
              <w:spacing w:before="0" w:after="283"/>
              <w:jc w:val="center"/>
              <w:rPr>
                <w:b/>
              </w:rPr>
            </w:pPr>
            <w:r>
              <w:rPr>
                <w:b/>
              </w:rPr>
              <w:t>The Nasdaq Global Market</w:t>
            </w:r>
          </w:p>
        </w:tc>
      </w:tr>
      <w:tr>
        <w:trPr/>
        <w:tc>
          <w:tcPr>
            <w:tcW w:w="602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1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644" w:type="dxa"/>
            <w:tcBorders/>
            <w:shd w:fill="FFFFFF" w:val="clear"/>
            <w:tcMar>
              <w:bottom w:w="0" w:type="dxa"/>
            </w:tcMar>
            <w:vAlign w:val="center"/>
          </w:tcPr>
          <w:p>
            <w:pPr>
              <w:pStyle w:val="TableContents"/>
              <w:bidi w:val="0"/>
              <w:spacing w:before="0" w:after="283"/>
              <w:jc w:val="center"/>
              <w:rPr/>
            </w:pPr>
            <w:r>
              <w:rPr/>
              <w:t> </w:t>
            </w:r>
          </w:p>
        </w:tc>
      </w:tr>
      <w:tr>
        <w:trPr/>
        <w:tc>
          <w:tcPr>
            <w:tcW w:w="6029" w:type="dxa"/>
            <w:tcBorders/>
            <w:shd w:fill="CCEEFF" w:val="clear"/>
            <w:tcMar>
              <w:bottom w:w="0" w:type="dxa"/>
            </w:tcMar>
            <w:vAlign w:val="center"/>
          </w:tcPr>
          <w:p>
            <w:pPr>
              <w:pStyle w:val="TableContents"/>
              <w:bidi w:val="0"/>
              <w:spacing w:before="0" w:after="283"/>
              <w:jc w:val="center"/>
              <w:rPr>
                <w:b/>
              </w:rPr>
            </w:pPr>
            <w:r>
              <w:rPr>
                <w:b/>
              </w:rPr>
              <w:t>Warrants, each whole warrant exercisable for one share of Common Stock at an exercise price of $11.50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2" w:type="dxa"/>
            <w:tcBorders/>
            <w:shd w:fill="CCEEFF" w:val="clear"/>
            <w:tcMar>
              <w:bottom w:w="0" w:type="dxa"/>
            </w:tcMar>
            <w:vAlign w:val="center"/>
          </w:tcPr>
          <w:p>
            <w:pPr>
              <w:pStyle w:val="TableContents"/>
              <w:bidi w:val="0"/>
              <w:spacing w:before="0" w:after="283"/>
              <w:jc w:val="center"/>
              <w:rPr>
                <w:b/>
              </w:rPr>
            </w:pPr>
            <w:r>
              <w:rPr>
                <w:b/>
              </w:rPr>
              <w:t>SPWRW</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44" w:type="dxa"/>
            <w:tcBorders/>
            <w:shd w:fill="CCEEFF" w:val="clear"/>
            <w:tcMar>
              <w:bottom w:w="0" w:type="dxa"/>
            </w:tcMar>
            <w:vAlign w:val="center"/>
          </w:tcPr>
          <w:p>
            <w:pPr>
              <w:pStyle w:val="TableContents"/>
              <w:bidi w:val="0"/>
              <w:spacing w:before="0" w:after="283"/>
              <w:jc w:val="center"/>
              <w:rPr>
                <w:b/>
              </w:rPr>
            </w:pPr>
            <w:r>
              <w:rPr>
                <w:b/>
              </w:rPr>
              <w:t>The 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2026, Jamie Haenggi, a member of the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of SunPower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informed the Company of her decision not to stand for reelection at the Company’s 2026 Annual Meeting of Stockholders (the “</w:t>
      </w:r>
      <w:r>
        <w:rPr>
          <w:rFonts w:ascii="Times New Roman;Times;Serif" w:hAnsi="Times New Roman;Times;Serif"/>
          <w:b/>
          <w:i w:val="false"/>
          <w:caps w:val="false"/>
          <w:smallCaps w:val="false"/>
          <w:sz w:val="20"/>
        </w:rPr>
        <w:t>2026 Annual Meeting</w:t>
      </w:r>
      <w:r>
        <w:rPr>
          <w:rFonts w:ascii="Times New Roman;Times;Serif" w:hAnsi="Times New Roman;Times;Serif"/>
          <w:b w:val="false"/>
          <w:i w:val="false"/>
          <w:caps w:val="false"/>
          <w:smallCaps w:val="false"/>
          <w:sz w:val="20"/>
        </w:rPr>
        <w:t>”). Ms. Haenggi will continue to serve as a director until the 2026 Annual Meeting. Ms. Haenggi’s decision not to stand for reelection was not the result of any disagreement with the Company or the Board on any matter relating to the Company’s operations, policies or practices.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5.08 Shareholder Director Nominations.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applicable, the information in Item 8.01 of this Current Report on Form 8-K is incorporated by reference into this Item 5.08.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set November 2, 2026 as the date of the 2026 Annual Meeting. The 2026 Annual Meeting will be held virtually online by means of remote communication. More detailed information regarding the 2026 Annual Meeting will be set forth in the Company’s Definitive Proxy Statement on Schedule 14A to be filed with the Securities and Exchange Commission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The record date for the 2026 Annual Meeting is September 18, 2026. Stockholders owning the Company’s common stock at the close of business on such record date, or their legal proxy holders, are entitled to vote at the 2026 Annual Meeting. The Company reserves the right to change the record date or the meeting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date of the 2026 Annual Meeting is being delayed by more than 30 days from the anniversary date of the Company’s 2025 Annual Meeting of Stockholders (the “</w:t>
      </w:r>
      <w:r>
        <w:rPr>
          <w:rFonts w:ascii="Times New Roman;Times;Serif" w:hAnsi="Times New Roman;Times;Serif"/>
          <w:b/>
          <w:i w:val="false"/>
          <w:caps w:val="false"/>
          <w:smallCaps w:val="false"/>
          <w:sz w:val="20"/>
        </w:rPr>
        <w:t>2025 Annual Meeting</w:t>
      </w:r>
      <w:r>
        <w:rPr>
          <w:rFonts w:ascii="Times New Roman;Times;Serif" w:hAnsi="Times New Roman;Times;Serif"/>
          <w:b w:val="false"/>
          <w:i w:val="false"/>
          <w:caps w:val="false"/>
          <w:smallCaps w:val="false"/>
          <w:sz w:val="20"/>
        </w:rPr>
        <w:t>”), in accordance with Rule 14a-5(f) under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the Company is hereby informing shareholders of such change. In addition, because the 2026 Annual Meeting will be held more than 30 days from the anniversary date of the 2025 Annual Meeting, the deadlines for stockholders’ nominations or proposals for consideration at the 2026 Annual Meeting set forth in the Company’s proxy statement for the 2025 Annual Meeting no longer apply. Further, because the 2026 Annual Meeting will be held more than 60 days from the anniversary date of the 2025 Annual Meeting, the deadlines set forth in the proxy statement for the 2025 Annual Meeting for shareholders to submit a notice of a proposal outside the processes of Rule 14a-8 of the Exchange Act and a notice of proposed director nominations, in each case for consideration at the 2026 Annual Meeting, no longer apply. As such, the Company is filing this Current Report on Form 8-K to inform stockholders of this change and to provide the due date for the submission of any qualified stockholder proposals or qualified stockholder director nominations.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of the Company who wish to have a proposal considered for inclusion in the Company’s proxy materials for the 2026 Annual Meeting pursuant to Rule 14a-8 under the Exchange Act must ensure that such proposal is delivered to or mailed to and received by the Company’s Secretary at SunPower Inc., 1403 N. Research Way, Orem, UT 84097 no later than September 28, 2026, which the Company has determined to be a reasonable time before it expects to begin to print and distribute its proxy materials. Such proposals must comply with all applicable procedures and requirements of Rule 14a-8.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stockholder who intends to submit a director nomination or who intends to submit a proposal regarding any matter of business at the 2026 Annual Meeting other than in accordance with Rule 14a-8 or otherwise must similarly make sure that such nomination or proposal and related notice comply with all applicable rules of the SEC, the Delaware General Corporation Law and the Company’s Second Amended and Restated Bylaws, and are delivered to, or mailed and received at, the Company’s principal executive offices on or before the close of business on September 28, 2026. Any director nominations and stockholder proposals received after this deadline will be considered untimely and will not be considered for inclusion in the proxy materials for the 2026 Annual Meeting nor will they be considered at the 2026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415" w:type="dxa"/>
        <w:jc w:val="left"/>
        <w:tblInd w:w="0" w:type="dxa"/>
        <w:tblLayout w:type="fixed"/>
        <w:tblCellMar>
          <w:top w:w="0" w:type="dxa"/>
          <w:left w:w="0" w:type="dxa"/>
          <w:bottom w:w="0" w:type="dxa"/>
          <w:right w:w="0" w:type="dxa"/>
        </w:tblCellMar>
      </w:tblPr>
      <w:tblGrid>
        <w:gridCol w:w="2630"/>
        <w:gridCol w:w="365"/>
        <w:gridCol w:w="2420"/>
      </w:tblGrid>
      <w:tr>
        <w:trPr/>
        <w:tc>
          <w:tcPr>
            <w:tcW w:w="2630" w:type="dxa"/>
            <w:tcBorders/>
            <w:vAlign w:val="center"/>
          </w:tcPr>
          <w:p>
            <w:pPr>
              <w:pStyle w:val="TableContents"/>
              <w:bidi w:val="0"/>
              <w:spacing w:before="0" w:after="283"/>
              <w:jc w:val="left"/>
              <w:rPr/>
            </w:pPr>
            <w:r>
              <w:rPr/>
              <w:t> </w:t>
            </w:r>
          </w:p>
        </w:tc>
        <w:tc>
          <w:tcPr>
            <w:tcW w:w="2785" w:type="dxa"/>
            <w:gridSpan w:val="2"/>
            <w:tcBorders/>
            <w:vAlign w:val="center"/>
          </w:tcPr>
          <w:p>
            <w:pPr>
              <w:pStyle w:val="TableContents"/>
              <w:bidi w:val="0"/>
              <w:spacing w:before="0" w:after="283"/>
              <w:jc w:val="left"/>
              <w:rPr>
                <w:b/>
                <w:smallCaps/>
              </w:rPr>
            </w:pPr>
            <w:r>
              <w:rPr>
                <w:b/>
                <w:smallCaps/>
              </w:rPr>
              <w:t>SunPower Inc.</w:t>
            </w:r>
          </w:p>
        </w:tc>
      </w:tr>
      <w:tr>
        <w:trPr/>
        <w:tc>
          <w:tcPr>
            <w:tcW w:w="2630" w:type="dxa"/>
            <w:tcBorders/>
            <w:vAlign w:val="center"/>
          </w:tcPr>
          <w:p>
            <w:pPr>
              <w:pStyle w:val="TableContents"/>
              <w:bidi w:val="0"/>
              <w:spacing w:before="0" w:after="283"/>
              <w:jc w:val="left"/>
              <w:rPr/>
            </w:pPr>
            <w:r>
              <w:rPr/>
              <w:t> </w:t>
            </w:r>
          </w:p>
        </w:tc>
        <w:tc>
          <w:tcPr>
            <w:tcW w:w="2785" w:type="dxa"/>
            <w:gridSpan w:val="2"/>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Dated: September 17, 2026</w:t>
            </w:r>
          </w:p>
        </w:tc>
        <w:tc>
          <w:tcPr>
            <w:tcW w:w="2785" w:type="dxa"/>
            <w:gridSpan w:val="2"/>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420" w:type="dxa"/>
            <w:tcBorders>
              <w:bottom w:val="single" w:sz="12" w:space="0" w:color="000000"/>
            </w:tcBorders>
            <w:tcMar>
              <w:bottom w:w="28" w:type="dxa"/>
            </w:tcMar>
            <w:vAlign w:val="center"/>
          </w:tcPr>
          <w:p>
            <w:pPr>
              <w:pStyle w:val="TableContents"/>
              <w:bidi w:val="0"/>
              <w:spacing w:before="0" w:after="283"/>
              <w:jc w:val="left"/>
              <w:rPr/>
            </w:pPr>
            <w:r>
              <w:rPr/>
              <w:t>/s/ Thurman J. Rodgers</w:t>
            </w:r>
          </w:p>
        </w:tc>
      </w:tr>
      <w:tr>
        <w:trPr/>
        <w:tc>
          <w:tcPr>
            <w:tcW w:w="263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pPr>
            <w:r>
              <w:rPr/>
              <w:t>Thurman J. Rodgers</w:t>
            </w:r>
          </w:p>
        </w:tc>
      </w:tr>
      <w:tr>
        <w:trPr/>
        <w:tc>
          <w:tcPr>
            <w:tcW w:w="263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pPr>
            <w:r>
              <w:rPr/>
              <w:t>Chief Executive Officer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2047</Words>
  <Characters>11052</Characters>
  <CharactersWithSpaces>13116</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