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194-8k_sunpower.htm"/>
      <w:bookmarkStart w:id="1" w:name="ksea02971948k_sunpower"/>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6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bookmarkStart w:id="5" w:name="xdx_90F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8_edei--EntityFileNumber_c20260630"/>
            <w:bookmarkEnd w:id="6"/>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3_edei--EntityTaxIdentificationNum"/>
            <w:bookmarkEnd w:id="7"/>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28" w:type="dxa"/>
          <w:right w:w="0" w:type="dxa"/>
        </w:tblCellMar>
      </w:tblPr>
      <w:tblGrid>
        <w:gridCol w:w="4340"/>
        <w:gridCol w:w="60"/>
        <w:gridCol w:w="1085"/>
      </w:tblGrid>
      <w:tr>
        <w:trPr/>
        <w:tc>
          <w:tcPr>
            <w:tcW w:w="4340" w:type="dxa"/>
            <w:tcBorders>
              <w:bottom w:val="single" w:sz="12" w:space="0" w:color="000000"/>
            </w:tcBorders>
            <w:vAlign w:val="center"/>
          </w:tcPr>
          <w:p>
            <w:pPr>
              <w:pStyle w:val="TableContents"/>
              <w:bidi w:val="0"/>
              <w:spacing w:before="0" w:after="283"/>
              <w:jc w:val="center"/>
              <w:rPr>
                <w:b/>
              </w:rPr>
            </w:pPr>
            <w:bookmarkStart w:id="8" w:name="xdx_909_edei--EntityAddressAddressLine1_"/>
            <w:bookmarkEnd w:id="8"/>
            <w:r>
              <w:rPr>
                <w:b/>
              </w:rPr>
              <w:t xml:space="preserve">45700 Northport Loop East, </w:t>
            </w:r>
            <w:bookmarkStart w:id="9" w:name="xdx_909_edei--EntityAddressCityOrTown_c2"/>
            <w:bookmarkEnd w:id="9"/>
            <w:r>
              <w:rPr>
                <w:b/>
              </w:rPr>
              <w:t xml:space="preserve">Fremont, </w:t>
            </w:r>
            <w:bookmarkStart w:id="10" w:name="xdx_903_edei--EntityAddressStateOrProvin"/>
            <w:bookmarkEnd w:id="10"/>
            <w:r>
              <w:rPr>
                <w:b/>
              </w:rPr>
              <w:t>CA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1" w:name="xdx_909_edei--EntityAddressPostalZipCode"/>
            <w:bookmarkEnd w:id="11"/>
            <w:r>
              <w:rPr>
                <w:b/>
              </w:rPr>
              <w:t>94538</w:t>
            </w:r>
          </w:p>
        </w:tc>
      </w:tr>
      <w:tr>
        <w:trPr/>
        <w:tc>
          <w:tcPr>
            <w:tcW w:w="4340"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7_edei--CityAreaCode_c20260630__20"/>
      <w:bookmarkEnd w:id="12"/>
      <w:r>
        <w:rPr>
          <w:rFonts w:ascii="Times New Roman;Times;Serif" w:hAnsi="Times New Roman;Times;Serif"/>
          <w:b/>
          <w:i w:val="false"/>
          <w:caps w:val="false"/>
          <w:smallCaps w:val="false"/>
          <w:sz w:val="20"/>
        </w:rPr>
        <w:t xml:space="preserve">510) </w:t>
      </w:r>
      <w:bookmarkStart w:id="13" w:name="xdx_908_edei--LocalPhoneNumber_c20260630"/>
      <w:bookmarkEnd w:id="13"/>
      <w:r>
        <w:rPr>
          <w:rFonts w:ascii="Times New Roman;Times;Serif" w:hAnsi="Times New Roman;Times;Serif"/>
          <w:b/>
          <w:i w:val="false"/>
          <w:caps w:val="false"/>
          <w:smallCaps w:val="false"/>
          <w:sz w:val="20"/>
        </w:rPr>
        <w:t>270-2507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A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2_edei--SolicitingMaterial_c202606"/>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bookmarkStart w:id="18" w:name="xdx_908_edei--Security12bTitle_c20260630"/>
            <w:bookmarkEnd w:id="18"/>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bookmarkStart w:id="19" w:name="xdx_904_edei--TradingSymbol_c20260630__2"/>
            <w:bookmarkEnd w:id="19"/>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 xml:space="preserve">The </w:t>
            </w:r>
            <w:bookmarkStart w:id="20" w:name="xdx_90C_edei--SecurityExchangeName_c2026"/>
            <w:bookmarkEnd w:id="20"/>
            <w:r>
              <w:rPr>
                <w:b/>
              </w:rPr>
              <w:t>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bookmarkStart w:id="21" w:name="xdx_90D_edei--Security12bTitle_c20260630"/>
            <w:bookmarkEnd w:id="21"/>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bookmarkStart w:id="22" w:name="xdx_906_edei--TradingSymbol_c20260630__2"/>
            <w:bookmarkEnd w:id="22"/>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 xml:space="preserve">The </w:t>
            </w:r>
            <w:bookmarkStart w:id="23" w:name="xdx_90B_edei--SecurityExchangeName_c2026"/>
            <w:bookmarkEnd w:id="23"/>
            <w:r>
              <w:rPr>
                <w:b/>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A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0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of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Financial Officer and Principal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(the “Company”) has appointed Tom Kowalczuk as the Company’s Chief Financial Officer and Principal Financial Officer, effective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Kowalczuk, age 43, has more than 20 years of finance and accounting experience. Before joining the Company, Mr. Kowalczuk served as Chief Financial Officer of Bespoken Spirits from February 2025 until June 2026, and prior to that as Vice President of Finance of Bespoken Spirits from March 2024 until February 2025. Prior to Bespoken Spirits, Mr. Kowalczuk served as Director of Supply Chain FP&amp;A for the USA and Canada at Campari February 2023 until March 2024, overseeing FP&amp;A and operational finance support across U.S. and Canadian manufacturing and supply chain operations. Prior to Campari, Mr. Kowalczuk held roles of increasing responsibility at Beam Suntory from 2008 to 2023, most recently serving as Finance Business Partner Manufacturing Excellence, supporting multi-site manufacturing operations representing more than $2 billion in annual revenue. Mr. Kowalczuk holds a Master of Business Administration from the University of Chicago Booth School of Business and a double major in Accounting and Finance from Northeastern Illinois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entered into an offer letter (the “Offer Letter”) with Mr. Kowalczuk in connection with his employment as Chief Financial Officer. Pursuant to the Offer Letter, Mr. Kowalczuk will have an annual base salary of $400,000 and an annual target bonus opportunity of 50% of his base salary. Mr. Kowalczuk will be granted 1,000,000 restricted stock units (“RSUs”) as an employment inducement award under applicable Nasdaq rules, of which the first 20% of the RSUs will be subject to a 12-month "cliff" vesting provision and with the remainder vesting ratably on an annual basis over the course of the following four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arrangement or understanding exists between Mr. Kowalczuk and any other person pursuant to which Mr. Kowalczuk was selected to serve as the Company’s Chief Financial Officer and its Principal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Kowalczuk and any director or executive officer of the Company that would be required to be disclosed pursuant to Item 401(d) of Regulation S-K, and there are no transactions involving Mr. Kowalczuk that would be required to be disclosed pursuant to Item 404(a) of Regulation 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1895"/>
        <w:gridCol w:w="365"/>
        <w:gridCol w:w="2300"/>
      </w:tblGrid>
      <w:tr>
        <w:trPr/>
        <w:tc>
          <w:tcPr>
            <w:tcW w:w="18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smallCaps/>
              </w:rPr>
            </w:pPr>
            <w:r>
              <w:rPr>
                <w:b/>
                <w:smallCaps/>
              </w:rPr>
              <w:t>SunPower Inc.</w:t>
            </w:r>
          </w:p>
        </w:tc>
      </w:tr>
      <w:tr>
        <w:trPr/>
        <w:tc>
          <w:tcPr>
            <w:tcW w:w="1895" w:type="dxa"/>
            <w:tcBorders/>
            <w:vAlign w:val="center"/>
          </w:tcPr>
          <w:p>
            <w:pPr>
              <w:pStyle w:val="TableContents"/>
              <w:bidi w:val="0"/>
              <w:spacing w:before="0" w:after="283"/>
              <w:jc w:val="left"/>
              <w:rPr/>
            </w:pPr>
            <w:r>
              <w:rPr/>
              <w:t>Dated: July 7, 2026</w:t>
            </w:r>
          </w:p>
        </w:tc>
        <w:tc>
          <w:tcPr>
            <w:tcW w:w="266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777</Words>
  <Characters>4271</Characters>
  <CharactersWithSpaces>5051</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