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142106-424b3_sunpower.htm"/>
      <w:bookmarkStart w:id="1" w:name="ksea030142106424b3_sunpower"/>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333-296206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4</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39,534,884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June 1, 2026 (as amended or supplemented,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(No. 333-296206). This prospectus supplement is being filed to update and supplement the information in the prospectus with the information contained in our Current Report on Form 8-K filed with the Securities and Exchange Commission on August 10,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and such information, the “</w:t>
      </w:r>
      <w:r>
        <w:rPr>
          <w:rFonts w:ascii="Times New Roman;Times;Serif" w:hAnsi="Times New Roman;Times;Serif"/>
          <w:b/>
          <w:i w:val="false"/>
          <w:caps w:val="false"/>
          <w:smallCaps w:val="false"/>
          <w:sz w:val="20"/>
        </w:rPr>
        <w:t>Supplemental Information</w:t>
      </w:r>
      <w:r>
        <w:rPr>
          <w:rFonts w:ascii="Times New Roman;Times;Serif" w:hAnsi="Times New Roman;Times;Serif"/>
          <w:b w:val="false"/>
          <w:i w:val="false"/>
          <w:caps w:val="false"/>
          <w:smallCaps w:val="false"/>
          <w:sz w:val="20"/>
        </w:rPr>
        <w:t>”). Accordingly, we have attached the Current Report to this prospectus supplement with respect to the Supplemental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registration of the resale or other disposition of up to 39,534,884 shares of our common stock by YA II PN, LTD (“</w:t>
      </w:r>
      <w:r>
        <w:rPr>
          <w:rFonts w:ascii="Times New Roman;Times;Serif" w:hAnsi="Times New Roman;Times;Serif"/>
          <w:b/>
          <w:i w:val="false"/>
          <w:caps w:val="false"/>
          <w:smallCaps w:val="false"/>
          <w:sz w:val="20"/>
        </w:rPr>
        <w:t>Yorkville</w:t>
      </w:r>
      <w:r>
        <w:rPr>
          <w:rFonts w:ascii="Times New Roman;Times;Serif" w:hAnsi="Times New Roman;Times;Serif"/>
          <w:b w:val="false"/>
          <w:i w:val="false"/>
          <w:caps w:val="false"/>
          <w:smallCaps w:val="false"/>
          <w:sz w:val="20"/>
        </w:rPr>
        <w:t>”). Yorkville is also referred to in the prospectus and this prospectus supplement as the Selling Securityholder. The shares of our common stock to which the prospectus and this prospectus supplement relate have been or may be issued by us to Yorkville (i) pursuant to a standby equity purchase agreement, dated as of January 27, 2026, by and between us and Yorkville (the “</w:t>
      </w:r>
      <w:r>
        <w:rPr>
          <w:rFonts w:ascii="Times New Roman;Times;Serif" w:hAnsi="Times New Roman;Times;Serif"/>
          <w:b/>
          <w:i w:val="false"/>
          <w:caps w:val="false"/>
          <w:smallCaps w:val="false"/>
          <w:sz w:val="20"/>
        </w:rPr>
        <w:t>SEPA</w:t>
      </w:r>
      <w:r>
        <w:rPr>
          <w:rFonts w:ascii="Times New Roman;Times;Serif" w:hAnsi="Times New Roman;Times;Serif"/>
          <w:b w:val="false"/>
          <w:i w:val="false"/>
          <w:caps w:val="false"/>
          <w:smallCaps w:val="false"/>
          <w:sz w:val="20"/>
        </w:rPr>
        <w:t>”), and (ii) upon conversion of a convertible debenture issued by us on March 6, 2026 to Yorkville (the “</w:t>
      </w:r>
      <w:r>
        <w:rPr>
          <w:rFonts w:ascii="Times New Roman;Times;Serif" w:hAnsi="Times New Roman;Times;Serif"/>
          <w:b/>
          <w:i w:val="false"/>
          <w:caps w:val="false"/>
          <w:smallCaps w:val="false"/>
          <w:sz w:val="20"/>
        </w:rPr>
        <w:t>YA Debenture</w:t>
      </w:r>
      <w:r>
        <w:rPr>
          <w:rFonts w:ascii="Times New Roman;Times;Serif" w:hAnsi="Times New Roman;Times;Serif"/>
          <w:b w:val="false"/>
          <w:i w:val="false"/>
          <w:caps w:val="false"/>
          <w:smallCaps w:val="false"/>
          <w:sz w:val="20"/>
        </w:rPr>
        <w:t>”). Such shares of common stock include (i) up to 25,000,000 shares of common stock that we may, at our discretion, elect to issue and sell to Yorkville from time to time after the date of the prospectus and this prospectus supplement pursuant to the SEPA (the “</w:t>
      </w:r>
      <w:r>
        <w:rPr>
          <w:rFonts w:ascii="Times New Roman;Times;Serif" w:hAnsi="Times New Roman;Times;Serif"/>
          <w:b/>
          <w:i w:val="false"/>
          <w:caps w:val="false"/>
          <w:smallCaps w:val="false"/>
          <w:sz w:val="20"/>
        </w:rPr>
        <w:t>SEPA Shares</w:t>
      </w:r>
      <w:r>
        <w:rPr>
          <w:rFonts w:ascii="Times New Roman;Times;Serif" w:hAnsi="Times New Roman;Times;Serif"/>
          <w:b w:val="false"/>
          <w:i w:val="false"/>
          <w:caps w:val="false"/>
          <w:smallCaps w:val="false"/>
          <w:sz w:val="20"/>
        </w:rPr>
        <w:t>”) and (ii) up to 14,534,884 shares of common stock that may be issued to Yorkville upon conversion by Yorkville of the YA Debenture (the “</w:t>
      </w:r>
      <w:r>
        <w:rPr>
          <w:rFonts w:ascii="Times New Roman;Times;Serif" w:hAnsi="Times New Roman;Times;Serif"/>
          <w:b/>
          <w:i w:val="false"/>
          <w:caps w:val="false"/>
          <w:smallCaps w:val="false"/>
          <w:sz w:val="20"/>
        </w:rPr>
        <w:t>Debenture Shares</w:t>
      </w:r>
      <w:r>
        <w:rPr>
          <w:rFonts w:ascii="Times New Roman;Times;Serif" w:hAnsi="Times New Roman;Times;Serif"/>
          <w:b w:val="false"/>
          <w:i w:val="false"/>
          <w:caps w:val="false"/>
          <w:smallCaps w:val="false"/>
          <w:sz w:val="20"/>
        </w:rPr>
        <w:t>” and, collectively with the Conversion Shares,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the prospectus and this prospectus supplement and will not receive any of the proceeds from the sale of our common stock by the Selling Securityholder. Prior to the date of the prospectus and this prospectus supplement, we received (i) proceeds of $1,710,000 in connection with our sale and issuance to Yorkville on January 27, 2026 of a convertible promissory note in the aggregate principal amount of $1,900,000 as a pre-paid advance under the SEPA and (ii) proceeds of $9,000,000 from the issuance and sale by us to Yorkville of the YA Debenture; and we may receive proceeds from sales of common stock that we may elect to make to Yorkville pursuant to the SEPA, if any, from time to time after the date of the prospectus and this prospectus supplement. The net proceeds from sales, if any, under the SEPA, will depend on the frequency and prices at which we sell shares of common stock to Yorkville after the date of the prospectus and this prospectus supplement. See “PROSPECTUS SUMMARY - The Standby Equity Purchase Agreement” on page 4 of the prospectus for a description of the SEPA and YA Debenture and “SELLING SECURITYHOLDER” on page 109 of the prospectus for additional information regarding the Selling Securityholder.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 may sell or otherwise dispose of the common stock described in the prospectus and this prospectus supplement in a number of different ways and at varying prices. Yorkville is an “underwriter” within the meaning of Section 2(a)(11)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only with respect to advances under the SEPA (“</w:t>
      </w:r>
      <w:r>
        <w:rPr>
          <w:rFonts w:ascii="Times New Roman;Times;Serif" w:hAnsi="Times New Roman;Times;Serif"/>
          <w:b/>
          <w:i w:val="false"/>
          <w:caps w:val="false"/>
          <w:smallCaps w:val="false"/>
          <w:sz w:val="20"/>
        </w:rPr>
        <w:t>Advances</w:t>
      </w:r>
      <w:r>
        <w:rPr>
          <w:rFonts w:ascii="Times New Roman;Times;Serif" w:hAnsi="Times New Roman;Times;Serif"/>
          <w:b w:val="false"/>
          <w:i w:val="false"/>
          <w:caps w:val="false"/>
          <w:smallCaps w:val="false"/>
          <w:sz w:val="20"/>
        </w:rPr>
        <w:t>”), and any profits on the sales of shares of our common stock by Yorkville acquired under the SEPA and any discounts, commissions, or concessions received by Yorkville are deemed to be underwriting discounts and commissions under the Securities Act. If any underwriters, dealers, or agents are involved in the sale of any of the securities, their names and any applicable purchase price, fee, commission, or discount arrangement between or among them will be set forth, or will be calculable from the information set forth, in any applicable prospectus supplement. Yorkville is not an “underwriter” within the meaning of Section 2(a)(11) of the Securities Act with respect to the shares of our common stock issuable to Yorkville upon conversion by Yorkville of the YA Debenture. We will pay the expenses incurred in registering under the Securities Act the offer and sale of the shares of the common stock to which the prospectus and this prospectus supplement relate by the Selling Securityholder, including our legal and accounting fees. See “Plan of Distribution” on page 124 of the prospectus for more information. No securities may be sold without delivery of the prospectus and this prospectus supplement and any applicable prospectus supplement describing the method and terms of the offering of such securities. You should carefully read the prospectus and this prospectus supplement and any applicable prospectus supplement before you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engaged Northland Capital Markets (“</w:t>
      </w:r>
      <w:r>
        <w:rPr>
          <w:rFonts w:ascii="Times New Roman;Times;Serif" w:hAnsi="Times New Roman;Times;Serif"/>
          <w:b/>
          <w:i w:val="false"/>
          <w:caps w:val="false"/>
          <w:smallCaps w:val="false"/>
          <w:sz w:val="20"/>
        </w:rPr>
        <w:t>Northland</w:t>
      </w:r>
      <w:r>
        <w:rPr>
          <w:rFonts w:ascii="Times New Roman;Times;Serif" w:hAnsi="Times New Roman;Times;Serif"/>
          <w:b w:val="false"/>
          <w:i w:val="false"/>
          <w:caps w:val="false"/>
          <w:smallCaps w:val="false"/>
          <w:sz w:val="20"/>
        </w:rPr>
        <w:t>”) as our placement agent in connection with the SEPA. We have agreed to pay Northland a cash fee of 5.0% based upon the aggregate gross proceeds received from the sales of convertible promissory notes and common stock that we elect to make to Yorkville pursuant to the SEPA. See “Plan of Distribution” on page 124 of the prospectus for additional information regarding this arrangement.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“SPWR”. On August 7, 2026, the closing price of our common stock was $0.2675.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12 of the prospectus, and under similar headings in any amendments or supplements to the prospectus and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and this prospectus supplement.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r>
              <w:rPr>
                <w:b/>
              </w:rPr>
              <w:t>1403 N. Research Way, Orem UT</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(877) 299-4943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45700 Northport Loop East, Fremont CA 94538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45"/>
        <w:gridCol w:w="8585"/>
      </w:tblGrid>
      <w:tr>
        <w:trPr/>
        <w:tc>
          <w:tcPr>
            <w:tcW w:w="245"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pPr>
            <w:r>
              <w:rPr/>
              <w:t> </w:t>
            </w: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245"/>
        <w:gridCol w:w="8615"/>
      </w:tblGrid>
      <w:tr>
        <w:trPr/>
        <w:tc>
          <w:tcPr>
            <w:tcW w:w="245"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 </w:t>
            </w: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w:t>
            </w: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w:t>
            </w: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SunPower Inc. (the “Company”) entered into a simple agreement for future equity (the “SAFE”) with an institutional investor in connection with its investment of $3,500,000 (the “Purchase Amount”) in the Company. The SAFE is convertible into equity securities of the Company in an amount equal to the Purchase Amount divided by the applicable price per share, unit or other increment of the securities issued by the Company in its next equity financing transaction, and without any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above in Item 1.01 of this Current Report on Form 8-K relating to the issuance of the SAFE is incorporated by reference herein in its entirety. The offer and sale of the SAFE was made in reliance upon the exemption from registration contained in Section 4(a)(2)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315"/>
        <w:gridCol w:w="365"/>
        <w:gridCol w:w="2300"/>
      </w:tblGrid>
      <w:tr>
        <w:trPr/>
        <w:tc>
          <w:tcPr>
            <w:tcW w:w="2315" w:type="dxa"/>
            <w:tcBorders/>
            <w:vAlign w:val="center"/>
          </w:tcPr>
          <w:p>
            <w:pPr>
              <w:pStyle w:val="TableContents"/>
              <w:bidi w:val="0"/>
              <w:spacing w:before="0" w:after="283"/>
              <w:ind w:left="0" w:right="0" w:hanging="200"/>
              <w:jc w:val="left"/>
              <w:rPr/>
            </w:pPr>
            <w:r>
              <w:rPr/>
              <w:t> </w:t>
            </w:r>
          </w:p>
        </w:tc>
        <w:tc>
          <w:tcPr>
            <w:tcW w:w="2665" w:type="dxa"/>
            <w:gridSpan w:val="2"/>
            <w:tcBorders/>
            <w:vAlign w:val="center"/>
          </w:tcPr>
          <w:p>
            <w:pPr>
              <w:pStyle w:val="TableContents"/>
              <w:bidi w:val="0"/>
              <w:spacing w:before="0" w:after="283"/>
              <w:ind w:left="0" w:right="0" w:hanging="200"/>
              <w:jc w:val="left"/>
              <w:rPr>
                <w:b/>
                <w:smallCaps/>
              </w:rPr>
            </w:pPr>
            <w:r>
              <w:rPr>
                <w:b/>
                <w:smallCaps/>
              </w:rPr>
              <w:t>SunPower Inc.</w:t>
            </w:r>
          </w:p>
        </w:tc>
      </w:tr>
      <w:tr>
        <w:trPr/>
        <w:tc>
          <w:tcPr>
            <w:tcW w:w="2315" w:type="dxa"/>
            <w:tcBorders/>
            <w:vAlign w:val="center"/>
          </w:tcPr>
          <w:p>
            <w:pPr>
              <w:pStyle w:val="TableContents"/>
              <w:bidi w:val="0"/>
              <w:spacing w:before="0" w:after="283"/>
              <w:jc w:val="left"/>
              <w:rPr/>
            </w:pPr>
            <w:r>
              <w:rPr/>
              <w:t>Dated: August 10, 2026</w:t>
            </w:r>
          </w:p>
        </w:tc>
        <w:tc>
          <w:tcPr>
            <w:tcW w:w="2665" w:type="dxa"/>
            <w:gridSpan w:val="2"/>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ind w:left="0" w:right="0" w:hanging="200"/>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3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Thurman J. Rodgers</w:t>
            </w:r>
          </w:p>
        </w:tc>
      </w:tr>
      <w:tr>
        <w:trPr/>
        <w:tc>
          <w:tcPr>
            <w:tcW w:w="23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1683</Words>
  <Characters>8989</Characters>
  <CharactersWithSpaces>10681</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