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030142102-424b3_sunpower.htm"/>
      <w:bookmarkStart w:id="1" w:name="ksea030142102424b3_sunpower"/>
      <w:bookmarkEnd w:id="0"/>
      <w:bookmarkEnd w:id="1"/>
      <w:r>
        <w:rPr>
          <w:rFonts w:ascii="Times New Roman;Times;Serif" w:hAnsi="Times New Roman;Times;Serif"/>
          <w:b/>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333-293156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NO. 2</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July 10,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14,625,610 Shares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50,760,218 Shares of Common Stock Issuable Upon Conversion of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supplements the prospectus dated July 10, 2026 (as amended or supplemented,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which forms a part of our registration statement on Form S-1, as amended by Post-Effective Amendment No. 1 (No. 333-293156). This prospectus supplement is being filed to update and supplement the information in the prospectus with the information contained in our Current Report on Form 8-K filed with the Securities and Exchange Commission on August 10, 2026 (the “</w:t>
      </w: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and such information, the “</w:t>
      </w:r>
      <w:r>
        <w:rPr>
          <w:rFonts w:ascii="Times New Roman;Times;Serif" w:hAnsi="Times New Roman;Times;Serif"/>
          <w:b/>
          <w:i w:val="false"/>
          <w:caps w:val="false"/>
          <w:smallCaps w:val="false"/>
          <w:sz w:val="20"/>
        </w:rPr>
        <w:t>Supplemental Information</w:t>
      </w:r>
      <w:r>
        <w:rPr>
          <w:rFonts w:ascii="Times New Roman;Times;Serif" w:hAnsi="Times New Roman;Times;Serif"/>
          <w:b w:val="false"/>
          <w:i w:val="false"/>
          <w:caps w:val="false"/>
          <w:smallCaps w:val="false"/>
          <w:sz w:val="20"/>
        </w:rPr>
        <w:t>”). Accordingly, we have attached the Current Report to this prospectus supplement with respect to the Supplemental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and this prospectus supplement relate to the offer and sale from time to time by the selling securityholders named in the prospectus or their permitted transferees (the “</w:t>
      </w:r>
      <w:r>
        <w:rPr>
          <w:rFonts w:ascii="Times New Roman;Times;Serif" w:hAnsi="Times New Roman;Times;Serif"/>
          <w:b/>
          <w:i w:val="false"/>
          <w:caps w:val="false"/>
          <w:smallCaps w:val="false"/>
          <w:sz w:val="20"/>
        </w:rPr>
        <w:t>Selling Securityholders</w:t>
      </w:r>
      <w:r>
        <w:rPr>
          <w:rFonts w:ascii="Times New Roman;Times;Serif" w:hAnsi="Times New Roman;Times;Serif"/>
          <w:b w:val="false"/>
          <w:i w:val="false"/>
          <w:caps w:val="false"/>
          <w:smallCaps w:val="false"/>
          <w:sz w:val="20"/>
        </w:rPr>
        <w:t>”) of up to 65,385,828 shares of our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consisting of (i) 10,243,924 shares of common stock (the “</w:t>
      </w:r>
      <w:r>
        <w:rPr>
          <w:rFonts w:ascii="Times New Roman;Times;Serif" w:hAnsi="Times New Roman;Times;Serif"/>
          <w:b/>
          <w:i w:val="false"/>
          <w:caps w:val="false"/>
          <w:smallCaps w:val="false"/>
          <w:sz w:val="20"/>
        </w:rPr>
        <w:t>Ambia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Ambia Purchase Agreement</w:t>
      </w:r>
      <w:r>
        <w:rPr>
          <w:rFonts w:ascii="Times New Roman;Times;Serif" w:hAnsi="Times New Roman;Times;Serif"/>
          <w:b w:val="false"/>
          <w:i w:val="false"/>
          <w:caps w:val="false"/>
          <w:smallCaps w:val="false"/>
          <w:sz w:val="20"/>
        </w:rPr>
        <w:t>”), dated November 21, 2025, between the Company, Ambia Energy, LLC (“</w:t>
      </w:r>
      <w:r>
        <w:rPr>
          <w:rFonts w:ascii="Times New Roman;Times;Serif" w:hAnsi="Times New Roman;Times;Serif"/>
          <w:b/>
          <w:i w:val="false"/>
          <w:caps w:val="false"/>
          <w:smallCaps w:val="false"/>
          <w:sz w:val="20"/>
        </w:rPr>
        <w:t>Ambia</w:t>
      </w:r>
      <w:r>
        <w:rPr>
          <w:rFonts w:ascii="Times New Roman;Times;Serif" w:hAnsi="Times New Roman;Times;Serif"/>
          <w:b w:val="false"/>
          <w:i w:val="false"/>
          <w:caps w:val="false"/>
          <w:smallCaps w:val="false"/>
          <w:sz w:val="20"/>
        </w:rPr>
        <w:t>”) and Ambia Holdings, Inc., in connection with our acquisition of Ambia, (ii) 3,333,334 shares of common stock (the “</w:t>
      </w:r>
      <w:r>
        <w:rPr>
          <w:rFonts w:ascii="Times New Roman;Times;Serif" w:hAnsi="Times New Roman;Times;Serif"/>
          <w:b/>
          <w:i w:val="false"/>
          <w:caps w:val="false"/>
          <w:smallCaps w:val="false"/>
          <w:sz w:val="20"/>
        </w:rPr>
        <w:t>Sunder Shares</w:t>
      </w:r>
      <w:r>
        <w:rPr>
          <w:rFonts w:ascii="Times New Roman;Times;Serif" w:hAnsi="Times New Roman;Times;Serif"/>
          <w:b w:val="false"/>
          <w:i w:val="false"/>
          <w:caps w:val="false"/>
          <w:smallCaps w:val="false"/>
          <w:sz w:val="20"/>
        </w:rPr>
        <w:t>” and, collectively with the Ambia Shares, the “</w:t>
      </w:r>
      <w:r>
        <w:rPr>
          <w:rFonts w:ascii="Times New Roman;Times;Serif" w:hAnsi="Times New Roman;Times;Serif"/>
          <w:b/>
          <w:i w:val="false"/>
          <w:caps w:val="false"/>
          <w:smallCaps w:val="false"/>
          <w:sz w:val="20"/>
        </w:rPr>
        <w:t>Acquisition Shares</w:t>
      </w:r>
      <w:r>
        <w:rPr>
          <w:rFonts w:ascii="Times New Roman;Times;Serif" w:hAnsi="Times New Roman;Times;Serif"/>
          <w:b w:val="false"/>
          <w:i w:val="false"/>
          <w:caps w:val="false"/>
          <w:smallCaps w:val="false"/>
          <w:sz w:val="20"/>
        </w:rPr>
        <w:t>”) previously issued by us pursuant to a Membership Interest Purchase Agreement (the “</w:t>
      </w:r>
      <w:r>
        <w:rPr>
          <w:rFonts w:ascii="Times New Roman;Times;Serif" w:hAnsi="Times New Roman;Times;Serif"/>
          <w:b/>
          <w:i w:val="false"/>
          <w:caps w:val="false"/>
          <w:smallCaps w:val="false"/>
          <w:sz w:val="20"/>
        </w:rPr>
        <w:t>Sunder Purchase Agreement</w:t>
      </w:r>
      <w:r>
        <w:rPr>
          <w:rFonts w:ascii="Times New Roman;Times;Serif" w:hAnsi="Times New Roman;Times;Serif"/>
          <w:b w:val="false"/>
          <w:i w:val="false"/>
          <w:caps w:val="false"/>
          <w:smallCaps w:val="false"/>
          <w:sz w:val="20"/>
        </w:rPr>
        <w:t>” and, together with the Ambia Purchase Agreement, the “</w:t>
      </w:r>
      <w:r>
        <w:rPr>
          <w:rFonts w:ascii="Times New Roman;Times;Serif" w:hAnsi="Times New Roman;Times;Serif"/>
          <w:b/>
          <w:i w:val="false"/>
          <w:caps w:val="false"/>
          <w:smallCaps w:val="false"/>
          <w:sz w:val="20"/>
        </w:rPr>
        <w:t>Acquisition Agreements</w:t>
      </w:r>
      <w:r>
        <w:rPr>
          <w:rFonts w:ascii="Times New Roman;Times;Serif" w:hAnsi="Times New Roman;Times;Serif"/>
          <w:b w:val="false"/>
          <w:i w:val="false"/>
          <w:caps w:val="false"/>
          <w:smallCaps w:val="false"/>
          <w:sz w:val="20"/>
        </w:rPr>
        <w:t>”), dated September 21, 2025, by and among the Company, Complete Solar, Inc., Sunder Energy LLC (“</w:t>
      </w:r>
      <w:r>
        <w:rPr>
          <w:rFonts w:ascii="Times New Roman;Times;Serif" w:hAnsi="Times New Roman;Times;Serif"/>
          <w:b/>
          <w:i w:val="false"/>
          <w:caps w:val="false"/>
          <w:smallCaps w:val="false"/>
          <w:sz w:val="20"/>
        </w:rPr>
        <w:t>Sunder</w:t>
      </w:r>
      <w:r>
        <w:rPr>
          <w:rFonts w:ascii="Times New Roman;Times;Serif" w:hAnsi="Times New Roman;Times;Serif"/>
          <w:b w:val="false"/>
          <w:i w:val="false"/>
          <w:caps w:val="false"/>
          <w:smallCaps w:val="false"/>
          <w:sz w:val="20"/>
        </w:rPr>
        <w:t>”) and Chicken Parm Pizza LLC, in connection with our acquisition of Sunder, (iii) up to 50,760,218 shares of common stock (the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issuable upon conversion of our 7% convertible senior notes due 2029 (the “</w:t>
      </w:r>
      <w:r>
        <w:rPr>
          <w:rFonts w:ascii="Times New Roman;Times;Serif" w:hAnsi="Times New Roman;Times;Serif"/>
          <w:b/>
          <w:i w:val="false"/>
          <w:caps w:val="false"/>
          <w:smallCaps w:val="false"/>
          <w:sz w:val="20"/>
        </w:rPr>
        <w:t>7% Notes</w:t>
      </w:r>
      <w:r>
        <w:rPr>
          <w:rFonts w:ascii="Times New Roman;Times;Serif" w:hAnsi="Times New Roman;Times;Serif"/>
          <w:b w:val="false"/>
          <w:i w:val="false"/>
          <w:caps w:val="false"/>
          <w:smallCaps w:val="false"/>
          <w:sz w:val="20"/>
        </w:rPr>
        <w:t>”), and (iv) 1,048,352 shares of common stock held by certain of our former affiliates (the “</w:t>
      </w:r>
      <w:r>
        <w:rPr>
          <w:rFonts w:ascii="Times New Roman;Times;Serif" w:hAnsi="Times New Roman;Times;Serif"/>
          <w:b/>
          <w:i w:val="false"/>
          <w:caps w:val="false"/>
          <w:smallCaps w:val="false"/>
          <w:sz w:val="20"/>
        </w:rPr>
        <w:t>Former Affiliate Shares</w:t>
      </w:r>
      <w:r>
        <w:rPr>
          <w:rFonts w:ascii="Times New Roman;Times;Serif" w:hAnsi="Times New Roman;Times;Serif"/>
          <w:b w:val="false"/>
          <w:i w:val="false"/>
          <w:caps w:val="false"/>
          <w:smallCaps w:val="false"/>
          <w:sz w:val="20"/>
        </w:rPr>
        <w:t>” and, collectively with the Acquisition Shares and the Conversion Shares, the “</w:t>
      </w:r>
      <w:r>
        <w:rPr>
          <w:rFonts w:ascii="Times New Roman;Times;Serif" w:hAnsi="Times New Roman;Times;Serif"/>
          <w:b/>
          <w:i w:val="false"/>
          <w:caps w:val="false"/>
          <w:smallCaps w:val="false"/>
          <w:sz w:val="20"/>
        </w:rPr>
        <w:t>Offered Securities</w:t>
      </w:r>
      <w:r>
        <w:rPr>
          <w:rFonts w:ascii="Times New Roman;Times;Serif" w:hAnsi="Times New Roman;Times;Serif"/>
          <w:b w:val="false"/>
          <w:i w:val="false"/>
          <w:caps w:val="false"/>
          <w:smallCaps w:val="false"/>
          <w:sz w:val="20"/>
        </w:rPr>
        <w:t>”). The Acquisition Shares were issued at the closing of the transactions contemplated by the Transaction Agreements on November 21, 2025, with respect to the acquisition of Ambia, and on September 24, 2025, with respect to the acquisition of Sunder. The 7% Notes were issued in multiple tranches in September 2024, December 2024, in the thirteen week period ended March 30, 2025, and on September 23, 2025. The Former Affiliate Shares were issued previously to former affiliates of Freedom Acquisition I Corp. and its sponsor, Freedom Acquisition I,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“Prospectus Summary” for a description of the Acquisition Agreements, the Ambia Acquisition and the Sunder Acquisition and the 7% Notes and “Selling Securityholders” for additional information regarding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securities under the prospectus or this prospectus supplement and will not receive any of the proceeds from the sale of shares of common stock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sell or otherwise dispose of the shares of common stock described in the prospectus and this prospectus supplement in a number of different ways and at varying prices. See “Plan of Distribution” for more information about how the Selling Securityholders may sell or otherwise dispose of the shares of common stock being registered pursuant to the prospectus and this prospectus supplement. None of the Selling Securityholders are an “underwriter” with respect to the securities registered hereunder within the meaning of Section 2(a)(11) of the Securities Act of 1933,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all brokerage fees and commissions and similar expenses attributable to the sales of its common stock. We will pay the expenses (except brokerage fees and commissions and similar expenses) incurred in registering the shares of common stock offered hereby, including legal and accounting fees.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our common stock are listed on the Nasdaq Global Market (“Nasdaq”) under the symbol “SPWR”. On August 7, 2026, the closing price of our common stock was $0.2675.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complete without, and may not be delivered or utilized except in connection with, the prospectus, including any amendments or supplements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U.S. federal securities laws and, as such, have elected to comply with reduced public company reporting requirements. The prospectus and this prospectus supplement comply with the requirements that apply to an issuer that is an 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a high degree of risk. You should review carefully the risks and uncertainties described in the section titled “Risk Factors” beginning on page 13 of the prospectus, and under similar headings in any amendments or supplements to the prospectus and this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passed upon the accuracy or adequacy of the prospectus and this prospectus supplement.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dated August 10,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CURRENT REPORT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the Securities Exchange Act of 1934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r>
        <w:rPr>
          <w:rFonts w:ascii="Times New Roman;Times;Serif" w:hAnsi="Times New Roman;Times;Serif"/>
          <w:b/>
          <w:i w:val="false"/>
          <w:caps w:val="false"/>
          <w:smallCaps w:val="false"/>
          <w:sz w:val="20"/>
        </w:rPr>
        <w:t>August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SunPower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990" w:type="dxa"/>
        <w:jc w:val="left"/>
        <w:tblInd w:w="0" w:type="dxa"/>
        <w:tblLayout w:type="fixed"/>
        <w:tblCellMar>
          <w:top w:w="0" w:type="dxa"/>
          <w:left w:w="0" w:type="dxa"/>
          <w:bottom w:w="28" w:type="dxa"/>
          <w:right w:w="0" w:type="dxa"/>
        </w:tblCellMar>
      </w:tblPr>
      <w:tblGrid>
        <w:gridCol w:w="2480"/>
        <w:gridCol w:w="60"/>
        <w:gridCol w:w="2615"/>
        <w:gridCol w:w="60"/>
        <w:gridCol w:w="1775"/>
      </w:tblGrid>
      <w:tr>
        <w:trPr/>
        <w:tc>
          <w:tcPr>
            <w:tcW w:w="2480" w:type="dxa"/>
            <w:tcBorders>
              <w:bottom w:val="single" w:sz="12"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615" w:type="dxa"/>
            <w:tcBorders>
              <w:bottom w:val="single" w:sz="12" w:space="0" w:color="000000"/>
            </w:tcBorders>
            <w:vAlign w:val="center"/>
          </w:tcPr>
          <w:p>
            <w:pPr>
              <w:pStyle w:val="TableContents"/>
              <w:bidi w:val="0"/>
              <w:spacing w:before="0" w:after="283"/>
              <w:jc w:val="center"/>
              <w:rPr>
                <w:b/>
              </w:rPr>
            </w:pPr>
            <w:r>
              <w:rPr>
                <w:b/>
              </w:rPr>
              <w:t>001-40117</w:t>
            </w:r>
          </w:p>
        </w:tc>
        <w:tc>
          <w:tcPr>
            <w:tcW w:w="60" w:type="dxa"/>
            <w:tcBorders/>
            <w:tcMar>
              <w:bottom w:w="0" w:type="dxa"/>
            </w:tcMar>
            <w:vAlign w:val="center"/>
          </w:tcPr>
          <w:p>
            <w:pPr>
              <w:pStyle w:val="TableContents"/>
              <w:bidi w:val="0"/>
              <w:spacing w:before="0" w:after="283"/>
              <w:jc w:val="left"/>
              <w:rPr/>
            </w:pPr>
            <w:r>
              <w:rPr/>
              <w:t> </w:t>
            </w:r>
          </w:p>
        </w:tc>
        <w:tc>
          <w:tcPr>
            <w:tcW w:w="1775" w:type="dxa"/>
            <w:tcBorders>
              <w:bottom w:val="single" w:sz="12" w:space="0" w:color="000000"/>
            </w:tcBorders>
            <w:vAlign w:val="center"/>
          </w:tcPr>
          <w:p>
            <w:pPr>
              <w:pStyle w:val="TableContents"/>
              <w:bidi w:val="0"/>
              <w:spacing w:before="0" w:after="283"/>
              <w:jc w:val="center"/>
              <w:rPr>
                <w:b/>
              </w:rPr>
            </w:pPr>
            <w:r>
              <w:rPr>
                <w:b/>
              </w:rPr>
              <w:t>93-2279786</w:t>
            </w:r>
          </w:p>
        </w:tc>
      </w:tr>
      <w:tr>
        <w:trPr/>
        <w:tc>
          <w:tcPr>
            <w:tcW w:w="2480" w:type="dxa"/>
            <w:tcBorders/>
            <w:tcMar>
              <w:bottom w:w="0" w:type="dxa"/>
            </w:tcMar>
            <w:vAlign w:val="center"/>
          </w:tcPr>
          <w:p>
            <w:pPr>
              <w:pStyle w:val="TableContents"/>
              <w:bidi w:val="0"/>
              <w:spacing w:before="0" w:after="283"/>
              <w:jc w:val="center"/>
              <w:rPr/>
            </w:pPr>
            <w:r>
              <w:rPr/>
              <w:t>(State or other jurisdiction</w:t>
              <w:br/>
              <w:t>of incorporation)</w:t>
            </w:r>
          </w:p>
        </w:tc>
        <w:tc>
          <w:tcPr>
            <w:tcW w:w="60" w:type="dxa"/>
            <w:tcBorders/>
            <w:tcMar>
              <w:bottom w:w="0" w:type="dxa"/>
            </w:tcMar>
            <w:vAlign w:val="center"/>
          </w:tcPr>
          <w:p>
            <w:pPr>
              <w:pStyle w:val="TableContents"/>
              <w:bidi w:val="0"/>
              <w:spacing w:before="0" w:after="283"/>
              <w:jc w:val="left"/>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775" w:type="dxa"/>
            <w:tcBorders/>
            <w:tcMar>
              <w:bottom w:w="0" w:type="dxa"/>
            </w:tcMar>
            <w:vAlign w:val="center"/>
          </w:tcPr>
          <w:p>
            <w:pPr>
              <w:pStyle w:val="TableContents"/>
              <w:bidi w:val="0"/>
              <w:spacing w:before="0" w:after="283"/>
              <w:jc w:val="center"/>
              <w:rPr/>
            </w:pPr>
            <w:r>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900" w:type="dxa"/>
        <w:jc w:val="left"/>
        <w:tblInd w:w="0" w:type="dxa"/>
        <w:tblLayout w:type="fixed"/>
        <w:tblCellMar>
          <w:top w:w="0" w:type="dxa"/>
          <w:left w:w="0" w:type="dxa"/>
          <w:bottom w:w="28" w:type="dxa"/>
          <w:right w:w="0" w:type="dxa"/>
        </w:tblCellMar>
      </w:tblPr>
      <w:tblGrid>
        <w:gridCol w:w="3755"/>
        <w:gridCol w:w="60"/>
        <w:gridCol w:w="1085"/>
      </w:tblGrid>
      <w:tr>
        <w:trPr/>
        <w:tc>
          <w:tcPr>
            <w:tcW w:w="3755" w:type="dxa"/>
            <w:tcBorders>
              <w:bottom w:val="single" w:sz="12" w:space="0" w:color="000000"/>
            </w:tcBorders>
            <w:vAlign w:val="center"/>
          </w:tcPr>
          <w:p>
            <w:pPr>
              <w:pStyle w:val="TableContents"/>
              <w:bidi w:val="0"/>
              <w:spacing w:before="0" w:after="283"/>
              <w:jc w:val="center"/>
              <w:rPr>
                <w:b/>
              </w:rPr>
            </w:pPr>
            <w:r>
              <w:rPr>
                <w:b/>
              </w:rPr>
              <w:t>1403 N. Research Way, Orem UT</w:t>
            </w:r>
          </w:p>
        </w:tc>
        <w:tc>
          <w:tcPr>
            <w:tcW w:w="60" w:type="dxa"/>
            <w:tcBorders/>
            <w:tcMar>
              <w:bottom w:w="0" w:type="dxa"/>
            </w:tcMar>
            <w:vAlign w:val="center"/>
          </w:tcPr>
          <w:p>
            <w:pPr>
              <w:pStyle w:val="TableContents"/>
              <w:bidi w:val="0"/>
              <w:spacing w:before="0" w:after="283"/>
              <w:jc w:val="center"/>
              <w:rPr/>
            </w:pPr>
            <w:r>
              <w:rPr/>
              <w:t> </w:t>
            </w:r>
          </w:p>
        </w:tc>
        <w:tc>
          <w:tcPr>
            <w:tcW w:w="1085" w:type="dxa"/>
            <w:tcBorders>
              <w:bottom w:val="single" w:sz="12" w:space="0" w:color="000000"/>
            </w:tcBorders>
            <w:vAlign w:val="center"/>
          </w:tcPr>
          <w:p>
            <w:pPr>
              <w:pStyle w:val="TableContents"/>
              <w:bidi w:val="0"/>
              <w:spacing w:before="0" w:after="283"/>
              <w:jc w:val="center"/>
              <w:rPr>
                <w:b/>
              </w:rPr>
            </w:pPr>
            <w:r>
              <w:rPr>
                <w:b/>
              </w:rPr>
              <w:t>84097</w:t>
            </w:r>
          </w:p>
        </w:tc>
      </w:tr>
      <w:tr>
        <w:trPr/>
        <w:tc>
          <w:tcPr>
            <w:tcW w:w="3755" w:type="dxa"/>
            <w:tcBorders/>
            <w:tcMar>
              <w:bottom w:w="0" w:type="dxa"/>
            </w:tcMar>
            <w:vAlign w:val="center"/>
          </w:tcPr>
          <w:p>
            <w:pPr>
              <w:pStyle w:val="TableContents"/>
              <w:bidi w:val="0"/>
              <w:spacing w:before="0" w:after="283"/>
              <w:jc w:val="center"/>
              <w:rPr/>
            </w:pPr>
            <w:r>
              <w:rPr/>
              <w:t>(Address of principal executive offices)</w:t>
            </w:r>
          </w:p>
        </w:tc>
        <w:tc>
          <w:tcPr>
            <w:tcW w:w="60" w:type="dxa"/>
            <w:tcBorders/>
            <w:tcMar>
              <w:bottom w:w="0" w:type="dxa"/>
            </w:tcMar>
            <w:vAlign w:val="center"/>
          </w:tcPr>
          <w:p>
            <w:pPr>
              <w:pStyle w:val="TableContents"/>
              <w:bidi w:val="0"/>
              <w:spacing w:before="0" w:after="283"/>
              <w:jc w:val="center"/>
              <w:rPr/>
            </w:pPr>
            <w:r>
              <w:rPr/>
              <w:t> </w:t>
            </w:r>
          </w:p>
        </w:tc>
        <w:tc>
          <w:tcPr>
            <w:tcW w:w="1085" w:type="dxa"/>
            <w:tcBorders/>
            <w:tcMar>
              <w:bottom w:w="0" w:type="dxa"/>
            </w:tcMar>
            <w:vAlign w:val="center"/>
          </w:tcPr>
          <w:p>
            <w:pPr>
              <w:pStyle w:val="TableContents"/>
              <w:bidi w:val="0"/>
              <w:spacing w:before="0" w:after="283"/>
              <w:jc w:val="center"/>
              <w:rPr/>
            </w:pPr>
            <w:r>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(877) 299-4943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45700 Northport Loop East, Fremont CA 94538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obligations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45"/>
        <w:gridCol w:w="8585"/>
      </w:tblGrid>
      <w:tr>
        <w:trPr/>
        <w:tc>
          <w:tcPr>
            <w:tcW w:w="245" w:type="dxa"/>
            <w:tcBorders/>
            <w:vAlign w:val="center"/>
          </w:tcPr>
          <w:p>
            <w:pPr>
              <w:pStyle w:val="TableContents"/>
              <w:bidi w:val="0"/>
              <w:spacing w:before="0" w:after="283"/>
              <w:jc w:val="left"/>
              <w:rPr/>
            </w:pPr>
            <w:r>
              <w:rPr/>
              <w:t>☐</w:t>
            </w:r>
          </w:p>
        </w:tc>
        <w:tc>
          <w:tcPr>
            <w:tcW w:w="8585" w:type="dxa"/>
            <w:tcBorders/>
            <w:vAlign w:val="center"/>
          </w:tcPr>
          <w:p>
            <w:pPr>
              <w:pStyle w:val="TableContents"/>
              <w:bidi w:val="0"/>
              <w:spacing w:before="0" w:after="283"/>
              <w:jc w:val="both"/>
              <w:rPr/>
            </w:pPr>
            <w:r>
              <w:rPr/>
              <w:t> </w:t>
            </w: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60" w:type="dxa"/>
        <w:jc w:val="left"/>
        <w:tblInd w:w="0" w:type="dxa"/>
        <w:tblLayout w:type="fixed"/>
        <w:tblCellMar>
          <w:top w:w="0" w:type="dxa"/>
          <w:left w:w="0" w:type="dxa"/>
          <w:bottom w:w="0" w:type="dxa"/>
          <w:right w:w="0" w:type="dxa"/>
        </w:tblCellMar>
      </w:tblPr>
      <w:tblGrid>
        <w:gridCol w:w="245"/>
        <w:gridCol w:w="8615"/>
      </w:tblGrid>
      <w:tr>
        <w:trPr/>
        <w:tc>
          <w:tcPr>
            <w:tcW w:w="245" w:type="dxa"/>
            <w:tcBorders/>
            <w:vAlign w:val="center"/>
          </w:tcPr>
          <w:p>
            <w:pPr>
              <w:pStyle w:val="TableContents"/>
              <w:bidi w:val="0"/>
              <w:spacing w:before="0" w:after="283"/>
              <w:jc w:val="left"/>
              <w:rPr/>
            </w:pPr>
            <w:r>
              <w:rPr/>
              <w:t>☐</w:t>
            </w:r>
          </w:p>
        </w:tc>
        <w:tc>
          <w:tcPr>
            <w:tcW w:w="8615" w:type="dxa"/>
            <w:tcBorders/>
            <w:vAlign w:val="center"/>
          </w:tcPr>
          <w:p>
            <w:pPr>
              <w:pStyle w:val="TableContents"/>
              <w:bidi w:val="0"/>
              <w:spacing w:before="0" w:after="283"/>
              <w:jc w:val="both"/>
              <w:rPr/>
            </w:pPr>
            <w:r>
              <w:rPr/>
              <w:t> </w:t>
            </w: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t> </w:t>
            </w: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029"/>
        <w:gridCol w:w="60"/>
        <w:gridCol w:w="1412"/>
        <w:gridCol w:w="60"/>
        <w:gridCol w:w="2644"/>
      </w:tblGrid>
      <w:tr>
        <w:trPr/>
        <w:tc>
          <w:tcPr>
            <w:tcW w:w="6029"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412"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2644"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Common Stock, par value $0.0001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Global Market</w:t>
            </w:r>
          </w:p>
        </w:tc>
      </w:tr>
      <w:tr>
        <w:trPr/>
        <w:tc>
          <w:tcPr>
            <w:tcW w:w="602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1412"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center"/>
              <w:rPr/>
            </w:pPr>
            <w:r>
              <w:rPr/>
              <w:t> </w:t>
            </w:r>
          </w:p>
        </w:tc>
        <w:tc>
          <w:tcPr>
            <w:tcW w:w="2644" w:type="dxa"/>
            <w:tcBorders/>
            <w:shd w:fill="FFFFFF" w:val="clear"/>
            <w:tcMar>
              <w:bottom w:w="0" w:type="dxa"/>
            </w:tcMar>
            <w:vAlign w:val="center"/>
          </w:tcPr>
          <w:p>
            <w:pPr>
              <w:pStyle w:val="TableContents"/>
              <w:bidi w:val="0"/>
              <w:spacing w:before="0" w:after="283"/>
              <w:jc w:val="center"/>
              <w:rPr/>
            </w:pPr>
            <w:r>
              <w:rPr/>
              <w:t> </w:t>
            </w:r>
          </w:p>
        </w:tc>
      </w:tr>
      <w:tr>
        <w:trPr/>
        <w:tc>
          <w:tcPr>
            <w:tcW w:w="6029" w:type="dxa"/>
            <w:tcBorders/>
            <w:shd w:fill="CCEEFF" w:val="clear"/>
            <w:tcMar>
              <w:bottom w:w="0" w:type="dxa"/>
            </w:tcMar>
            <w:vAlign w:val="center"/>
          </w:tcPr>
          <w:p>
            <w:pPr>
              <w:pStyle w:val="TableContents"/>
              <w:bidi w:val="0"/>
              <w:spacing w:before="0" w:after="283"/>
              <w:jc w:val="center"/>
              <w:rPr>
                <w:b/>
              </w:rPr>
            </w:pPr>
            <w:r>
              <w:rPr>
                <w:b/>
              </w:rPr>
              <w:t>Warrants, each whole warrant exercisable for one share of Common Stock at an exercise price of $11.50 per share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412" w:type="dxa"/>
            <w:tcBorders/>
            <w:shd w:fill="CCEEFF" w:val="clear"/>
            <w:tcMar>
              <w:bottom w:w="0" w:type="dxa"/>
            </w:tcMar>
            <w:vAlign w:val="center"/>
          </w:tcPr>
          <w:p>
            <w:pPr>
              <w:pStyle w:val="TableContents"/>
              <w:bidi w:val="0"/>
              <w:spacing w:before="0" w:after="283"/>
              <w:jc w:val="center"/>
              <w:rPr>
                <w:b/>
              </w:rPr>
            </w:pPr>
            <w:r>
              <w:rPr>
                <w:b/>
              </w:rPr>
              <w:t>SPWRW</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2644" w:type="dxa"/>
            <w:tcBorders/>
            <w:shd w:fill="CCEEFF" w:val="clear"/>
            <w:tcMar>
              <w:bottom w:w="0" w:type="dxa"/>
            </w:tcMar>
            <w:vAlign w:val="center"/>
          </w:tcPr>
          <w:p>
            <w:pPr>
              <w:pStyle w:val="TableContents"/>
              <w:bidi w:val="0"/>
              <w:spacing w:before="0" w:after="283"/>
              <w:jc w:val="center"/>
              <w:rPr>
                <w:b/>
              </w:rPr>
            </w:pPr>
            <w:r>
              <w:rPr>
                <w:b/>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1.01</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4, 2026, SunPower Inc. (the “Company”) entered into a simple agreement for future equity (the “SAFE”) with an institutional investor in connection with its investment of $3,500,000 (the “Purchase Amount”) in the Company. The SAFE is convertible into equity securities of the Company in an amount equal to the Purchase Amount divided by the applicable price per share, unit or other increment of the securities issued by the Company in its next equity financing transaction, and without any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3.02.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Unregistered Sales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disclosure set forth above in Item 1.01 of this Current Report on Form 8-K relating to the issuance of the SAFE is incorporated by reference herein in its entirety. The offer and sale of the SAFE was made in reliance upon the exemption from registration contained in Section 4(a)(2) of the Securities Act of 1933,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980" w:type="dxa"/>
        <w:jc w:val="left"/>
        <w:tblInd w:w="0" w:type="dxa"/>
        <w:tblLayout w:type="fixed"/>
        <w:tblCellMar>
          <w:top w:w="0" w:type="dxa"/>
          <w:left w:w="0" w:type="dxa"/>
          <w:bottom w:w="0" w:type="dxa"/>
          <w:right w:w="0" w:type="dxa"/>
        </w:tblCellMar>
      </w:tblPr>
      <w:tblGrid>
        <w:gridCol w:w="2315"/>
        <w:gridCol w:w="365"/>
        <w:gridCol w:w="2300"/>
      </w:tblGrid>
      <w:tr>
        <w:trPr/>
        <w:tc>
          <w:tcPr>
            <w:tcW w:w="2315" w:type="dxa"/>
            <w:tcBorders/>
            <w:vAlign w:val="center"/>
          </w:tcPr>
          <w:p>
            <w:pPr>
              <w:pStyle w:val="TableContents"/>
              <w:bidi w:val="0"/>
              <w:spacing w:before="0" w:after="283"/>
              <w:ind w:left="0" w:right="0" w:hanging="200"/>
              <w:jc w:val="left"/>
              <w:rPr/>
            </w:pPr>
            <w:r>
              <w:rPr/>
              <w:t> </w:t>
            </w:r>
          </w:p>
        </w:tc>
        <w:tc>
          <w:tcPr>
            <w:tcW w:w="2665" w:type="dxa"/>
            <w:gridSpan w:val="2"/>
            <w:tcBorders/>
            <w:vAlign w:val="center"/>
          </w:tcPr>
          <w:p>
            <w:pPr>
              <w:pStyle w:val="TableContents"/>
              <w:bidi w:val="0"/>
              <w:spacing w:before="0" w:after="283"/>
              <w:ind w:left="0" w:right="0" w:hanging="200"/>
              <w:jc w:val="left"/>
              <w:rPr>
                <w:b/>
                <w:smallCaps/>
              </w:rPr>
            </w:pPr>
            <w:r>
              <w:rPr>
                <w:b/>
                <w:smallCaps/>
              </w:rPr>
              <w:t>SunPower Inc.</w:t>
            </w:r>
          </w:p>
        </w:tc>
      </w:tr>
      <w:tr>
        <w:trPr/>
        <w:tc>
          <w:tcPr>
            <w:tcW w:w="2315" w:type="dxa"/>
            <w:tcBorders/>
            <w:vAlign w:val="center"/>
          </w:tcPr>
          <w:p>
            <w:pPr>
              <w:pStyle w:val="TableContents"/>
              <w:bidi w:val="0"/>
              <w:spacing w:before="0" w:after="283"/>
              <w:jc w:val="left"/>
              <w:rPr/>
            </w:pPr>
            <w:r>
              <w:rPr/>
              <w:t>Dated: August 10, 2026</w:t>
            </w:r>
          </w:p>
        </w:tc>
        <w:tc>
          <w:tcPr>
            <w:tcW w:w="2665" w:type="dxa"/>
            <w:gridSpan w:val="2"/>
            <w:tcBorders/>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283"/>
              <w:ind w:left="0" w:right="0" w:hanging="200"/>
              <w:jc w:val="left"/>
              <w:rPr/>
            </w:pPr>
            <w:r>
              <w:rPr/>
              <w:t> </w:t>
            </w:r>
          </w:p>
        </w:tc>
        <w:tc>
          <w:tcPr>
            <w:tcW w:w="365" w:type="dxa"/>
            <w:tcBorders/>
            <w:vAlign w:val="center"/>
          </w:tcPr>
          <w:p>
            <w:pPr>
              <w:pStyle w:val="TableContents"/>
              <w:bidi w:val="0"/>
              <w:spacing w:before="0" w:after="283"/>
              <w:jc w:val="left"/>
              <w:rPr/>
            </w:pPr>
            <w:r>
              <w:rPr/>
              <w:t>By:</w:t>
            </w:r>
          </w:p>
        </w:tc>
        <w:tc>
          <w:tcPr>
            <w:tcW w:w="2300" w:type="dxa"/>
            <w:tcBorders>
              <w:bottom w:val="single" w:sz="12" w:space="0" w:color="000000"/>
            </w:tcBorders>
            <w:tcMar>
              <w:bottom w:w="28" w:type="dxa"/>
            </w:tcMar>
            <w:vAlign w:val="center"/>
          </w:tcPr>
          <w:p>
            <w:pPr>
              <w:pStyle w:val="TableContents"/>
              <w:bidi w:val="0"/>
              <w:spacing w:before="0" w:after="283"/>
              <w:jc w:val="left"/>
              <w:rPr/>
            </w:pPr>
            <w:r>
              <w:rPr/>
              <w:t>/s/ 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Thurman J. Rodgers</w:t>
            </w:r>
          </w:p>
        </w:tc>
      </w:tr>
      <w:tr>
        <w:trPr/>
        <w:tc>
          <w:tcPr>
            <w:tcW w:w="231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ind w:left="0" w:right="0" w:hanging="200"/>
              <w:jc w:val="left"/>
              <w:rPr/>
            </w:pPr>
            <w:r>
              <w:rPr/>
              <w:t> </w:t>
            </w:r>
          </w:p>
        </w:tc>
        <w:tc>
          <w:tcPr>
            <w:tcW w:w="2300"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1453</Words>
  <Characters>8064</Characters>
  <CharactersWithSpaces>9525</CharactersWithSpaces>
  <Paragraphs>156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