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9" w:lineRule="exact"/>
        <w:rPr>
          <w:rFonts w:ascii="MS PGothic" w:cs="MS PGothic" w:eastAsia="MS PGothic" w:hAnsi="MS PGothic"/>
          <w:sz w:val="18"/>
          <w:szCs w:val="18"/>
          <w:color w:val="auto"/>
        </w:rPr>
      </w:pPr>
    </w:p>
    <w:p>
      <w:pPr>
        <w:ind w:left="39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quarterly period ended March 31, 2024</w:t>
      </w:r>
    </w:p>
    <w:p>
      <w:pPr>
        <w:spacing w:after="0" w:line="22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4120"/>
        <w:spacing w:after="0"/>
        <w:tabs>
          <w:tab w:leader="none" w:pos="6260" w:val="left"/>
          <w:tab w:leader="none" w:pos="6960" w:val="left"/>
        </w:tabs>
        <w:rPr>
          <w:sz w:val="20"/>
          <w:szCs w:val="20"/>
          <w:color w:val="auto"/>
        </w:rPr>
      </w:pPr>
      <w:r>
        <w:rPr>
          <w:rFonts w:ascii="Times New Roman" w:cs="Times New Roman" w:eastAsia="Times New Roman" w:hAnsi="Times New Roman"/>
          <w:sz w:val="18"/>
          <w:szCs w:val="18"/>
          <w:color w:val="auto"/>
        </w:rPr>
        <w:t>For the transition period</w:t>
      </w:r>
      <w:r>
        <w:rPr>
          <w:sz w:val="20"/>
          <w:szCs w:val="20"/>
          <w:color w:val="auto"/>
        </w:rPr>
        <w:tab/>
      </w: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color w:val="auto"/>
        </w:rPr>
        <w:t>to</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001-40117</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93-2279786</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 (I.R.S.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45700 Northport Loop East, Fremont, CA 94538</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(510) 270-2507</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CSLR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6"/>
              </w:rPr>
              <w:t>CSLRW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exercisable for one common stock</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62" w:lineRule="exact"/>
        <w:rPr>
          <w:sz w:val="24"/>
          <w:szCs w:val="24"/>
          <w:color w:val="auto"/>
        </w:rPr>
      </w:pPr>
    </w:p>
    <w:p>
      <w:pPr>
        <w:jc w:val="both"/>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2024, 49,096,537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50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00" w:type="dxa"/>
            <w:vAlign w:val="bottom"/>
            <w:gridSpan w:val="10"/>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COMPLETE SOLARIA, INC. AND SUBSIDIARIES</w:t>
            </w:r>
          </w:p>
        </w:tc>
        <w:tc>
          <w:tcPr>
            <w:tcW w:w="60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10"/>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r>
      <w:tr>
        <w:trPr>
          <w:trHeight w:val="459"/>
        </w:trPr>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89"/>
        </w:trPr>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80" w:type="dxa"/>
            <w:vAlign w:val="bottom"/>
            <w:tcBorders>
              <w:bottom w:val="single" w:sz="8" w:color="0000EE"/>
            </w:tcBorders>
            <w:gridSpan w:val="12"/>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5800" w:type="dxa"/>
            <w:vAlign w:val="bottom"/>
            <w:tcBorders>
              <w:bottom w:val="single" w:sz="8" w:color="CCEEFF"/>
            </w:tcBorders>
            <w:gridSpan w:val="8"/>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Summary Risk Factors</w:t>
            </w:r>
          </w:p>
        </w:tc>
        <w:tc>
          <w:tcPr>
            <w:tcW w:w="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3"/>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320" w:type="dxa"/>
            <w:vAlign w:val="bottom"/>
            <w:gridSpan w:val="2"/>
            <w:shd w:val="clear" w:color="auto" w:fill="CCEEFF"/>
          </w:tcPr>
          <w:p>
            <w:pPr>
              <w:spacing w:after="0"/>
              <w:rPr>
                <w:sz w:val="19"/>
                <w:szCs w:val="19"/>
                <w:color w:val="auto"/>
              </w:rPr>
            </w:pP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6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20" w:type="dxa"/>
            <w:vAlign w:val="bottom"/>
            <w:tcBorders>
              <w:top w:val="single" w:sz="8" w:color="CCEEFF"/>
            </w:tcBorders>
            <w:gridSpan w:val="2"/>
          </w:tcPr>
          <w:p>
            <w:pPr>
              <w:spacing w:after="0"/>
              <w:rPr>
                <w:sz w:val="15"/>
                <w:szCs w:val="15"/>
                <w:color w:val="auto"/>
              </w:rPr>
            </w:pPr>
          </w:p>
        </w:tc>
        <w:tc>
          <w:tcPr>
            <w:tcW w:w="23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300" w:type="dxa"/>
            <w:vAlign w:val="bottom"/>
            <w:tcBorders>
              <w:top w:val="single" w:sz="8" w:color="CCEEFF"/>
            </w:tcBorders>
            <w:gridSpan w:val="10"/>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6"/>
        </w:trPr>
        <w:tc>
          <w:tcPr>
            <w:tcW w:w="6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(Loss)</w:t>
            </w:r>
          </w:p>
        </w:tc>
        <w:tc>
          <w:tcPr>
            <w:tcW w:w="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Stockholders’ Deficit</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6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00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4680" w:type="dxa"/>
            <w:vAlign w:val="bottom"/>
            <w:tcBorders>
              <w:top w:val="single" w:sz="8" w:color="CCEEFF"/>
            </w:tcBorders>
            <w:gridSpan w:val="3"/>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5"/>
        </w:trPr>
        <w:tc>
          <w:tcPr>
            <w:tcW w:w="6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96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380" w:type="dxa"/>
            <w:vAlign w:val="bottom"/>
            <w:tcBorders>
              <w:top w:val="single" w:sz="8" w:color="CCEEFF"/>
            </w:tcBorders>
            <w:gridSpan w:val="6"/>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75"/>
        </w:trPr>
        <w:tc>
          <w:tcPr>
            <w:tcW w:w="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6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6"/>
        </w:trPr>
        <w:tc>
          <w:tcPr>
            <w:tcW w:w="96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8360" w:type="dxa"/>
            <w:vAlign w:val="bottom"/>
            <w:tcBorders>
              <w:top w:val="single" w:sz="8" w:color="CCEEFF"/>
            </w:tcBorders>
            <w:gridSpan w:val="16"/>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6"/>
        </w:trPr>
        <w:tc>
          <w:tcPr>
            <w:tcW w:w="96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340" w:type="dxa"/>
            <w:vAlign w:val="bottom"/>
            <w:tcBorders>
              <w:top w:val="single" w:sz="8" w:color="CCEEFF"/>
            </w:tcBorders>
            <w:gridSpan w:val="5"/>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96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920" w:type="dxa"/>
            <w:vAlign w:val="bottom"/>
            <w:tcBorders>
              <w:top w:val="single" w:sz="8" w:color="CCEEFF"/>
            </w:tcBorders>
            <w:gridSpan w:val="13"/>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6"/>
        </w:trPr>
        <w:tc>
          <w:tcPr>
            <w:tcW w:w="96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3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87" w:lineRule="exact"/>
        <w:rPr>
          <w:sz w:val="20"/>
          <w:szCs w:val="20"/>
          <w:color w:val="auto"/>
        </w:rPr>
      </w:pPr>
    </w:p>
    <w:p>
      <w:pPr>
        <w:ind w:left="980" w:right="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Business Combination (as defined below), which may be affected by, among other things, competition and our ability to grow and manage growth profitably following the closing of the Business Combination;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following the Business Combination, including financial projections and business metrics;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expectations of new and current customers, and our ability to achieve market acceptance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with respect to market opportunity and market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meet customers’ compliance and regulatory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its brand and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and the resulting impact demand, and our ability to plan for and respond to the impact of those changes;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its operations and future growth;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left="3804"/>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identified conditions that raise substantial doubt about our ability to continue as a going concern.</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in part on the availability of rebates, tax credits and other financial incentives. The expiration, elimination or reduction of these rebates, credits or incentives or the ability to monetize them could adversely impact the business.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policies and changes to these regulations and policies may present technical, regulatory, and economic barriers to the purchase and use of solar power products, which may significantly reduce demand for our products and services.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highly complex global supply chain, including from disruptions, delays, trade tensions, or shortages.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warranties for solar system installations, solar panels, and other system components that may negatively impact overall profitability.</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third-party sales and installation partners whose performance could result in sales and installation delays, cancellations, and loss of market share.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solar system installation and connection delays, including the potential for recoupment or clawback of payments by financing partners.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general economic environment and any market pressure that would drive down the average selling prices of solar power products, among other factors, we may be unable to generate sufficient cash flows or obtain access to external financing necessary to fund operations and make adequate capital investments as planned.</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may be unable to achieve or sustain profitability in the future.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certain markets, including California, putting us at risk of region-specific disruptions.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sales contracts for a significant portion of revenues, and the loss of any customer or cancellation of any contract may cause significant fluctuations or declines in revenues.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controls over financial reporting. If we cannot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COMPLETE SOLARIA,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20,939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5,776</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3,829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4,495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40,850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47,322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24,893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payable,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29,365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debt with CS Solis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35,840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33,280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SAFE Agreements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9,409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3,877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125,929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and 1,000,000,000 shares as of March 31, 2024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 issued and outstanding 49,096,537 and 49,065,361 shares as of March 31, 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279,332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277, 965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(364,516)</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(354,928)</w:t>
            </w: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47,322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Thirteen-Weeks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7,757</w:t>
            </w: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1,618</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5,093</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9,827</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15,273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(3,568)</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1,519</w:t>
            </w: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continuing operations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(7,805</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from continuing operations per share attributable to common stockholders,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from discontinued operations per share attributable to common stockholders, basic and diluted</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common stockholders’, basic and diluted</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49,077,330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25,200,347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1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Thirteen-Weeks Ended March 31, 2024</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9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120" w:type="dxa"/>
            <w:vAlign w:val="bottom"/>
            <w:tcBorders>
              <w:right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Redeemable Convertible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59"/>
        </w:trPr>
        <w:tc>
          <w:tcPr>
            <w:tcW w:w="2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tcBorders>
              <w:right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tcPr>
          <w:p>
            <w:pPr>
              <w:spacing w:after="0"/>
              <w:rPr>
                <w:sz w:val="22"/>
                <w:szCs w:val="22"/>
                <w:color w:val="auto"/>
              </w:rPr>
            </w:pPr>
          </w:p>
        </w:tc>
        <w:tc>
          <w:tcPr>
            <w:tcW w:w="1560" w:type="dxa"/>
            <w:vAlign w:val="bottom"/>
            <w:gridSpan w:val="4"/>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22"/>
                <w:szCs w:val="2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0"/>
                <w:szCs w:val="20"/>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0"/>
        </w:trPr>
        <w:tc>
          <w:tcPr>
            <w:tcW w:w="23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49,065,361</w:t>
            </w:r>
          </w:p>
        </w:tc>
        <w:tc>
          <w:tcPr>
            <w:tcW w:w="20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277,965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(354,928)</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(76,813)</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common stock</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31,176</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(9,588)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(9,588)</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3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49,096,537</w:t>
            </w:r>
          </w:p>
        </w:tc>
        <w:tc>
          <w:tcPr>
            <w:tcW w:w="200" w:type="dxa"/>
            <w:vAlign w:val="bottom"/>
          </w:tcPr>
          <w:p>
            <w:pPr>
              <w:spacing w:after="0"/>
              <w:rPr>
                <w:sz w:val="20"/>
                <w:szCs w:val="20"/>
                <w:color w:val="auto"/>
              </w:rPr>
            </w:pPr>
          </w:p>
        </w:tc>
        <w:tc>
          <w:tcPr>
            <w:tcW w:w="46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279,332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(364,516</w:t>
            </w:r>
          </w:p>
        </w:tc>
        <w:tc>
          <w:tcPr>
            <w:tcW w:w="140" w:type="dxa"/>
            <w:vAlign w:val="bottom"/>
            <w:vMerge w:val="continue"/>
          </w:tcPr>
          <w:p>
            <w:pPr>
              <w:spacing w:after="0"/>
              <w:rPr>
                <w:sz w:val="20"/>
                <w:szCs w:val="20"/>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(85,079</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10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2120" w:type="dxa"/>
            <w:vAlign w:val="bottom"/>
            <w:tcBorders>
              <w:right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Redeemable Convertible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59"/>
        </w:trPr>
        <w:tc>
          <w:tcPr>
            <w:tcW w:w="2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tcBorders>
              <w:right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80" w:type="dxa"/>
            <w:vAlign w:val="bottom"/>
          </w:tcPr>
          <w:p>
            <w:pPr>
              <w:spacing w:after="0"/>
              <w:rPr>
                <w:sz w:val="22"/>
                <w:szCs w:val="22"/>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22"/>
                <w:szCs w:val="2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7"/>
        </w:trPr>
        <w:tc>
          <w:tcPr>
            <w:tcW w:w="2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0"/>
                <w:szCs w:val="20"/>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0"/>
        </w:trPr>
        <w:tc>
          <w:tcPr>
            <w:tcW w:w="23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34,311,133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155,630</w:t>
            </w:r>
          </w:p>
        </w:tc>
        <w:tc>
          <w:tcPr>
            <w:tcW w:w="80" w:type="dxa"/>
            <w:vAlign w:val="bottom"/>
            <w:tcBorders>
              <w:right w:val="single" w:sz="8" w:color="CCEEFF"/>
            </w:tcBorders>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6,959,618</w:t>
            </w:r>
          </w:p>
        </w:tc>
        <w:tc>
          <w:tcPr>
            <w:tcW w:w="46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34,997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(85,373)</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(50,349)</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(34,311,133)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(155,630)</w:t>
            </w:r>
          </w:p>
        </w:tc>
        <w:tc>
          <w:tcPr>
            <w:tcW w:w="80" w:type="dxa"/>
            <w:vAlign w:val="bottom"/>
          </w:tcPr>
          <w:p>
            <w:pPr>
              <w:spacing w:after="0"/>
              <w:rPr>
                <w:sz w:val="22"/>
                <w:szCs w:val="22"/>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12,972,811</w:t>
            </w:r>
          </w:p>
        </w:tc>
        <w:tc>
          <w:tcPr>
            <w:tcW w:w="46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155,627</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155,630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3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 December 31,</w:t>
            </w: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as adjusted</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19,932,429</w:t>
            </w:r>
          </w:p>
        </w:tc>
        <w:tc>
          <w:tcPr>
            <w:tcW w:w="4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190,624</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(85,373)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(105,281)</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common stock</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137,452</w:t>
            </w:r>
          </w:p>
        </w:tc>
        <w:tc>
          <w:tcPr>
            <w:tcW w:w="46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(23,514)</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(23,514)</w:t>
            </w:r>
          </w:p>
        </w:tc>
        <w:tc>
          <w:tcPr>
            <w:tcW w:w="0" w:type="dxa"/>
            <w:vAlign w:val="bottom"/>
          </w:tcPr>
          <w:p>
            <w:pPr>
              <w:spacing w:after="0"/>
              <w:rPr>
                <w:sz w:val="1"/>
                <w:szCs w:val="1"/>
                <w:color w:val="auto"/>
              </w:rPr>
            </w:pPr>
          </w:p>
        </w:tc>
      </w:tr>
      <w:tr>
        <w:trPr>
          <w:trHeight w:val="167"/>
        </w:trPr>
        <w:tc>
          <w:tcPr>
            <w:tcW w:w="232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as of April 2, 2023,</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right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20,069,881</w:t>
            </w:r>
          </w:p>
        </w:tc>
        <w:tc>
          <w:tcPr>
            <w:tcW w:w="460" w:type="dxa"/>
            <w:vAlign w:val="bottom"/>
          </w:tcPr>
          <w:p>
            <w:pPr>
              <w:jc w:val="right"/>
              <w:ind w:right="30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191,701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(108,887)</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net of tax</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1,008</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 for excess and obsolete inventory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forward purchase agreement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(7,246)</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debt in CS Solis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(4,946)</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(16,116)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(16,278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from continuing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 from continuing operations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notes payable,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 of notes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SAFE agreements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4,726</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15,554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6,416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Complete Solaria, Inc. (the “Company” or “Complete Solaria”) is a residential solar installer headquartered in Fremont, California, which was formed through Complete Solar Holding Corporation’s acquisition of The Solaria Corporation (“Solaria”).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The capitalization structure was not changed because of the Reorganization as all shares of Complete Solar, Inc common stock and preferred stock were exchanged on a one for one basis with shares of Complete Solar Holdings common stock and preferred stock. The Reorganization was accounted for as a change in reporting entity for entities under common control. The historical assets and liabilities of Complete Solar, Inc. were transferred to Complete Solar Holdings at their carrying value, and there were no changes to net income, other comprehensive income (loss), or any related per share amounts reported in the unaudited condensed consolidated financial statements requiring retrospective application.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Complete Solar Holding Corporation, a Delaware corporation, and Solaria, a Delaware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transactions contemplated by the Amended and Restated Business Combination Agreement were consummated on July 18, 2023 (“Closing Date”). Following the consummation of the Merger on the Closing Date, FACT changed its name to “Complete Solaria, Inc.”</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transactions contemplated by the Amended and Restated Business Combination Agreement, FACT effected a deregistration under the Cayman Islands Companies Act and a domestication under Section 388 of the Delaware’s General Corporation Law (the “DGCL” or “Domestication”). On the Closing Date, following the Domestication, First Merger Sub merged with and into Complete Solaria, with Complete Solaria surviving such merger as a wholly owned subsidiary of FACT (the “First Merger”), and immediately following the First Merger, Complete Solaria merged with and into Second Merger Sub, with Second Merger Sub surviving as a wholly 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closing of the Mergers: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Company’s capital stock, inclusive of shares converted from the 2022 Convertible Notes, issued and outstanding immediately prior to the Closing (“Legacy Complete Solaria Capital Stock”) were cancelled and exchanged into an aggregate of 25,494,332 shares of Complete Solaria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both"/>
        <w:ind w:left="980" w:hanging="324"/>
        <w:spacing w:after="0" w:line="253"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(i) 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the Forward Purchase Agreements (“FPAs”). Subsequent to the Closing Date, Complete Solaria entered into an additional FPA Funding PIPE Subscription Agreement with Meteora, to subscribe for and purchase, and Complete Solaria agreed to issue and sell, an aggregate of 420,000 shares of Complete Solaria Common Stock. The Company issued shares of Complete Solaria Common Stock underlying the FPAs as of the latter of the closing of the Mergers or execution of the FPAs.</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certain investors (the “PIPE Investors”) purchased from the Company an aggregate of 1,570,000 shares of Complete Solaria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Complete Solaria issued an additional 60,000 shares to certain investors as an incentive to participate in the PIPE Financing.</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around the Closing Date, pursuant to the New Money PIPE Subscription Agreements, certain investors affiliated with the New Money PIPE Subscription Agreements (“New Money PIPE Investors”) agreed to subscribe for and purchase, and Complete Solaria agreed to issue and sell to the New Money PIPE Investors an aggregate of 120,000 shares of Complete Solaria Common Stock for a purchase price of $5.00 per share, for aggregate gross proceeds of $0.6 million. Pursuant to its New Money PIPE Subscription Agreement, Complete Solaria issued an additional 60,000 shares of Complete Solaria Common Stock in consideration of certain services provided by it in the structuring of its FPA and the transactions described therein.</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Closing, Complete Solaria issued an additional 193,976 shares of Complete Solaria Common Stock to the sponsors for reimbursing sponsors’ transfer to certain counterparties and issued an additional 150,000 shares of Complete Solaria Common Stock to an FPA investor for services provided in connection with the Mergers.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one-for-one basis, into one share of Complete Solaria Common Stock.</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FACT Class B Ordinary Share converted, on a one-for-one basis, into one share of Complete Solaria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Complete Solar Holdings acquired Solaria and changed its name to Complete Solaria, Inc. On August 18, 2023, the Company entered into a Non-Binding Letter of Intent to sell certain of Complete Solaria’s North American solar panel assets to Maxeon, Inc. (“Maxeon”). In October 2023, the Company completed the sale of its solar panel business to Maxeon. Refer to Note 1(b) – Divestiture and Note 7 – Divestiture.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(b) Divestiture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the Company completed the sale of its solar panel business to Maxeon, pursuant to the terms of the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 As of December 31, 2023, the Company sold all its Maxeon shares and recorded a loss of $4.2 million in its unaudited condensed consolidated statements of operations and comprehensive loss within loss from continuing operations.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divestiture represented a strategic shift in Complete Solaria’s business and qualified as held for sale and as a discontinued operation. Based on the held for sale classification of the assets, the Company reduced the carrying value of the disposal group to its fair value, less its cost to sell and recorded an impairment loss associated with the held for sale intangible assets and goodwill. As a result, the Company classified the results of its solar panel business in discontinued operations in its unaudited condensed consolidated statements of operations and comprehensive loss for all periods presented. The cash flows related to discontinued operations were segregated from continuing operations within the unaudited condensed consolidated statements of cash flows for all periods presented. Unless otherwise noted, discussion within the notes to the unaudited condensed consolidated financial statements relates to continuing operations only and excludes the historical activities of the North American panel business. See Note 7 – Divestiture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 and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recurring losses and negative cash flows from operations. The Company incurred net losses of $9.6 million and $23.5 million, during the thirteen-weeks ended March 31, 2024 and April 2, 2023, respectively, and had an accumulated deficit of $364.5 million and current debt of $65.2 million as of March 31, 2024. The Company had cash and cash equivalents of $1.8 million as of March 31, 2024. The Company believes that its operating losses and negative operating cash flows will continue into the foreseeable future. These conditions raise substantial doubt about the Company’s ability to continue as a going concern.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plans to obtain additional funding and restructure its current debt. Historically, the Company’s activities have been financed through private placements of equity securities, debt and proceeds from the Merger. 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entity’s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generally accepted accounting principles in the Unites States of America (“U.S. GAAP”) and pursuant to the rules and regulations of the Securities and Exchange Commission (“SEC”) and reflect all normal and recurring adjustments that are, in the opinion of management, necessary for a fair presentation of the results for the interim periods presented. The unaudited condensed consolidated financial statements include the accounts of the Company and its wholly-owned subsidiaries. All significant intercompany balances and transactions have been eliminated in consolidation.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GAAP requires management to make estimates and assumptions that affect the reported amounts of assets, liabilities, revenue, expenses, as well as related disclosure of contingent assets and liabilities. Significant estimates and assumptions made by management include, but are not limited to, the determination of:</w:t>
      </w:r>
    </w:p>
    <w:p>
      <w:pPr>
        <w:spacing w:after="0" w:line="17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transaction price to identified performance obligations;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warrant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inventory obsolescence;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product warranty;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the allowance for credit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forward purchase agreements;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of stock-based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there are material differences between these estimates and actual results, the Company’s financial condition or operating results will be affected.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conducts its business in one operating segment that provides custom solar solutions through a standardized platform to its residential solar providers and companies to facilitate the sale and installation of solar energy systems under a single product group. 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All the Company’s long-lived assets are maintained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of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Company’s cash and cash equivalents are on deposit with major financial institutions. Such deposits may be in excess of insured limits from time to time.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 The Company reviews accounts receivable balances to determine if any receivables will potentially be uncollectible and includes any amounts that are determined to be uncollectible in the allowance for credit losses. As of March 31, 2024, two customers had an outstanding balance that represented 36% and 19% of the total accounts receivable balance. As of December 31, 2023, two customers had an outstanding balance that represented 38% and 16% of the total accounts receivable balance.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thirteen-weeks ended March 31, 2024, one customer represented 76% of gross revenues. For the thirteen-weeks ended and April 2, 2023, three customers represented 29%, 23% and 12% of gross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thirteen-weeks ended March 31, 2024, and December 31, 2023, one supplier represented 34% and 40% of the Company’s inventory purchases,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securities that mature within three months or less from the original date of purchase to be cash equivalents. The Company maintains the majority of its cash balances with commercial banks in interest bearing accounts. Cash and cash equivalents include cash held in checking and savings accounts and money market accounts consisting of highly liquid securities with original maturity dates of three months or less from the original date of purchase.</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all cash for which usage is limited by contractual provisions as restricted cash. The restricted cash balance was $3.8 million at each of March 31, 2024 and December 31, 2023. Restricted cash consists of deposits in money market accounts, which is used as cash collateral backing letters of credit related to customs duty authorities’ requirements. The Company has presented these balances under restricted cash, as a long-term asset, in its unaudited condensed consolidated balance sheets. The Company reconciles cash, cash equivalents, and restricted cash reported in the unaudited condensed consolidated balance sheets that aggregate to the beginning and ending balances shown in the unaudited condensed consolidated statements of cash flows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 Revenue Recognition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Refer to the table below for the Company’s revenue recognized by product and service type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Thirteen-weeks Ended</w:t>
            </w: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Company’s revenue recognized by geography based on the location of the customer for the thirteen-week periods ended March 31, 2024 and April 2, 2023 was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the practical expedient not to disclose remaining performance obligations for contracts that are less than one year in length. As of March 31, 2024, the Company has deferred $1.1 million associated with a long-term service contract. As of December 31, 2023, the Company has deferred $1.2 million associated with a long-term service contract, which will be recognized evenly through 2028.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costs of obtaining customer contracts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 in accordance with the timing of the related revenue recognition. Amortization of deferred commissions is recorded as sales commissions in the accompanying unaudited condensed consolidated statements of operations and comprehensive loss. As of March 31, 2024 and December 31, 2023, deferred commissions were $5.1 million and $4.2 million, respectively, which were included in prepaid expenses and other current assets in the accompanying unaudited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consideration, or when such consideration is unconditionally due, from a customer prior to delivering goods or services to the customer under the terms of a customer agreement, the Company records deferred revenue. As installation projects are typically completed within 12-months, the Company’s deferred revenue is reflected in current liabilities in the accompanying unaudited condensed consolidated balance sheets. The amount of revenue recognized during the thirteen-week periods ended March 31, 2024 and April 2, 2023 that was included in deferred revenue at the beginning of each period was $1.3 million and $1.9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considering market participant assumptions in fair value measurements, the following fair value hierarchy distinguishes between observable and unobservable inputs, which are categorized in one of the following levels:</w:t>
      </w:r>
    </w:p>
    <w:p>
      <w:pPr>
        <w:spacing w:after="0" w:line="162" w:lineRule="exact"/>
        <w:rPr>
          <w:sz w:val="20"/>
          <w:szCs w:val="20"/>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held by the Company measured at fair value on a recurring basis as of March 31, 2024 and December 31, 2023 include cash and cash equivalents, accounts receivable, accounts payable, accrued expenses, the warrant liabilities, SAFE Agreements and FPA liabilities.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and accrued expenses approximate their fair value because of their short-term nature (classified as Level 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and FPA liabilities are measured at fair value using Level 3 inputs. The Company records subsequent adjustments to reflect the increase or decrease in estimated fair value at each reporting date within the unaudited condensed consolidated statements of operations and comprehensive income (loss) as a component of other income (expense), net.</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Direct Offering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offering costs represent legal, accounting and other direct costs related to the Mergers, which was consummated in July 2023. In accounting for the Mergers, direct offering costs of approximately $5.7 million were reclassified to additional paid-in capital and netted against the Mergers proceeds received upon close. As of March 31, 2024 and December 31, 2023, the Company had no deferred offering costs included within prepaid expenses and other current assets in its unaudited condensed consolidated balance sheets.</w:t>
      </w:r>
    </w:p>
    <w:p>
      <w:pPr>
        <w:spacing w:after="0" w:line="176"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warrant liabilities in accordance with the guidance in ASC 815-40, Derivatives and Hedging – Contracts in Entity’s Own Equity, under which the warrants that do not meet the criteria for equity classification and must be recorded as liabilities. The warrant liabilities are measured at fair value at inception and at each reporting date in accordance with the guidance in ASC 820, Fair Value Measurement, with any subsequent changes in fair value recognized in other income (expense), net on the unaudited condensed consolidated statements of operations and comprehensive income (loss). Refer to Note 3 – Fair Value Measurements and Note 12 –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Forward Purchase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its FPAs in accordance with the guidance in ASC 480, Distinguishing Liabilities from Equity, as the agreements embody an obligation to transfer assets to settle a forward contract. The warrant liabilities are measured at fair value at inception and at each reporting date in accordance with the guidance in ASC 820, Fair Value Measurement, with any subsequent changes in fair value recognized in other income (expense), net on the unaudited condensed consolidated statements of operations and comprehensive income (loss). Refer to Note 3 – Fair Value Measurements and Note 5 – Forward Purchase Agreements.</w:t>
      </w:r>
    </w:p>
    <w:p>
      <w:pPr>
        <w:spacing w:after="0" w:line="17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computes net loss per share following ASC 260, Earnings Per Share. Basic net loss per share is measured as the income or loss available to common stockholders divided by the weighted average common shares outstanding for the period. Diluted net loss per share presents the dilutive effect on a per-share basis from the potential exercise of options and/or warrants. The potentially dilutive effect of options or warrants are computed using the treasury stock method. Securities that potentially have an anti-dilutive effect (i.e., those that increase income per share or decrease loss per share) are excluded from the diluted loss per share calculation.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Accounting Pronouncements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The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guidance is effective for fiscal years beginning after December 15, 2023, and interim periods within fiscal years beginning after December 15, 2024, and requires retrospective adoption. The Company is currently evaluating ASU 2023-07,but expects the impact of the disclosures to be immaterial to the Company’s unaudited condensed consolidated financial statements.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is currently evaluating ASU 2023-09 but expects the impact of the disclosures to be immaterial to the Company’s unaudited condensed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are measured at fair value, on a recurring basis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437</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318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9,409</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437</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Carlyle warrants</w:t>
            </w:r>
          </w:p>
        </w:tc>
        <w:tc>
          <w:tcPr>
            <w:tcW w:w="26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167</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122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18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26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167</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14,959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Carlyle 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amended and restated warrant agreement with CRSEF Solis Holdings, LLC and its affiliates (“Carlyle”), the Company issued Carlyle a warrant to purchase shares of Complete Solaria Common Stock at a price per share of $0.01. Refer to Note 12 – Warrants for further details. The Company valued the warrants based on a Black-Scholes Option Pricing Method, which included the following inputs: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7.0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7.0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Private Placement and Working Capital 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private placement and working capital warrants are measured at fair value on a recurring basis. The public warrants were valued based on the closing price of the publicly traded instrument. The private placement and working capital warrants were valued using observable inputs for similar publicly-traded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 Liabilities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FPA liabilities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trading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12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1.30 years</w:t>
            </w:r>
          </w:p>
        </w:tc>
        <w:tc>
          <w:tcPr>
            <w:tcW w:w="2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1.55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4.48%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c>
          <w:tcPr>
            <w:tcW w:w="22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95.0%</w:t>
            </w:r>
          </w:p>
        </w:tc>
      </w:tr>
      <w:tr>
        <w:trPr>
          <w:trHeight w:val="414"/>
        </w:trPr>
        <w:tc>
          <w:tcPr>
            <w:tcW w:w="8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Replacement Warrants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5"/>
              </w:rPr>
              <w:t>0.8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0.3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Series D-7 redeemable convertible preferred stock warrants were initially accounted for as liabilities and measured at fair value at the issuance date and as of each subsequent reporting period with changes in the fair value recorded within other income (expense), net in the accompanying unaudited condensed consolidated statements of operations and comprehensive income (loss). As described in Note 12 – Warrants, the redeemable convertible preferred stock warrants were reclassified to additional paid-in capital upon the closing of the Mergers. In October 2023, in connection with the Assignment and Acceptance Agreement as further described in Note 12 – Warrants, these warrants were replaced (“Replacement Warrants”), and the Replacement Warrants are classified as liabilities. Refer to Note 13 – Borrowings and SAFE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(4) Reverse Recapitalization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Complete Solaria was deemed the accounting acquirer (and legal acquiree) and FACT was treated as the accounting acquiree (and legal acquirer). Complete Solaria was determined to be the accounting acquirer based on an evaluation of the following facts and circumstances:</w:t>
      </w:r>
    </w:p>
    <w:p>
      <w:pPr>
        <w:spacing w:after="0" w:line="18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Solaria’s pre-combination stockholders have the majority of the voting power in the post- merged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stockholders have the ability to appoint a majority of the Complete Solaria Board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management team is considered the management team of the post-merged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prior operations are comprised of the ongoing operations of the post-merged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Solaria is the larger entity based on historical revenues and business operations;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post-merged company has assumed Complete Solaria’s operating name.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method of accounting, the reverse recapitalization was treated as the equivalent of Complete Solaria issuing stock for the net assets of FACT, accompanied by a recapitalization. The net assets of FACT are stated at historical cost, with no goodwill or other intangible assets recorded. The unaudited condensed consolidated assets, liabilities, and results of operations prior to the Mergers are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closing of the Mergers and the PIPE Financing in July 2023, the Company received net cash proceeds of $19.7 million less non-cash net liabilities assumed from FACT of $10.1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Immediately upon closing of the Mergers, the Company had 45,290,553 shares issued and outstanding of Class A Common Stock. The following table presents the number of shares of Complete Solaria Common Stock outstanding immediately following the consummation of the Mergers: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Class A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Class B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Bonus shares issued to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shares issued to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Bonus shares issued to FPA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from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issued from FPA agreements, net of recycled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redemption of FACT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shares from the Mergers and PIPE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Complete Solaria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2022 Convertible Note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Complete Solaria Common stock immediately after Mergers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Recapitalization</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34,500,000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8,625,000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193,976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1,690,000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5,558,488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(31,041,243)</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19,796,221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20,034,257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5,460,075</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45,290,553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886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86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7886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873"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Mergers, the Company incurred direct and incremental costs of approximately $15.8 million related to legal, accounting, and other professional fees, which were offset against the Company’s additional paid-in capital. Of the $15.8 million, $5.2 million was incurred by Legacy Complete Solaria and $10.6 million was incurred by FACT. The Company did not make any cash payments to settle transaction costs in the thirteen-weeks ended March 31, 2024. As of December 31, 2023, the Company made cash payments totaling $5.4 million to settle transaction costs. As a result of the Closing, outstanding 2022 Convertible Notes were converted into shares of Complete Solaria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Forward Purchase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(ii) Polar, and (iii) Sandia (each individually, a “Seller”, and together, the “FPA Sellers”).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may (i)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the Counterparty at the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entered into four separate FPAs, three of which, associated with the obligation to issue 6,300,000 Shares, were entered into prior to the closing of the Mergers. Upon signing the FPAs, the Company incurred an obligation to issue a fixed number of shares to the FPA Sellers contingent upon the closing of the Mergers in addition to the terms and conditions associated with the settlement of the FPAs. The Company accounted for the contingent obligation to issue shares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recorded a liability and other income (expense), net based on the fair value upon of the obligation upon the signing of the FPAs. The liability was extinguished in July 2023 upon the issuance of Complete Solaria Common Stock to the FPA sellers.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Additionally,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has determined that the forward contracts are financial instruments other than shares that represent or are indexed to obligations to repurchase the issuer’s equity shares by transferring assets, referred to herein as the “forward purchase liability” on its unaudited condensed consolidated balance sheets. The Company initially measured the forward purchase liabilities at fair value and has subsequently remeasured them at fair value with changes in fair value recognized in earnings.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date of issuance of the Complete Solaria Common Stock in satisfaction of the Company’s obligation to issue shares around the closing of the Mergers, the Company recorded $35.5 million to other income (expense), net associated with the issuance of 6,720,000 shares of Complete Solaria Common Stock in association with the FPAs.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closing of the Mergers and issuance of the Complete Solaria Common Stock underlying the FPAs, the fair value of the prepaid FPAs was an asset balance of $0.1 million and was recorded on the Company’s unaudited condensed consolidated balance sheets and within other income (expense), net on the unaudited condensed consolidated statements of operations and comprehensive loss. Subsequently, the change of fair value of the forward purchase liabilities amounted to an expense of $5.6 million for the thirteen-weeks ended March 31, 2024. As of March 31, 2024, and December 31, 2023, the forward purchase liabilities amounted to $9.4 million and $3.8 million, respectively. Of the balances as of March 31, 2024 and December 31, 2023, $7.9 million and $3.2 million, respectively, are due to related parties Refer to Note 19 – Related Party Transactions for further details.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18, 2023, the Company and the FPA Sellers entered into separate amendments to the FPAs (the “Amendments”). The Amendments lower the reset floor price of each FPA from $5.00 to $3.00 and allow the Company to raise up to $10.0 million of equity from existing stockholders without triggering certain anti-dilution provisions contained in the FPAs;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Divestiture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described in Note 1 – Organization, on August 18, 2023, the Company entered into a Non-Binding Letter of Intent to sell certain of Complete Solaria’s North American solar panel assets, inclusive of intellectual property and customer contracts, to Maxeon. Under the terms of the Disposal Agreement, Maxeon agreed to acquire certain assets and employees of Complete Solaria. The Company determined that this divestiture represented a strategic shift in the Company’s business and qualified as a discontinued operation. In October 2023, the Company completed the sale of its solar panel business to Maxeon, pursuant to the terms of the Asset Purchase Agreement Disposal Agreement.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amounts reflected in the unaudited condensed consolidated statements of operations and comprehensive loss related to discontinued operations are presented in the table,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Ended April</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60" w:type="dxa"/>
            <w:vAlign w:val="bottom"/>
            <w:tcBorders>
              <w:bottom w:val="single" w:sz="8" w:color="CCEEFF"/>
            </w:tcBorders>
          </w:tcPr>
          <w:p>
            <w:pPr>
              <w:spacing w:after="0"/>
              <w:rPr>
                <w:sz w:val="21"/>
                <w:szCs w:val="21"/>
                <w:color w:val="auto"/>
              </w:rPr>
            </w:pPr>
          </w:p>
        </w:tc>
        <w:tc>
          <w:tcPr>
            <w:tcW w:w="5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19,479</w:t>
            </w: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5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3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36"/>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5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(7,809)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526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 except year data):</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46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460" w:type="dxa"/>
            <w:vAlign w:val="bottom"/>
          </w:tcPr>
          <w:p>
            <w:pPr>
              <w:spacing w:after="0"/>
              <w:rPr>
                <w:sz w:val="16"/>
                <w:szCs w:val="16"/>
                <w:color w:val="auto"/>
              </w:rPr>
            </w:pPr>
          </w:p>
        </w:tc>
        <w:tc>
          <w:tcPr>
            <w:tcW w:w="12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20" w:type="dxa"/>
            <w:vAlign w:val="bottom"/>
          </w:tcPr>
          <w:p>
            <w:pPr>
              <w:spacing w:after="0"/>
              <w:rPr>
                <w:sz w:val="16"/>
                <w:szCs w:val="16"/>
                <w:color w:val="auto"/>
              </w:rPr>
            </w:pPr>
          </w:p>
        </w:tc>
        <w:tc>
          <w:tcPr>
            <w:tcW w:w="120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46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software</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7"/>
        </w:trPr>
        <w:tc>
          <w:tcPr>
            <w:tcW w:w="7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vMerge w:val="continue"/>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1"/>
        </w:trPr>
        <w:tc>
          <w:tcPr>
            <w:tcW w:w="7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from continuing operations totaled $0.4 million and $0.2 million for the thirteen-week periods ended March 31, 2024 and April 2,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4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20" w:type="dxa"/>
            <w:vAlign w:val="bottom"/>
            <w:tcBorders>
              <w:bottom w:val="single" w:sz="8" w:color="CCEEFF"/>
            </w:tcBorders>
          </w:tcPr>
          <w:p>
            <w:pPr>
              <w:spacing w:after="0"/>
              <w:rPr>
                <w:sz w:val="21"/>
                <w:szCs w:val="21"/>
                <w:color w:val="auto"/>
              </w:rPr>
            </w:pPr>
          </w:p>
        </w:tc>
        <w:tc>
          <w:tcPr>
            <w:tcW w:w="3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Uninvoiced contract costs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term loan and revolving loan amendment and final payment fees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 and credits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current</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vMerge w:val="continue"/>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27,870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6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Other Expense,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 consists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Thirteen-Weeks</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w:t>
            </w: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6"/>
                <w:szCs w:val="16"/>
                <w:color w:val="auto"/>
              </w:rPr>
            </w:pPr>
          </w:p>
        </w:tc>
        <w:tc>
          <w:tcPr>
            <w:tcW w:w="9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Carlyle 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6,429</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forward purchase agreement liabilities(1)</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(5,578)</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discontinued Solaria business and other,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hanging="292"/>
        <w:spacing w:after="0" w:line="282"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 million and zero of other expense for the thirteen-weeks ended March 31, 2024 and April 2, 2023, respectively, for forward purchase agreements entered into with related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March 31, 2024. No preferred stock has been issued.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18, 2023, the Company entered into separate common stock purchase agreements (the “Purchase Agreements”) with the Rodgers Massey Freedom and Free Markets Charitable Trust and the Rodgers Massey Revocable Living Trust (each a “Purchaser”, and together, the “Purchasers”). Pursuant to the terms of the Purchase Agreements, each Purchaser purchased 1,838,235 shares of common stock of the Company, par value $0.0001, (the “Shares”), at a price per share of $1.36, representing an aggregate purchase price of $4,999,999.20. The Purchasers paid for the Shares in cash. Thurman J. Rodgers is a trustee of each Purchaser and is the Executive Chairman of the board of directors of the Company.</w:t>
      </w:r>
    </w:p>
    <w:p>
      <w:pPr>
        <w:sectPr>
          <w:pgSz w:w="11900" w:h="16838" w:orient="portrait"/>
          <w:cols w:equalWidth="0" w:num="1">
            <w:col w:w="11240"/>
          </w:cols>
          <w:pgMar w:left="320" w:top="873"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reserved shares of common stock for issuance related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27,637,266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2,628,996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11,436,369</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3,850,462</w:t>
      </w:r>
    </w:p>
    <w:p>
      <w:pPr>
        <w:spacing w:after="0" w:line="5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45,553,093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43180</wp:posOffset>
            </wp:positionV>
            <wp:extent cx="7029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60" w:space="720"/>
            <w:col w:w="1060"/>
          </w:cols>
          <w:pgMar w:left="320" w:top="873"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Warrants</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Liability-classified warrants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5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54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gridSpan w:val="2"/>
          </w:tcPr>
          <w:p>
            <w:pPr>
              <w:spacing w:after="0"/>
              <w:rPr>
                <w:sz w:val="18"/>
                <w:szCs w:val="18"/>
                <w:color w:val="auto"/>
              </w:rPr>
            </w:pPr>
          </w:p>
        </w:tc>
      </w:tr>
      <w:tr>
        <w:trPr>
          <w:trHeight w:val="245"/>
        </w:trPr>
        <w:tc>
          <w:tcPr>
            <w:tcW w:w="5460" w:type="dxa"/>
            <w:vAlign w:val="bottom"/>
            <w:tcBorders>
              <w:bottom w:val="single" w:sz="8" w:color="CCEEFF"/>
            </w:tcBorders>
          </w:tcPr>
          <w:p>
            <w:pPr>
              <w:spacing w:after="0"/>
              <w:rPr>
                <w:sz w:val="21"/>
                <w:szCs w:val="21"/>
                <w:color w:val="auto"/>
              </w:rPr>
            </w:pPr>
          </w:p>
        </w:tc>
        <w:tc>
          <w:tcPr>
            <w:tcW w:w="34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placements warrants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3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0"/>
        </w:trPr>
        <w:tc>
          <w:tcPr>
            <w:tcW w:w="5460" w:type="dxa"/>
            <w:vAlign w:val="bottom"/>
          </w:tcPr>
          <w:p>
            <w:pPr>
              <w:spacing w:after="0"/>
              <w:rPr>
                <w:sz w:val="21"/>
                <w:szCs w:val="21"/>
                <w:color w:val="auto"/>
              </w:rPr>
            </w:pP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3,882</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11,127</w:t>
            </w:r>
          </w:p>
        </w:tc>
        <w:tc>
          <w:tcPr>
            <w:tcW w:w="80" w:type="dxa"/>
            <w:vAlign w:val="bottom"/>
          </w:tcPr>
          <w:p>
            <w:pPr>
              <w:spacing w:after="0"/>
              <w:rPr>
                <w:sz w:val="21"/>
                <w:szCs w:val="21"/>
                <w:color w:val="auto"/>
              </w:rPr>
            </w:pPr>
          </w:p>
        </w:tc>
      </w:tr>
      <w:tr>
        <w:trPr>
          <w:trHeight w:val="20"/>
        </w:trPr>
        <w:tc>
          <w:tcPr>
            <w:tcW w:w="5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Carlyle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2022, as part of a debt financing from Carlyle (Refer to Note 13 – Borrowing Arrangements), the Company issued a warrant to purchase 2,886,952 shares of common stock in conjunction with long-term debt issued to Carlyle (“CS Solis Debt”). The warrant contained two tranches, the first of which is immediately exercisable for 1,995,879 shares. The second tranche, which was determined to be a separate unit of account, expired on December 31, 2022 prior to becoming exercisable. In December 2023, Carlyle was issued an additional warrant to purchase an additional 2,190,604 shares of the Company’s common stock related to an anti-dilution provision within the CS Solis Debt that provides for such additional warrants under such circumstances as provided within the CS Solis Debt.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issuance, the relative fair value of the warrant was determined to be $3.4 million using the Black-Scholes model with the following weighted average assumptions: expected term of 7 years; expected volatility of 73.0%; risk-free interest rate of 1.9%; and no dividend yield. The fair value of the warrant was initially recorded within additional paid-in capital as it met the conditions for equity classification.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2023, and in connection with the closing of the Mergers, the Carlyle debt and warrants were modified. Based on the exchange ratio included in the Mergers, the 1,995,879 outstanding warrants to purchase Legacy Complete Solaria Common Stock prior to modification were exchanged into warrants to purchase 1,995,879 shares of Complete Solaria Common Stock. As part of the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Of the additional warrants that become exercisable after the modification, the tranches of 350,000 warrants vesting ten days after the date of the agreement and 150,000 warrants vesting thirty days after the date of the agreement are exercisable as of December 31, 2023.</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modification of the warrant resulted in the reclassification of previously equity-classified warrants to liability classification, which was accounted for in accordance with ASC 815 and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recorded the fair value of the modified warrants as a warrant liability of $20.4 million, the pre-modification fair value of the warrants as a reduction to additional paid-in capital of $10.9 million and an expense of $9.5 million to other income (expense), net equal to the incremental value of the warrants upon the modification. The fair value of the warrant was determined based on its intrinsic value, given a nominal exercise price. At issuance, the relative fair value of the warrant was determined to be $20.4 million using the Black-Scholes model with the following weighted average assumptions: expected term of 7 years; expected volatility of 77.0%; risk-free interest rate of 3.9%; and no dividend yield. As of March 31, 2024, the fair value of the warrant was $3.1 million, and the Company recorded an income of $6.4 million as other income (expense), net on the unaudited condensed consolidated statements of operations and comprehensive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D-7 Warrants (Converted to common stock warrants “Replacement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2022, the Company issued warrants to purchase 656,630 shares of Series D-7 preferred stock (the “Series D-7 warrants”) in conjunction with the Business Combination. The warrant contains two tranches. The first tranche of 518,752 shares of Series D-7 preferred stock is exercisable at an exercise price of $2.50 per share upon consummation of a merger transaction, or at an exercise price of $2.04 per share upon remaining private and has an expiration date of April 2024. The second tranche of 137,878 shares of Series D-7 preferred stock is exercisable at an exercise price of $5.00 per share upon consummation of a merger transaction, or at an exercise price of $4.09 per share upon remaining private and has an expiration date of April 2024. The fair value of the Series D-7 warrants was $7.8 million as of December 31, 2022 and $2.4 million as of July 18, 2023 when the warrants were reclassified from redeemable convertible preferred stock warrant liability to additional paid-in capital, as the exercise price of the warrants is fixed at $2.50 per share of Complete Solaria Common Stock for the first tranche and $5.00 per share of Complete Solaria Common Stock for the second tranche upon the closing of the Mergers.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an Assignment and Acceptance Agreement (“Assignment Agreement”), (Refer to Note 13 – Borrowings and SAFE Agreements). In connection with the Assignment Agreement, the Company also entered into the First Amendment to Warrant to Purchase Stock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their fair value on the amendment effective date, and the Company has recorded subsequent changes in fair value in other income (expense), net on its unaudited condensed consolidated statements of operations and comprehensive loss. The Replacement Warrants remain outstanding as of March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Private Placement, and Working Capital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Mergers, Complete Solaria,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Complete Solaria Common Stock and meet liability classification requirements since the warrants may be required to be settled in cash under a tender offer. In addition, the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Company’s unaudited condensed consolidated balance sheets.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the Public and Private warrants to be classified as a liability and fair valued the warrants on the issuance date using the publicly available price for the warrants of $6.7 million. The fair value of these warrants was $0.8 million as of March 31, 2024, and the Company recorded the change in fair value of $0.5 million in other income (expense), net in the unaudited condensed consolidated statements of operations and comprehensive loss for the thirteen-weeks ended March 31,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at the closing of the Mergers, the Company issued 716,668 Working Capital warrants, which have identical terms as the Private Placement Warrants to the sponsor in satisfaction of certain liabilities of FACT. The warrants were fair valued at $0.3 million upon the closing of the Mergers, which was recorded in warrant liability on the unaudited condensed consolidated balance sheets. As of March 31, 2024, the Working Capital warrants had a fair value of $0.03 million, and the Company recorded the change in fair value of $0.02 million as other income (expense), net on the unaudited condensed consolidated statements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Warrants (Converted to Common Stock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Company issued a warrant to purchase 5,054 shares of Series B preferred stock (the “Series B warrant”) in connection with a 2016 credit facility. The Series B warrant is immediately exercisable at an exercise price of $4.30 per share and has an expiration date of February 2026. The relative fair value of the Series B warrant at issuance was recorded as a debt issuance cost within other non-current liabilities upon issuance. The fair value of the Series B warrant was less than $0.1 million as of December 31, 2022 and as of July 18, 2023, when the Series B warrant was reclassified from warrant liability to additional paid-in capital, upon the warrant becoming exercisable into shares of Complete Solaria Common Stock upon the close of the Mergers. Prior to its reclassification from equity to a liability during 2023, the changes in fair value were recorded in other income (expense), net on the accompanying unaudited condensed consolidated statements of operations and comprehensive loss for the thirteen-weeks ended April 2,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Warrants (Converted to Common Stock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on June 2016 based on the principal balance outstanding of the notes payable outstanding. The maximum number of shares exercisable under the Series C warrant agreement is 482,969 shares of Series C preferred stock. The Series C warrant was immediately exercisable at an exercise price of $1.00 per share and has an expiration date of July 2026. The relative fair value of the Series C warrant at issuance was recorded as Series C preferred stock issuance costs and redeemable convertible preferred stock warrant liability and changes in the fair value of the warrant were recorded in other income (expense), net on the accompanying unaudited condensed consolidated statements of operations and comprehensive loss for the thirteen-weeks ended April 2, 2023. The fair value of the Series C warrant was $2.3 million as of July 18, 2023, when the Series B warrant was reclassified from redeemable convertible preferred stock warrant liability to additional paid-in capital, upon the warrant becoming exercisable into shares of Complete Solaria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Series C-1 Warrants (Converted to Common Stock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2020, the Company issued a warrant to purchase 173,067 shares of common stock in conjunction with the Series C-1 preferred stock financing. The warrant is immediately exercisable at an exercise price of $0.01 per share and has an expiration date of January 2030. The warrant remains outstanding as of March 31, 2024. At issuance, the relative fair value of the warrant was determined to be $0.1 million using the Black-Scholes model with the following weighted average assumptions: expected term of 10 years; expected volatility of 62.5%; risk-free interest rate of 1.5%; and no dividend yield. The fair value of the warrant was recorded within additional paid-in capital on the unaudited condensed consolidated balance sheets. The warrant is not remeasured in future periods as it meets the conditions for equity classification.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SVB Common Stock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August 2021, the Company issued warrants to purchase 2,473 and 2,525 shares of common stock, respectively, in conjunction with the Fifth and Sixth Amendments to the Loan and Security Agreement (“Loan Agreement”) with Silicon Valley Bank (“SVB”). The warrants are immediately exercisable at exercise prices of $0.38 and $0.62 per share, respectively, and have expiration dates in 2033. The warrants remain outstanding as of March 31, 2024. At issuance, the relative fair value of the warrants was determined to be less than $0.1 million in aggregate using the Black-Scholes model with the following weighted average assumptions: expected term of 12 years; expected volatility of 73.0%; risk-free interest rate of 1.7% and 1.3% for the May and August 2021 warrants, respectively; and no dividend yield. The fair value of the warrant was recorded within additional paid-in-capital on the accompanying unaudited condensed consolidated balance sheets. The warrants are not remeasured in future periods as they meet the conditions for equity classification.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Common Stock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Company issued a warrant to purchase 24,148 shares of common stock in conjunction with the issuance of a short-term promissory note. The warrant is immediately exercisable at an exercise price of $0.01 per share and has an expiration date of October 2031. The warrant remains outstanding as of March 31, 2024. At issuance, the relative fair value of the warrant was determined to be less than $0.1 million using the Black-Scholes model with the following weighted average assumptions: expected term of 10 years; expected volatility of 73.0%; risk-free interest rate of 1.5%; and no dividend yield. The fair value of the warrant was recorded within additional paid-in capital on the unaudited condensed consolidated balance sheets. The warrant is not remeasured in future periods as it meets the conditions for equity classification.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2022 Common Stock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2022, the Company issued a warrant to a third-party service provider to purchase 78,962 shares of common stock in conjunction with the Business Combination. The warrant was immediately exercisable at an exercise price of $8.00 per share and had an expiration date of April 2024. In May 2023, the Company amended the warrant, modifying (i) the shares of common stock to be purchased to 31,680, (ii) the exercise price to $0.01, and (iii) the expiration date to the earlier of October 2026 or the closing of an IPO. The impact of the modification was not material to the unaudited condensed consolidated financial statements. At issuance and upon the modification, the relative fair value of the warrant was determined to be $0.1 million using the Black-Scholes model with the following weighted average assumptions: expected term of 1.5 years; expected volatility of 78.5%; risk-free interest rate of 4.7%; and no dividend yield. The fair value of the warrant was recorded within additional paid-in capital on the unaudited condensed consolidated balance sheets. The warrant is not remeasured in future periods as it meets the conditions for equity classification. Upon the Closing of the Mergers, the warrant was net exercised into 31,680 shares of Complete Solaria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2023 Common Stock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the Company issued a warrant to a third-party service provider to purchase 38,981 shares of the Company’s common stock in exchange for services provided in obtaining financing at the Closing of the Mergers. The warrant is immediately exercisable at a price of $0.01 per share and has an expiration date of July 2028. At issuance, the fair value of the warrant was determined to be $0.2 million, based on the intrinsic value of the warrant and the $0.01 per share exercise price. As the warrant is accounted for as an equity issuance cost, the warrant is recorded within additional paid-in capital on the unaudited condensed consolidated balance sheets. The warrant is not remeasured in future periods as it meets the conditions for equity classification.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Consideration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in connection with the Mergers, the Company issued 6,266,572 warrants to purchase Complete Solaria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 As of March 31, 2024, all warrants issued as warrant consideration remain outstanding.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Borrowings and SAFE Agreements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borrowings consisted of the following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Bridge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Revolver Loan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Credit Facility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Polar Settlement Agreement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Debt in CS Solis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33,280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and convertible notes, net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(65,205)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(61,937)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convertible notes, net of current portion</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Bridge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2018, Solaria Corporation issued senior subordinated convertible secured notes (“2018 Notes”) totaling approximately $3.4 million in exchange for cash. The notes bear interest at the rate of 8% per annum and the investors are entitled to receive twice the face value of the 2018 Notes at maturity. The 2018 Notes are secured by substantially all of the assets of Solaria Corporation. In 2021, the 2018 Notes were amended extending the maturity date to December 13, 2022. In connection with the 2021 amendment, Solaria had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The 2018 Notes are secured by substantially all of the assets of Complete Solaria.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the Company entered into an amendment to the 2018 Bridge Notes extending the maturity date from December 13, 2022 to December 13, 2023, and the 2018 Notes remain outstanding as of March 31, 2024. In connection with the amendment, the 2018 Notes will continue to bear interest at 8% per annum and are entitled to an increased repayment premium from 110% to 120% of the principal and accrued interest at the time of repayment.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concluded that the amendment represented a troubled debt restructuring as the Company was experiencing financial difficulty, and the amended terms resulted in a concession to the Company. As the future undiscounted cash payments under the modified terms exceeded the carrying amount of the 2018 Notes on the date of modification, the modification was accounted for prospectively. The incremental repayment premium is being amortized to interest expense using the effective interest rate method. As of March 31, 2024 and December 31, 2023, the carrying value of the 2018 Notes was $11.4 million and $11.0 million, respectively. Interest expense recognized for the thirteen-week periods ended March 31, 2024 and April 2, 2023 was $0.3 million and $0.3 million, respectively. As of March 31, 2024, the carrying value of the 2018 Notes approximates their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Loan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2020, Solaria entered into a loan agreement (“SCI Loan Agreement”) with Structural Capital Investments III, LP (“SCI”).</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SCI Loan Agreement is comprised of two facilities, a term loan (the “Term Loan”) and a revolving loan (the “Revolving Loan”) (together “Original Agreement”) for $5.0 million each with a maturity date of October 31, 2023. Both the Term Loan and the Revolving Loan were fully drawn upon closing. The Term Loan was repaid prior to the acquisition of Solaria by Complete Solar and was not included in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 has a term of thirty-six months, with the principal due at the end of the term and an annual interest rate of 7.75% or Prime rate plus 4.5%, whichever is higher. The SCI Loan Agreement requires the Company to meet certain financial covenants relating to the maintenance of specified restricted cash balance, achieve specified revenue targets and maintain specified contribution margins (“Financial Covenants”) over the term of the Revolving Loan. The Revolving Loan is collateralized by substantially all assets and property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years ended December 31, 2022 and December 31, 2021, Solaria entered into several Amended and Restated Loan and Security Agreements with SCI to forbear SCI from exercising any rights and remedies available to it as a result of the Company not meeting certain Financial Covenants required by the Original Agreement. As a result of these amendments changes were made to the Financial Covenants, and Solaria recorded a total of $1.9 million in amendment fees which amount was recorded in Other Liabilities, and this liability was included in the assumed liabilities for purchase price accounting.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Solaria had historically issued warrants to purchase shares of Series E-1 redeemable convertible preferred stock of Solaria (“SCI Series E-1 warrants”). The warrants were fully exercisable in whole or in part at any time during the term of the Original agreement. As part of the Business Combination with Complete Solar, all the outstanding SCI Series E-1 warrants were assumed by the parent company, Complete Solaria.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 outstanding on the date of the Business Combination was fair valued at $5.0 million for the purpose of purchase price accounting. The Revolving Loan principal balance at March 31, 2024 and December 31, 2023 amounted to $5.3 million and $5.1 million, respectively. Interest expense recognized for the thirteen-week periods ended March 31, 2024 and April 2, 2023 was $0.1 million and $0.1 million, respectively. The Company was in compliance with all the Financial Covenants as of March 31,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Company entered into an Assignment Agreement whereby Structural Capital Investments III, LP assigned the SCI debt to Kline Hill Partners Fund LP, Kline Hill Partners IV SPV LLC, Kline Hill Partners Opportunity IV SPV LLC, (collectively “Kline Hill”) and Rodgers Massey Revocable Living Trust for a total purchase price of $5.0 million. The Company has identified this arrangement as a related party transaction, as discussed in Note 18 – Related Party Transactions. The SCI Revolving Loan continued to remain outstanding as of March 31, 2024 and is currently being renegotiated. On May 1, 2024, the Company entered into an agreement with Kline Hill that will cancel this obligation upon satisfaction of certain events. Refer to Note 1 - Subsequent Events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Credit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secured credit facility agreement with Kline Hill Partners IV SPV LLC and Kline Hill Partners Opportunity IV SPV LLC (“Secured Credit Facility”). The Secured Credit Facility agreement allows the Company to borrow up to 70% of the net amount of its eligible vendor purchase orders with a maximum amount of $10.0 million at any point in time. The purchase orders are backed by relevant customer sales orders which serves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The Company may prepay any borrowed amount without premium or penalty. Under the original terms, the Secured Credit Facility agreement was due to mature in April 2023. The Company is in the process of amending the Secured Credit Facility agreement to extend its maturity date.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2024, the balance outstanding was $12.7 million, including accrued financing cost of $5.0 million, and as of December 31, 2023, the balance outstanding was $12.2 million, including accrued financing cost of $4.5 million. The Company recognized interest expense of $0.5 million and $1.7 million related to the Secured Credit Facility during the thirteen-weeks ended March 31, 2024 and April 2, 2023, respectively. As of March 31, 2024, the total estimated fair value of the Secured Credit Facility approximated its carrying value. On May 1, 2024, the Company entered into an agreement with Kline Hill that will cancel this obligation upon satisfaction of certain events. Refer to Note 19 - Subsequent Events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Settlement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Mergers, the Company entered into a settlement and release agreement with Polar Multi-Strategy Master Fund (“Polar”) for the settlement of a working capital loan that had been made by Polar to the Sponsor, prior to the closing of the Mergers. The settlement agreement required the Company to pay Polar $0.5 million in ten equal monthly installments and did not accrue interest. As of December 31, 2023, the balance owed to Polar was $0.3 million all of which was paid in the period ended March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Debt in CS Solis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Reorganization described in Note 1(a) Organization - Description of Business and Note 12 - Warrants, the Company received cash and recorded debt for an investment by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are mandatorily redeemable by the Company on the three-year anniversary of the effective date of the CS Solis amended and restated LLC agreement (February 14, 2025). The Class B Membership Units accrue interest that is payable upon redemption at a rate of 10.5% (which is structured as a dividend payable based on 25% of the investment amount measured quarterly), compounded annually, and subject to increases in the event the Company declares any dividends. In connection with the investment by Carlyle, the Company issued Carlyle a warrant to purchase 5,978,960 shares of the Company’s common stock at a price of $0.01 per share, of which, the purchase of 4,132,513 shares of the Company’s common stock is immediately exercisable. The Company has accounted for the mandatorily redeemable investment from Carlyle in accordance with ASC 480, Distinguishing Liabilities from Equity, and has recorded the investment as a liability, which was accreted to its redemption value under the effective interest method. The Company has recorded the warrants as a discount to the liability. Refer to Note 11 – Common Stock, for further discussion of the warrants issued in connection with the Class B Membership Units.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Carlyle Debt Modification Agreement accelerates the redemption date of the investment, which was previously February 14, 2025 and is now March 31, 2024 subsequent to the modification. The acceleration of the redemption date of the investment, resulted in the total redemption amount to be 1.3 times the principal at December 31, 2023. The redemption amount will increase to 1.4 times the original investment at March 31, 2024. Additionally, as part of the amendment, the parties entered into an amended and restated warrant agreement. As part of the Carlyle Warrant Amendment, Complete Solaria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The warrants are classified as liabilities under ASC 815 and are recorded within warrant liability on the Company’s unaudited condensed consolidated statements of operations and comprehensive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accounted for the modification of the debt due with CS Solis as a debt extinguishment in accordance with ASC 480 and ASC 470. As a result of the extinguishment, the Company recorded a loss on extinguishment, of $10.3 million in the thirteen-week period ended October 1, 2023. As of the modification date, the Company recorded the fair value of the new debt of $28.4 million as short-term debt with CS Solis. As of March 31, 2024, the debt has a redemption obligation of $35.8 million under the Carlyle Debt Modification Agreement. The debt in CS Solis is currently under negotiation.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recorded a liability of $35.8 million and $33.3 million included in short-term debt with CS Solis on its unaudited condensed consolidated balance sheets as of March 31, 2024 and December 31, 2023, respectively. For the thirteen-week periods ended March 31, 2024 and April 2, 2023, the Company has recorded accretion of the liability as interest expense of $2.5 million and $0.8 million, respectively, and made no payments of interest expense. For the thirteen-week periods ended March 31, 2024 and April 2, 2023 the Company recorded amortization of issuance costs as interest expense of zero and $0.3 million, respectively. As of March 31, 2024, the total estimated fair value of the Company’s debt with CS Solis was $35.8 million, which was estimated based on Level 3 inputs.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31, 2024, the Company entered into a simple agreement for future equity (the “First SAFE”) with the Rodgers Massey Freedom and Free Markets Charitable Trust (the “Purchaser”), a related party, in connection with the Purchaser investing $1.5 million in the Company. The First SAFE does not accrued interest. The First SAFE was initially convertible into shares of the Company’s common stock, par value $0.0001 per share, upon the initial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 On April 21, 2024, the Company entered into an amendment of the First SAFE which resulted in the First SAFE into shares of the Company’s common stock. Refer to Note 19 – Subsequent Events for further details.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15, 2024, the Company entered into a simple agreement for future equity (the “Second SAFE” and together with the First SAFE, the “SAFEs”) with the Purchaser, a related party, in connection with the Purchaser investing $3.5 million in the Company. The First SAFE does not accrued interest. The Second SAFE was initially convertible into shares of the Company’s common stock upon the initial closing of an Equity Financing at a per share conversion price which was equal to the lower of (i) the SAFE Price, and (ii) 80% of the price per share of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 On April 21, 2024, the Company entered into an amendment of the Second SAFE which resulted in the conversion of the Second SAFE into shares of the Company’s common stock. Refer to Note 19 – Subsequent Events for further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of directors prior to the date of the increase. The maximum number of shares of Complete Solaria common stock that may be issued on the exercise of incentive stock options (“ISOs”) under the 2023 Plan is three times the number of shares available for issuance upon the 2023 Plan becoming effective (or 26,289,966 shares).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 The 2022 Plan is the successor of the Complete Solar 2021 Stock Plan, which was amended and assumed in connection with the acquisition of Solaria. The 2011 Plan is the Complete Solar 2011 Stock Plan that was assumed by Complete Solaria in the Required Transaction. The 2016 Plan and the 2006 Plan are the Solaria stock plans that were assumed by Complete Solaria in the Required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Under the Plans, the Company has granted service and performance-based stock options and restricted stock units (“RSUs”).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thirteen-week period ended March 31, 2024 under the Plans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11,716,646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(31,176)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(307,198)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Outstanding—March 31, 2024</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11,378,272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vest—March 31, 2024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11,378,272</w:t>
            </w: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8.25</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Vested and exercisable—March 31,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4,536,233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4.78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A summary of RSU activity for the thirteen-week period ended March 31, 2024 under the Plan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58,097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7"/>
                <w:szCs w:val="17"/>
                <w:color w:val="auto"/>
              </w:rPr>
            </w:pP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and its allocation within the accompanying unaudited condensed consolidated statements of operations and comprehensive income (loss)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stock-based compensation expense from continuing operations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there was a total of $18.8 million and zero unrecognized stock-based compensation costs related to service-based options and RSUs, respectively. Such compensation cost is expected to be recognized over a weighted-average period of approximately 2.16 years for service-based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Stock Purchase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an Employee Stock Purchase Plan (the “ESPP Plan”) in connection with the consummation of the Mergers in July 2023. All qualified employees may voluntarily enroll to purchase shares of the Company’s common stock through payroll deductions at a price equal to 85% of the lower of the fair market values of the stock of the offering periods or the applicable purchase date. As of March 31, 2024, 2,628,996 shares were reserved for future issuance under the ESPP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provides a 10-year warranty on its solar energy system installations, which provides assurance over the workmanship in performing the installation, including roof leaks caused by the Company’s performance. For solar panel sales, the Company provides a 30-year warranty that the products will be free from defects in material and workmanship. The Company will retain its warranty obligation associated with its panel sales, subsequent to the disposal of its panel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accrues warranty costs when revenue is recognized for solar energy systems sales and panel sales,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unaudited condensed consolidated statements of operations and comprehensive loss. Warranty costs primarily consist of replacement materials and equipment and labor costs for service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by period relating to the Company’s warranty provision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220" w:type="dxa"/>
            <w:vAlign w:val="bottom"/>
            <w:tcBorders>
              <w:bottom w:val="single" w:sz="8" w:color="CCEEFF"/>
            </w:tcBorders>
          </w:tcPr>
          <w:p>
            <w:pPr>
              <w:spacing w:after="0"/>
              <w:rPr>
                <w:sz w:val="21"/>
                <w:szCs w:val="21"/>
                <w:color w:val="auto"/>
              </w:rPr>
            </w:pPr>
          </w:p>
        </w:tc>
        <w:tc>
          <w:tcPr>
            <w:tcW w:w="4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new warranties issued</w:t>
            </w: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Warranty provision, end of period</w:t>
            </w:r>
          </w:p>
        </w:tc>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20" w:type="dxa"/>
            <w:vAlign w:val="bottom"/>
            <w:vMerge w:val="continue"/>
          </w:tcPr>
          <w:p>
            <w:pPr>
              <w:spacing w:after="0"/>
              <w:rPr>
                <w:sz w:val="24"/>
                <w:szCs w:val="24"/>
                <w:color w:val="auto"/>
              </w:rPr>
            </w:pP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current</w:t>
            </w:r>
          </w:p>
        </w:tc>
        <w:tc>
          <w:tcPr>
            <w:tcW w:w="4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637"/>
        </w:trPr>
        <w:tc>
          <w:tcPr>
            <w:tcW w:w="4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its business, financial position, results of operations, or cash flows. The Company has recorded zero and $7.9 million as a loss contingency in accrued expenses and other current liabilities on its unaudited condensed consolidated balance sheets as of March 31, 2024 and December 31, 2023, respectively, primarily associated with the pending settlement of the following legal matters.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No liability has been recorded in the Company’s unaudited condensed consolidated financial statements as the likelihood of a loss is not probable at this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2021, Siemens filed a lawsuit in which Siemens alleged that the Company breached express and implied warranties under a purchase order that Siemens placed with the Company for a solar module system. Siemens claimed damages of approximately $6.9 million, inclusive of amounts of the Company’s indemnity obligations to Siemens, plus legal fees.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22, 2024, the Court issued an order against the Company which awarded Siemens approximately $6.9 million, inclusive of the Company’s indemnity obligations to Siemens, plus legal fees, the amount of which will be determined at a later hearing. On March 15, 2024, Siemens filed a motion seeking to recover $2.67 million for attorneys’ fees, expenses, and pre-judgment interest. The Court will conduct a hearing on Siemens’ motion in late May 2024. Pending entry of a final judgment by the Court, the Company intends to appeal such judgment. The Company has recorded $6.9 million as a legal loss related to this litigation, excluding the $2.67 million for attorneys’ fees, expenses, and pre-judgment interest, in accrued expenses and other current liabilities on its unaudited condensed consolidated balance sheets as of March 31, 2024 and December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China Bridge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24 2023, China Bridge Capital Limited (“China Bridge”) alleged breach of contract and demanded $6.0 million. The complaint names FACT as the defendant. The complaint alleges China Bridge and FACT entered into a financial advisory agreement in October 2022 whereby FACT engaged China Bridge to advise and assist FACT in identifying a company for FACT to acquire. As part of the agreement, China Bridge claims that FACT agreed to pay China Bridge a $6.0 million advisory fee if FACT completed such an acquisition. China Bridge claims it introduced Complete Solaria to FACT and is therefore owed the $6.0 million advisory fee.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$3.5 million of outstanding letters of credit related to normal business transactions as of March 31,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and $3.8 million as of March 31, 2024 and December 31,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Basic and Diluted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No dividends were declared or paid for the thirteen-week periods ended March 31, 2024 and April 2, 2023. Undistributed earnings for each period are allocated to participating securities, including the redeemable convertible preferred stock, based on the contractual participation rights of the security to share in the current earnings as if all current period earnings had been distributed. The Company’s basic net loss per share is computed by dividing the net loss attributable to common stockholders by the weighted-average shares of common stock outstanding during periods with undistributed losses.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basic and diluted shares and net loss per share for the thirteen-week period ended April 2, 2023 has been retroactively restated to give effect to the conversion of shares of legal acquiree’s convertible instruments into shares of legal acquiree common stock as though the conversion had occurred as of the beginning of the period. The retroactive restatement is consistent with the presentation on the accompanying unaudited condensed consolidated statements of stockholders’ deficit.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for the thirteen-week periods ended March 31, 2024 and April 2, 2023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49,077,330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25,200,347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 –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Discontinued operations –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net loss per share attributable to common stockholders is the same for the thirteen-week periods ended March 31, 2024 and April 2, 2023 because the inclusion of potential shares of common stock would have been anti-dilutive for the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5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500" w:type="dxa"/>
            <w:vAlign w:val="bottom"/>
            <w:gridSpan w:val="3"/>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April 2,</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23,024,556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11,436,369</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9,714,894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Potential common shares excluded from diluted net loss per share</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34,460,924</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12,191,086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October 2022 through June 2023, the Company issued convertible promissory notes (“2022 Convertible Notes”) of approximately $33.3 million to various investors, out of which $12.1 million was issued to five related parties. Additionally, the Company acquired a related party convertible note, on the same terms as the 2022 Convertible Notes as part of the acquisition of Solaria, with a fair value of $6.7 million at the time of the acquisition. The related party debt is presented as convertible notes, net, due to related parties, noncurrent in the accompanying unaudited condensed consolidated balance sheets. The principal amount of the outstanding balance on the 2022 Convertible Notes accrues at 5.0%, compounded annually. For the thirteen-week periods ended March 31, 2024 and April 2, 2023, the Company has recognized zero and $0.4 million, respectively, in interest expense related to the related party 2022 Convertible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received $3.5 million of prefunded PIPE proceeds from a related party investor in conjunction with the Company’s merger with Freedom Acquisition I Corp. In July 2023, in connection with the Mergers, in addition to the $3.5 million of related party PIPE proceeds noted above, the Company received additional PIPE proceeds from related parties of $12.1 million. In July 2023, in connection with the Mergers, the Company issued 120,000 shares to a related party as a transaction bonus. Refer to Note 1(a) – Description of Business and Note 4 – Reverse Recapitalization for further discussion.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2023, the Company entered into a series of FPAs as described in Note 5 – Forward Purchase Agreements. In connection with the FPAs, the Company recognized other expense of $30.7 million for the fiscal year ended December 31, 2023 in connection with the issuance of 5,670,000 shares of Complete Solaria Common Stock to the related party FPA Sellers. The Company also recognized other income of $0.3 million in connection with the issuance of the FPAs with related parties. As of March 31, 2024, the Company has recognized a liability associated with the FPAs of $7.9 million due to related parties in its unaudited condensed consolidated balance sheets, and the Company has recognized other expense associated with the change in fair value of the FPA liability due to related parties of $4.7 million in its unaudited condensed consolidated statements of operations and comprehensive loss for the thirteen-weeks ended March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Mergers, the Company entered into a settlement and release agreement with a related party for the settlement of a working capital loan made to the Sponsor, prior to the closing of the Mergers. As part of the settlement agreement, the Company agreed to pay the related party $0.5 million as a return of capital, which is paid in ten equal monthly installments and does not accrue interest. The Company paid $0.2 million in 2023 and the remaining balance of $0.3 million was paid in the thirteen-week period ended March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SAFEs, as described in Note 13 – Borrowing Arrangements, entered into in January 2024 and February 2024 were with the Rodgers Massey Freedom and Free Markets Charitable Trust, a related party. The Company received proceeds from the SAFEs totaling $5.0 million in exchange for debt that was subsequently converted into shares of the Company’s common stock as discussed in Note 19 – Subsequent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material related party transactions during the thirteen-week periods ended March 31, 2024 and April 2,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SAFEs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13 – Borrowing Arrangements, the Company’s SAFEs were convertible into shares of the Company’s common stock upon the initial closing of an Equity Financing. On April 21, 2024, the Company entered into an amendment for each of its First SAFE and Second SAFE to convert the invested amounts into shares of the Company’s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conversion share price was $0.36, calculated as the product of (i) $0.45, the closing price of the Common Stock on April 19, 2024, multiplied by (ii) 80%. The First SAFE and Second SAFE converted into 4,166,667 and 9,722,222 shares of the Company’s common stock,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Delisting or Failure to Satisfy a Continued Listing Rule; Minimum Bid Price Requirement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16, 2024, the Company received written notice (the “Notice”) from the Nasdaq Stock Market, LLC (“Nasdaq”) notifying the Company that it is not in compliance with the minimum bid price requirement set forth in Nasdaq Listing Rule 5450(a)(1) for continued listing on The Nasdaq Global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Notice does not impact the listing of the Company’s common stock on The Nasdaq Global Market at this time. In accordance with Nasdaq Listing Rule 5810(c)(3)(A), the Company has 180 calendar days to regain compliance with the minimum bid price requirement. To regain compliance, the closing bid price of the Company’s common stock must be at least $1.00 per share for a minimum of ten consecutive business days before October 14, 2024. In the event that the Company does not regain compliance within this 180-day period, the Company may be eligible to seek an additional compliance period of 180 calendar days if it meets the continued listing requirement for the market value of publicly held shares and all other initial listing standards for The Nasdaq Capital Market, with the exception of the minimum bid price requirement, and provides written notice to Nasdaq of its intent to cure the deficiency during this second compliance period by effecting a reverse stock split if necessary. However, if it appears to the Nasdaq staff that the Company will not be able to cure the deficiency, or if the Company is otherwise not eligible, Nasdaq will provide notice to the Company that its common stock will be subject to delisting.</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and will evaluate available options to regain compliance with the minimum bid price requirement.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Forward Purchase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the Company entered into separate amendments to the Forward Purchase Agreements (the collectively the “Second Amendments”) with Sandia (the “Sandia Second Amendment”) and Polar (the “Polar Second Amendment”). The Second Amendments lower the reset price of each Forward Purchase Agreement from $3.00 to $1.00 per share and amend the VWAP Trigger Event provision to read as “After December 31, 2024, an event that occurs if the VWAP Price, for any 20 trading days during a 30 consecutive trading day-period, is below $1.00 per Share.”. The Sandia Second Amendment is not effective until the Company executes similar amendments with both Polar and Meteora.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Delisting or Failure to Satisfy a Continued Listing Rule; Minimum Market Value of Listed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16, 2024, the Company received a letter (the “Letter”) from the staff at Nasdaq notifying the Company that, for the 30 consecutive trading days prior to the date of the Letter, the Company’s common stock had traded at a value below the minimum $50,000,000 “Market Value of Listed Securities” (“MVLS”) requirement set forth in Nasdaq Listing Rule 5450(b)(2)(A), which is required for continued listing of the Company’s common stock on The Nasdaq Global Market. The Letter is only a notification of deficiency, not of imminent delisting, and has no current effect on the listing or trading of the Company’s securities on Nasdaq.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5810(c)(3)(C), the Company has 180 calendar days, or until October 14, 2024, to regain compliance. The Letter notes that to regain compliance, the Company’s common stock must trade at or above a level such that the Company’s MVLS closes at or above $50,000,000 for a minimum of ten consecutive business days during the compliance period, which ends October 14, 2024. The Letter further notes that if the Company is unable to satisfy the MVLS requirement prior to such date, the Company may be eligible to transfer the listing of its securities to The Nasdaq Capital Market (provided that the Company then satisfies the requirements for continued listing on that market).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does not regain compliance by October 14, 2024, Nasdaq staff will provide written notice to the Company that its securities are subject to delisting. At that time, the Company may appeal any such delisting determination to a hearings panel.</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Company’s MVLS between now and October 14, 2024, and may, if appropriate, evaluate available options to resolve the deficiency and regain compliance with the MVLS requirement. While the Company is exercising diligent efforts to maintain the listing of its securities on Nasdaq, there can be no assurance that the Company will be able to regain or maintain compliance with Nasdaq listing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Definitive Agreement to Cancel Debt in Exchange for Equity and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 2024, the Company entered into a common stock purchase agreement (the “Common Stock Purchase Agreement”) with Kline Hill providing for</w:t>
      </w:r>
    </w:p>
    <w:p>
      <w:pPr>
        <w:spacing w:after="0" w:line="27" w:lineRule="exact"/>
        <w:rPr>
          <w:sz w:val="20"/>
          <w:szCs w:val="20"/>
          <w:color w:val="auto"/>
        </w:rPr>
      </w:pPr>
    </w:p>
    <w:p>
      <w:pPr>
        <w:jc w:val="both"/>
        <w:ind w:firstLine="8"/>
        <w:spacing w:after="0" w:line="251"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owed to Kline Hill by the Company, termination of all debt instruments by and between the Company and Kline Hill, and the satisfaction of all obligations owed to Kline Hill by the Company under the terminated debt instruments, (b) the issuance of 9,800,000 shares of the Company’s common stock to Kline Hill, (c) the issuance of warrants (the “Kline Hill Warrants” and the shares issuable therefrom, the “Warrant Shares”) to Kline Hill to purchase up to 3,700,000 shares of the Company’s common stock, with an exercise price per share of $0.62 (the closing price per share of the Company’s common stock as reported on the Nasdaq Capital Market of the date of the Agreement), and (d) a one-time $3,750,000 cash payment to Kline Hill upon the earlier of (i) the Company achieving $100,000,000 of trailing twelve month revenue, or (ii) the Company achieving $10,000,000 of trailing twelve month EBITDA. The Kline Hill Warrants will be sold to Kline Hill at a price of $0.125 per Warrant Share. The closing of the foregoing transactions will occur when the following conditions are met: Carlyle executes an agreement to cancel all debt owed to Carlyle by the Company, and all debt owed to Carlyle and its affiliates by the Company is no longer outstanding.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and with our unaudited condensed consolidated financial statements and related notes included in our Annual Report on Form 10-K filed with the Securities and Exchange Commission on March 31, 2024, and related management’s discussion and analysis in Item 7 of the Annual Report on Form 10-K. This discussion contains forward-looking statements that involve risks and uncertainties. Our actual results could differ materially from those discussed below. Factors that could cause or contribute to such differences include those identified below and those discussed in the section titled “Risk Factors” included elsewhere in this Quarterly Report on Form 10-Q. Please also see the section 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Complete Solaria was formed in November 2022 through the merger of Complete Solar Holding Corporation, a Delaware corporation (“Complete Solar”), and The Solaria Corporation, a Delaware corporation (such entity, “Solaria,” and such transaction, the “Business Combination”).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its sales partners, making them competitive with national providers. This turnkey solution makes it easy for anyone to sell solar.</w:t>
      </w:r>
    </w:p>
    <w:p>
      <w:pPr>
        <w:spacing w:after="0" w:line="18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We fulfill our customer contracts by engaging with local construction specialists. We manage the customer experience and complete all pre-construction activities prior to delivering build-ready projects including hardware, engineering plans, and building permits to its builder partners. We manage and coordinate this process through our proprietary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system.</w:t>
      </w:r>
    </w:p>
    <w:p>
      <w:pPr>
        <w:spacing w:after="0" w:line="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January 1, 2023, we changed our fiscal quarters to four, thirteen-week periods within a standard calendar year. Each annual reporting period begins on January 1 and ends on December 31.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substantial doubt about our ability to continue as a going concern within one year after the date that the unaudited condensed consolidated financial statements are issued. The accompanying unaudited condensed consolidated financial statements have been prepared assuming we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Complete Solaria’s growth strategy contains the following elements:</w:t>
      </w:r>
    </w:p>
    <w:p>
      <w:pPr>
        <w:spacing w:after="0" w:line="223" w:lineRule="exact"/>
        <w:rPr>
          <w:sz w:val="20"/>
          <w:szCs w:val="20"/>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 </w:t>
      </w:r>
      <w:r>
        <w:rPr>
          <w:rFonts w:ascii="Times New Roman" w:cs="Times New Roman" w:eastAsia="Times New Roman" w:hAnsi="Times New Roman"/>
          <w:sz w:val="18"/>
          <w:szCs w:val="18"/>
          <w:color w:val="auto"/>
        </w:rPr>
        <w:t>We continue to expand our network of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will install systems resulting from sales generated by our sales partners. By leveraging this network of skilled builders, we aim to increase our installation capacity in our traditional markets and expand our offering into new geographies throughout the United States. This will enable greater sales growth in existing markets and create new revenue in expansion markets.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We aim to offer a turnkey solar solution to prospective sales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national footprint. These sales partners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entered into an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and Solaria on October 3, 2022 (“Merger”). The Merger was consummated on July 18, 2023. Upon the terms and subject to the conditions of the Merger, (i) First Merger Sub merged with and into Complete Solaria with Complete Solaria surviving as a wholly-owned subsidiary of FACT (the “First Merger”), (ii) immediately thereafter and as part of the same overall transaction, Complete Solaria merged with and into Second Merger Sub, with Second Merger Sub surviving as a wholly-owned subsidiary of FACT (the “Second Merger”),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(“Third Merger Sub”), with Third Merger Sub surviving as a wholly-owned subsidiary of FACT (the “Additional Merger”, and together with the First Merger and the Second Merger, the “Mergers”).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Mergers between Complete Solaria and FACT has been accounted for as a reverse recapitalization. Under this method of accounting, FACT is treated as the acquired company for financial statement reporting purposes. This determination was primarily based on us having a majority of the voting power of the post-combination company, our senior management comprising substantially all of the senior management of the post-combination company, and our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Transaction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2023, we completed the sale of our solar panel business (“Disposal Transaction”) to Maxeon, Inc. (“Maxeon”), pursuant to the terms of an asset purchase agreement (“Disposal Agreement”). Under the terms of the Disposal Agreement, Maxeon agreed to acquire certain assets and employees of Complete Solaria, for an aggregate purchase price of approximately $11.0 million consisting of 1,100,000 shares of Maxeon ordinary shares. As of December 31, 2023, we had sold all the shares of Maxeon and recorded a loss of $4.2 million.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Disposal Transaction, we determined that the criteria were met for the “held for sale” and discontinued operations classifications as of the end of our third fiscal quarter in 2023 as the divestiture represented a strategic shift in our business. We recorded an impairment charge of $147.5 million associated with the recording of the assets as held for sale during the year ended December 31, 2023.</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we have discussed our historical results of continuing operations which excludes product revenues and related metrics of our solar panel business, as all results of operations associated with the solar panel business have been presented as discontinued operations,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by providing customer solar solutions through a standardized platform to our residential solar providers and companies to facilitate the sale and installation of solar energy systems. Our contracts consist of two performance obligations; solar installation services and post-installation services that are performed prior to inspection by the authority having jurisdiction. The majority of our service revenue is recognized at a point in time upon the completion of the installation, and the remainder is recognized upon inspection. Service revenue is recognized net of a reserve for the performance guarantee of solar output.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 into three types of customer contracts for solar energy installations. The majority of our service revenue is recognized through contracts where the homeowner enters into a power purchase agreement with our distribution partner. We perform the solar energy installation services on behalf of our distribution partner, who owns the solar energy system upon installation. Additionally, we enter into a Solar Purchase and Installation Agreement directly with homeowners, whereby the homeowner either pays cash or obtains financing through a third-party loan partner. In cash contracts with homeowners, we recognize service revenue based on the price we charge to the homeowner. We record service revenue in the amount received from the financing partner, net of any financing fees charged to the homeowner, which we consider to be a customer incentive.</w:t>
      </w:r>
    </w:p>
    <w:p>
      <w:pPr>
        <w:spacing w:after="0" w:line="18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As part of our service revenue, we also enter into contracts to provide our software enhanced service offerings, including design and proposal services to customers that include solar installers and solar sales organizations. We perform these leveraging our HelioQuote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and other software tools to create computer aided drawings, structural letters, and electrical reviews for installers and proposals for installers. We charge a fixed fee per service offering, which we recognize in the period the service is performed.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the cost of solar energy systems, installation and other subcontracting costs. Cost of revenues also includes associated warranty costs, shipping and handling, allocated overhead costs, depreciation, and amortization of internally developed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Sales commissions are direct and incremental costs of obtaining customer contracts. These costs are paid to third-party vendors who source residential customer contracts for the sale of solar energy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employees, in our finance, research, engineering, and administrative teams including salaries, bonuses, payroll taxes, and stock-based compensation. It also consists of legal, consulting, and professional fees, rent expenses pertaining to our offices, business insurance costs and other costs. We expect an increase in audit, tax, accounting, legal and other costs related to compliance with applicable securities and other regulations, as well as additional insurance, investor relations, and other costs associated with being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primarily relates to interest expense on the issuance of debt and convertible notes and the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of changes in the fair value of our convertible notes, the impact of debt extinguishment, changes in the fair value of stock warrant liabilities and forward purchase agreements and other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primarily consists of income taxes in certain foreign and state jurisdictions in which we conduct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a small number of suppliers of solar energy systems and other equipment. If any of our suppliers was unable or unwilling to provide us with contracted quantities in a timely manner at prices, quality levels and volumes acceptable to us, we would have very limited alternatives for supply, and we may not be able find suitable replacements for our customers, or at all. Such an event could materially adversely affect our business, prospects, financial condition and results of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In an effort to mitigate unpredictable lead times, we experienced a substantial build up in inventory on hand commencing in early 2022 in response to global supply chain constraints. In certain cases, the global supply chain constraints have caused delays in critical equipment and inventory, longer lead times, and has resulted in cost volatility. These shortages and delays can be attributed in part to the residual effects of the COVID-19 pandemic and resulting government action, as well as broader macroeconomic conditions, and have been exacerbated by the conflicts in Ukraine and Israel. While we believe that a majority our suppliers have secured sufficient supply to permit them to continue delivery and installations through the end of March 2025, if these shortages and delays persist, they could adversely affect the timing of when battery energy storage systems can be delivered and installed, and when (or if) we can begin to generate revenue from those systems.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 For additional information on risk factors that could impact our results,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located elsewhere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unaudited condensed consolidated financial statements included elsewhere in this Quarterly Report on Form 10-Q.</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policies associated with our revenue recognition, product warranties, inventory excess and obsolescence and stock-based compensation have the greatest impact on our unaudited condensed consolidated financial statements. Therefore, we consider these to be our critical accounting policies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revenue when control of goods or services is transferred to customers, in an amount that reflects the consideration we expect to be entitled to in exchange for those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 Solar Energy System Installations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majority of our revenue is generated from the installation of solar energy systems. We identify two performance obligations, which include installation services and post-installation services, and we recognize revenue when control transfers to the customer, upon the completion of the installation and upon the solar energy system passing inspection by the authority having jurisdiction, respectively. We apply judgment in allocating the transaction price between the installation and post-installation performance obligations, based on the estimated costs to perform our services. Changes in such estimates could have a material impact on the timing of our revenue recognition.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contracts with customers generally contain a performance guarantee of system output, and we will issue payments to customers if output falls below contractually stated thresholds over the performance guarantee period, which is typically 10 years. We apply judgment in estimating the reduction in revenue associated with the performance guarantee, which historically has not been material. However, due to the long-term nature of the guarantee, changes in future estimates could have a material impact on the estimate of our revenue reserve.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 Software Enhanced Services</w:t>
      </w:r>
    </w:p>
    <w:p>
      <w:pPr>
        <w:spacing w:after="0" w:line="23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We recognize revenue from software enhanced services, which include proposals generated from our HelioQuote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and design services performed using internally developed and external software applications. We contract with solar installers to generate proposals, and we contract with solar sales entities to perform design services for their potential customers. Under each type of customer contract, we generate a fixed number of proposals or designs for the customer in the month the services are contracted. Contracts with customers are enforceable on a month-to-month basis and we recognize revenue each month based on the volume of services performed.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typically provide a 10-year warranty on our solar energy system installations, which provides assurance over the workmanship in performing the installation, including roof leaks caused by our performance. For solar panel sales recognized prior to the Disposal Transaction, we provide a 30-year warranty that the products will be free from defects in material and workmanship. We record a liability for estimated future warranty claims based on historical trends and new installations. To the extent that warranty claim behavior differs from historical trends, we may experience a material change in our warranty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Excess and Obsolescence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inventory consists of completed solar energy systems and related components, which we classify as finished costs. We record a reserve for inventory which is considered obsolete or in excess of anticipated demand based on a consideration of marketability and product life cycle stage, component cost trends, demand forecasts, historical revenues, and assumptions about future demand and market conditions. We apply judgment in estimating the excess and obsolete inventory, and changes in demand for our inventory components could have a material impact on our inventory reserve balance.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stock-based compensation expense over the requisite service period on a straight-line basis for all stock-based payments that are expected to vest to employees, non-employees and directors, including grants of employee stock options and other stock-based awards. Equity-classified awards issued to employees and non-employees, such as consultants and non-employee directors, are measured at the grant-date fair value of the award. Forfeitures are recognized as they occur.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accounting purposes, prior to the Business Combination, the fair value of the shares of common stock underlying stock options had historically been determined by our board of directors. Because there had been no public market for our common stock, the board of directors exercised reasonable judgment and considered a number of objective and subjective factors to determine the best estimate of the fair value of our common stock, including important developments in our operations, sales of redeemable convertible preferred stock, actual operating results and financial performance, the conditions in the renewable solar energy industry and the economy in general, the stock price performance and volatility of comparable public companies, and the lack of liquidity of our common stock, among other factors. Following the Business Combination, the fair value of common stock is based on the closing stock price on the date of grant as reported on the Nasdaq Global Select Market.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the grant-date fair value of stock options using the Black-Scholes option pricing model. The Black-Scholes option pricing model requires the input of highly subjective assumptions, including the fair value of the underlying common stock prior to the Mergers, the expected term of the option, the expected volatility of the price of our common stock and expected dividend yield. We determine these inputs as follows:</w:t>
      </w:r>
    </w:p>
    <w:p>
      <w:pPr>
        <w:spacing w:after="0" w:line="176" w:lineRule="exact"/>
        <w:rPr>
          <w:sz w:val="20"/>
          <w:szCs w:val="20"/>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Term-Expected term represents the period that our stock-based awards are expected to be outstanding and is determined using the simplified method.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Volatility-Expected volatility is estimated by studying the volatility of comparable public companies for similar terms.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Dividend-The Black-Scholes valuation model calls for a single expected dividend yield as an input. We have never paid dividends and have no plans to pay dividends.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We derive the risk-free interest rate assumption from the U.S. Treasury’s rates for the U.S. Treasury zero-coupon bonds with maturities similar to those of the expected term of the awards being valued.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assumptions used in the Black-Scholes option pricing model change significantly, stock-based compensation for future awards may differ materially compared to the awards granted previously. For the thirteen-week periods ended March 31, 2024 and April 2, 2023, stock-based compensation expense was $1.3 million and $1.0 million, respectively, of which zero and $0.7 million, respectively, related to discontinued operations. As of March 31, 2024, we had approximately $18.8 million of total unrecognized stock-based compensation expense related to stock options.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discussion of recently issued accounting standards applicable to Complete Solaria is described in Note 2 - Summary of Significant Accounting Policies, in the accompanying notes to the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Thirteen-weeks ended March 31, 2024 compared to the thirteen-weeks ended April 2, 2023</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thirteen-weeks ended March 31, 2024 and the thirteen-weeks ended April 1, 2023. We have derived this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Thirteen-</w:t>
            </w:r>
          </w:p>
        </w:tc>
        <w:tc>
          <w:tcPr>
            <w:tcW w:w="140" w:type="dxa"/>
            <w:vAlign w:val="bottom"/>
          </w:tcPr>
          <w:p>
            <w:pPr>
              <w:spacing w:after="0"/>
              <w:rPr>
                <w:sz w:val="18"/>
                <w:szCs w:val="18"/>
                <w:color w:val="auto"/>
              </w:rPr>
            </w:pPr>
          </w:p>
        </w:tc>
        <w:tc>
          <w:tcPr>
            <w:tcW w:w="12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Thirteen-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2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0" w:type="dxa"/>
            <w:vAlign w:val="bottom"/>
          </w:tcPr>
          <w:p>
            <w:pPr>
              <w:spacing w:after="0"/>
              <w:rPr>
                <w:sz w:val="18"/>
                <w:szCs w:val="18"/>
                <w:color w:val="auto"/>
              </w:rPr>
            </w:pPr>
          </w:p>
        </w:tc>
        <w:tc>
          <w:tcPr>
            <w:tcW w:w="124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18"/>
                <w:szCs w:val="18"/>
                <w:color w:val="auto"/>
              </w:rPr>
            </w:pPr>
          </w:p>
        </w:tc>
        <w:tc>
          <w:tcPr>
            <w:tcW w:w="12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April 2,</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8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7,757</w:t>
            </w:r>
          </w:p>
        </w:tc>
        <w:tc>
          <w:tcPr>
            <w:tcW w:w="140" w:type="dxa"/>
            <w:vAlign w:val="bottom"/>
          </w:tcPr>
          <w:p>
            <w:pPr>
              <w:spacing w:after="0"/>
              <w:rPr>
                <w:sz w:val="24"/>
                <w:szCs w:val="24"/>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13,827</w:t>
            </w:r>
          </w:p>
        </w:tc>
        <w:tc>
          <w:tcPr>
            <w:tcW w:w="16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(6,070)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3,116</w:t>
            </w: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5,677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1,618</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935</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7"/>
        </w:trPr>
        <w:tc>
          <w:tcPr>
            <w:tcW w:w="584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4"/>
                <w:szCs w:val="24"/>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5,093</w:t>
            </w:r>
          </w:p>
        </w:tc>
        <w:tc>
          <w:tcPr>
            <w:tcW w:w="140" w:type="dxa"/>
            <w:vAlign w:val="bottom"/>
          </w:tcPr>
          <w:p>
            <w:pPr>
              <w:spacing w:after="0"/>
              <w:rPr>
                <w:sz w:val="24"/>
                <w:szCs w:val="24"/>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8,913</w:t>
            </w:r>
          </w:p>
        </w:tc>
        <w:tc>
          <w:tcPr>
            <w:tcW w:w="16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(3,820)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6"/>
        </w:trPr>
        <w:tc>
          <w:tcPr>
            <w:tcW w:w="58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3"/>
        </w:trPr>
        <w:tc>
          <w:tcPr>
            <w:tcW w:w="58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(7,544)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(12,423)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4,879</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(3,568)</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(3,611)</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1,519</w:t>
            </w: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(9,587)</w:t>
            </w:r>
          </w:p>
        </w:tc>
        <w:tc>
          <w:tcPr>
            <w:tcW w:w="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(15,709)</w:t>
            </w: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6,122</w:t>
            </w:r>
          </w:p>
        </w:tc>
        <w:tc>
          <w:tcPr>
            <w:tcW w:w="220" w:type="dxa"/>
            <w:vAlign w:val="bottom"/>
            <w:vMerge w:val="continue"/>
          </w:tcPr>
          <w:p>
            <w:pPr>
              <w:spacing w:after="0"/>
              <w:rPr>
                <w:sz w:val="17"/>
                <w:szCs w:val="17"/>
                <w:color w:val="auto"/>
              </w:rPr>
            </w:pPr>
          </w:p>
        </w:tc>
        <w:tc>
          <w:tcPr>
            <w:tcW w:w="13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584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8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2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change not meaningful</w:t>
      </w:r>
    </w:p>
    <w:p>
      <w:pPr>
        <w:spacing w:after="0" w:line="11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stock-based compensation expense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from continuing operations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to related party of zero and $0.2 million during the thirteen-weeks ended March 31, 2024 and April 1, 2023, respectively.</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other income (expense), net from related parties of $4.7 million and zero during the thirteen-weeks ended March 31, 2024 and April 2, 2023,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72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We disaggregate our revenues based on the following types of services (in thousands):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April 2,</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solar energy system installations for the thirteen-weeks ended March 31, 2024 was $9.9 million compared to $15.8 million for the thirteen-weeks ended April 2, 2023. The decrease in solar energy system installation revenues of $5.9 million was primarily due to a decrease in the volume of solar energy system installations.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software enhanced services for the thirteen-weeks ended March 31, 2024 was $0.1 million compared to $0.8 million for the thirteen-weeks ended April 2, 2023. The decrease was the result of a shift in focus towards solar energy installations.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for the thirteen-weeks ended March 31, 2024 was $7.8 million compared to $13.8 million for the thirteen-weeks ended April 2, 2023. The decrease in cost of revenues of $6.0 million, or 44%, was primarily due to the decrease in revenue of 40% and emphasis on managing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margin for the thirteen-weeks ended March 31, 2024 was 23% compared to 17% for the thirteen-weeks ended April 2, 2023. The improvement in gross margin was principally attributable to managing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for the thirteen-weeks ended March 31, 2024 was $3.1 million compared to $5.7 million for the thirteen-weeks ended April 2, 2023. The decrease of $2.6 million, or 45%, was primarily due to the decrease in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 for the thirteen-weeks ended March 31, 2024 was $1.6 million compared to $0.7 million for the thirteen-weeks ended April 2, 2023. The increase is attributable to an increase of $0.6 million in payroll, an increase of $0.2 million in travel related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costs for the thirteen-weeks ended March 31, 2024 was $5.1 million compared to $8.9 million for the thirteen-weeks ended April 2, 2023. The decrease was primarily attributed to decrease in bad debt expense of $2.4 million, decrease of $2.1 million in Outside Services, and an increase in stock-based compensation costs of $0.6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remained unchanged in the amount of $3.6 million for the thirteen-weeks ended March 31, 2024 and April 2,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net for the thirteen-weeks ended March 31, 2024 increased by $1.2 million compared to the thirteen-weeks ended April 2, 2023. Other income, net in the thirteen-weeks ended March 31, 2024 was income of $1.5 million and was comprised of $7.2 million of income arising partially offset by $5.6 million of expense relating to changes in the fair value of our forward purchase agreements and $0.1 million relating to the residual costs of the disposed Solaria business.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for the thirteen-weeks ended April 2, 2023 was income of $0.3 million and was comprised of $0.2 million change in the fair value of liability-classified warrants and $.1 million related to the Solaria discontinued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thirteen-weeks ended March 31, 2024 was $9.6 million, a decrease of $6.1 million, as compared to a net loss from continuing operations of $15.7 million for the thirteen-weeks ended April 2,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incurred a net loss of $9.6 million during the thirteen-weeks ended March 31, 2024, and had an accumulated deficit of $364.5 million and current debt of $65.2 million as of March 31, 2024. We had cash and cash equivalents of $1.8 million as of March 31, 2024, which were held for working capital expenditures. We believe our operating losses and negative operating cash flows will continue into the foreseeable future. We have financed our operations primarily through sales of equity securities, issuance of convertible notes and cash generated from operations. Our cash equivalents are on deposit with major financial institutions. Our cash position raises substantial doubt regarding our ability to continue as a going concern for 12 months following the issuance of the unaudited condensed consolidated financial statements.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receive the proceeds from any cash exercise of warrants for shares of our common stock. The aggregate amount of proceeds could be up to $254.1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Mergers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May 13, 2024, the price of our common stock was $0.55 per share. The weighted average exercise price of the warrants was $8.70 as of March 31, 2024.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Bridge Notes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2018, The Solaria Corporation issued senior subordinated convertible secured notes (“2018 Notes”) totaling approximately $3.4 million in exchange for cash. The 2018 Notes bear interest at the rate of 8% per annum and the investors are entitled to receive twice the face value of the 2018 Notes at maturity. In 2021, the 2018 Notes were amended extending the maturity date to December 13, 2022. In connection with the 2021 amendment, Solaria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The 2018 Notes are secured by substantially all of the assets of Complete Solaria.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an amendment to the 2018 Notes extending the maturity date from December 13, 2022 to December 13, 2023, and the 2018 Notes remain outstanding as of March 31, 2024. In connection with the amendment, the 2018 Notes will continue to bear interest at 8% per annum and are entitled to an increased repayment premium from 110% to 120% of the principal and accrued interest at the time of repayment.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concluded that the amendment represented was a troubled debt restructuring as we were experiencing financial difficulty, and the amended terms resulted in a concession to us. As the future undiscounted cash payments under the modified terms exceeded the carrying amount of the 2018 Notes on the date of modification, the modification was accounted for prospectively. The incremental repayment premium is being amortized to interest expense using the effective interest rate method. As of March 31, 2024 and December 31, 2023, the carrying value of the 2018 Notes was $11.4 million and $11.0 million, respectively. Interest expense recognized for the thirteen-weeks ended March 31, 2024 was $0.3 million. The terms of the 2018 Notes are currently being renegotiated.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 Loan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2020, Solaria entered into a loan agreement (“Loan Agreement”) with Structural Capital Investments III, LP (“SCI”). The Loan Agreement with SCI is comprised of two facilities, a term loan (the “Term Loan”) and a revolving loan (the “Revolving Loan”) for $5.0 million each with a maturity date of October 31, 2023. Both the Term Loan and the Revolving Loan were fully drawn upon closing. The Term Loan was repaid prior to the acquisition of Solaria by Complete Solar and was not included in the business combination.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Revolving Loan has a term of thirty-six months, with the principal due at the end of the term and an annual interest rate of 7.75% or Prime rate plus 4.5%, whichever is higher. Interest expense recognized for the thirteen-weeks ended March 31, 2024 was $0.1 million. In October 2023, the Company entered into an Assignment and Acceptance Agreement whereby Structural Capital Investments III, LP assigned the SCI debt to Kline Hill Partners Fund LP, Kline Hill Partners IV SPV LLC, Kline Hill Partners Opportunity IV SPV LLC, and Rodgers Massey Revocable Living Trust for a total purchase price of $5.0 million. The SCI Revolving Loan continued to remain outstanding as of March 31, 2024 and is currently being renegotiated.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Credit Facility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2022, we entered into a secured credit facility agreement with Kline Hill Partners IV SPV LLC and Kline Hill Partners Opportunity IV SPV LLC (“Secured Credit Facility”). The Secured Credit Facility agreement allows us to borrow up to 70% of the net amount of our eligible vendor purchase orders with a maximum amount of $10.0 million at any point in time. The purchase orders are backed by relevant customer sales orders which serve as collateral. The amounts drawn under the Secured Credit Facility may be reborrowed provided that the aggregate borrowing does not exceed $20.0 million. The repayment under the Secured Credit Facility is the borrowed amount multiplied by 1.15x if repaid within 75 days and borrowed amount multiplied by 1.175x if repaid after 75 days. We may prepay any borrowed amount without premium or penalty. Under the original terms, the Secured Credit Facility agreement was due to mature in April 2023. We are in the process of amending the secured credit facility agreement to extend its maturity date.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2024, the outstanding net debt amounted to $12.7 million, including accrued financing cost of $5.0 million compared to December 31, 2023, the balance outstanding was $12.2 million, including accrued financing cost of $4.5 million. We recognized interest expense of $0.5 million related to the Secured Credit Facility during the thirteen-weeks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 Loan and Secured Credit Facility Cancellation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 2024, we entered into a common stock purchase agreement (the “Common Stock Purchase Agreement”) with Kline Hill providing for</w:t>
      </w:r>
    </w:p>
    <w:p>
      <w:pPr>
        <w:spacing w:after="0" w:line="27" w:lineRule="exact"/>
        <w:rPr>
          <w:sz w:val="20"/>
          <w:szCs w:val="20"/>
          <w:color w:val="auto"/>
        </w:rPr>
      </w:pPr>
    </w:p>
    <w:p>
      <w:pPr>
        <w:jc w:val="both"/>
        <w:ind w:firstLine="8"/>
        <w:spacing w:after="0" w:line="250"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owed to Kline Hill by us, termination of all debt instruments by and between us and Kline Hill, and the satisfaction of all obligations owed to Kline Hill by us under the terminated debt instruments, (b) the issuance of 9,800,000 shares of our common stock to Kline Hill,</w:t>
      </w:r>
    </w:p>
    <w:p>
      <w:pPr>
        <w:jc w:val="both"/>
        <w:ind w:firstLine="8"/>
        <w:spacing w:after="0" w:line="252" w:lineRule="auto"/>
        <w:tabs>
          <w:tab w:leader="none" w:pos="2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warrants (the “Kline Hill Warrants” and the shares issuable therefrom, the “Warrant Shares”) to Kline Hill to purchase up to 3,700,000 shares of the our common stock, with an exercise price per share of $0.62 (the closing price per share of the our common stock as reported on the Nasdaq Capital Market of the date of the Agreement), and (d) a one-time $3,750,000 cash payment to Kline Hill upon the earlier of (i) us achieving $100,000,000 of trailing twelve month revenue, or (ii) us achieving $10,000,000 of trailing twelve month EBITDA. The Kline Hill Warrants will be sold to Kline Hill at a price of $0.125 per Warrant Share. The closing of the foregoing transactions will occur when the following conditions are met: Carlyle executes an agreement to cancel all debt owed to Carlyle by us, and all debt owed to Carlyle and its affiliates by the Company is no longer outstanding.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CS Solis Debt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2022, we received cash and recorded a liability for an investment by Carlyle into the Company. The investment was made pursuant to a subscription agreement, under which Carlyle contributed $25.6 million in exchange for 100 Class B Membership Units of CS Solis. The Class B Membership Units are mandatorily redeemable by us on the three-year anniversary of the effective date of the CS Solis amended and restated LLC agreement. The Class B Membership Units accrue interest that is payable upon redemption at a rate of 10.5% which is accrued as an unpaid dividend, compounded annually, and subject to increases in the event we declare any dividends. In July 2023, we amended the debt of with Carlyle as part of the closing of the Mergers. The modification did not change the interest rate. The modification accelerated the redemption date of the investment from February 15, 2025 to March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we have recorded a liability of $35.8 million and $33.3 million, respectively, included in short-term debt in CS Solis on our unaudited condensed consolidated balance sheets. For the thirteen-weeks ended March 31, 2024, we have recorded accretion of the liability as interest expense of $2.5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(ii) Polar, and (iii) Sandia (each individually, a “Seller”, and together, the “FPA Sellers”).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may (i)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over 15 scheduled trading days. The magnitude of the settlement is based on the Settlement Amount, an amount equal to the product of: (1) Number of shares issued to the FPA Seller pursuant to the FPA, less the number of Terminated Shares multiplied by (2) the VWAP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is less than the then applicable Reset Price.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four separate FPAs, three of which, associated with the obligation to issue 6,300,000 Shares, were entered into prior to the closing of the Mergers. Upon signing the FPAs, we incurred an obligation to issue a fixed number of shares to the FPA Sellers contingent upon the closing of the Mergers in addition to the terms and conditions associated with the settlement of the FPAs. We accounted for the contingent obligation to issue shares in accordance with ASC 815, Derivatives and Hedging, and recorded a liability and other income (expense), net based on the fair value upon of the obligation upon the signing of the FPAs. The liability was extinguished in July 2023 upon the issuance of Complete Solaria Common Stock to the FPA sellers.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in accordance with ASC 480, Distinguishing Liabilities from Equity, we have has determined that the forward contracts are financial instruments other than shares that represent or are indexed to obligations to repurchase the issuer’s equity shares by transferring assets, referred to herein as the “forward purchase liability” on its consolidated balance sheets. We initially measured the forward purchase liability at fair value and have subsequently remeasured it at fair value with changes in fair value recognized in earnings.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the date of issuance of the Complete Solaria Common Stock in satisfaction of our obligation to issue shares around the closing of the Mergers, we recorded $35.5 million to other income (expense), net associated with the issuance of 6,720,000 shares of Complete Solaria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closing of the Mergers and issuance of the Complete Solaria Common Stock underlying the FPAs, the fair value of the prepaid FPAs was an asset balance of $0.1 million and was recorded on the Company’s consolidated balance sheets and within other income (expense), net on the unaudited condensed consolidated statements of operations and comprehensive loss. Subsequently, the change of fair value of the forward purchase liability amounted to an expense of $3.9 million for the fiscal year ended December 31, 2023. As of December 31, 2023, the forward purchase liabilities amounted to $3.8 million.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18, 2023, the Company and the FPA Sellers entered into separate amendments to the FPAs (the “Amendments”). The Amendments lower the reset floor price of each FPA from $5.00 to $3.00 and allow the Company to raise up to $10.0 million of equity from existing stockholders without triggering certain anti-dilution provisions contained in the FPAs;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31, 2024, we entered into a simple agreement for future equity (the “First SAFE”) with the Rodgers Massey Freedom and Free Markets Charitable Trust (the “Purchaser”) in connection with the Purchaser investing $1.5 million in the Company. The First SAFE was initially convertible into shares of our common stock, par value $0.0001 per share, upon the initial closing of a bona fide transaction or series of transactions with the principal purpose of raising capital, pursuant to which we have issued and sold common stock at a fixed valuation (an “Equity Financing”), at a per share conversion price which was equal to the lower of (i)(a) $53.54 million divided by (b) our capitalization immediately prior to such Equity Financing (such conversion price, the “SAFE Price”), and (ii) 80% of the price per share of our common stock sold in the Equity Financing. If we consummated a change of control prior to the termination of the First SAFE, the Purchaser will would have been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“Liquidity Price”),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2024, we entered into a simple agreement for future equity (the “Second SAFE” and together with the First SAFE, the “SAFEs”) with the Purchaser in connection with the Purchaser investing $3.5 million in the Company. The Second SAFE was initially convertible into shares of our common stock upon the initial closing of an Equity Financing at a per share conversion price which was equal to the lower of (i) the SAFE Price, and (ii) 80% of the price per share of our common stock sold in the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price of the Common Stock on February 15, 2024, multiplied by (ii) 80%.</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21, 2024, we entered into an amendment for each of our First SAFE and Second SAFE to convert the invested amounts into shares of the our common stock. The conversion share price was $0.36, calculated as the product of (i) $0.45, the closing price of our common stock on April 19, 2024, multiplied by (ii) 80%. The First SAFE and Second SAFE converted into 4,166,667 and 9,722,222 shares of our common stock,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-Thirteen-Weeks Ended March 31, 2024 and April 2,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Complete Solaria’s cash flows from operating, investing, and financing activities for the thirteen-weeks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April 2, 2023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Thirteen-</w:t>
            </w:r>
          </w:p>
        </w:tc>
      </w:t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Weeks</w:t>
            </w:r>
          </w:p>
        </w:tc>
      </w:t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April 2,</w:t>
            </w:r>
          </w:p>
        </w:tc>
      </w:tr>
      <w:tr>
        <w:trPr>
          <w:trHeight w:val="245"/>
        </w:trPr>
        <w:tc>
          <w:tcPr>
            <w:tcW w:w="524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(1,209)</w:t>
            </w:r>
          </w:p>
        </w:tc>
      </w:tr>
      <w:tr>
        <w:trPr>
          <w:trHeight w:val="655"/>
        </w:trPr>
        <w:tc>
          <w:tcPr>
            <w:tcW w:w="5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$4.9 million for the thirteen-weeks ended March 31, 2024 was primarily due to the net loss from continuing operations, net of tax of $9.6 million partially offset by non-cash charges of $3.5 million and net cash inflows of $1.1 million from changes in our operating assets and liabilities. Non-cash charges in our operating results consisted of a $5.6 million adjustment to our forward purchase agreement liabilities, $1.3 million stock-based compensation expense, $2.5 in million accretion of interest attributable to the CS Solis Debt, $1.0 million of other non-cash interest, $0.4 million of depreciation and amortization and $0.2 million of non-cash lease costs, partially offset by $7.2 million of income from the change in the fair value of our warrant liabilities and a $0.3 million decrease in our reserve for excess and obsolete inventory. The main drivers of net cash inflows derived from the changes in operating assets and liabilities were related to a decrease in accounts receivable, net of $5.3 million and a decrease in inventories of $0.6 million, partially offset by a decrease in accounts payable of $2.6 million, a decrease in accrued expenses and other liabilities of $1.6 million, a decrease in operating lease liabilities of $0.2 million and a decrease in deferred revenue of $0.4 million.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$16.1 million for the thirteen-weeks ended April 2, 2023 was primarily due to the net loss from continuing operations, net of tax of $15.7 million and net cash outflows of $5.8 million from changes in operating assets and liabilities, adjusted for non-cash charges of $5.4 million. The main drivers of net cash outflows derived from the changes in operating assets and liabilities were related to an increase in accounts receivable, net of $3.2 million, an increase in prepaid and other current assets of $1.9 million, a decrease in deferred revenue of $0.9 million, an increase in other noncurrent assets of $0.8 million, a decrease in accrued expenses and other current liabilities of $0.6 million and an increase in inventories of $0.6 million, partially offset by an increase in accounts payable of $2.1 million and other of $0.1 million. Non-cash charges primarily consisted of a provision for credit losses of $2.1 million, non-cash interest expense of $1.2 million, a change in reserve for obsolete inventory of $0.8 million, accretion of long-term debt in CS Solis of $0.8 million, stock-based compensation of $0.3 million, and other changes, net of $0.2 million.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net decrease in cash, cash equivalents and restricted cash from discontinued operations of $0.2 million for the thirteen-weeks ended April 2, 2023 was entirely attributable to net cash provided by operating activities from discontinued operations. This decrease was primarily due to the net loss from discontinued operations, net of tax of $7.8 million, adjusted for non-cash charges of $2.2 million and net cash inflows of $5.4 million from changes in our operating assets and liabilities. Non-cash charges primarily consisted of depreciation and amortization expense of $0.8 million, stock-based compensation expense of $0.7 million and a $0.7 million change in allowance for credit losses. The main drivers of net cash inflows derived from the changes in operating assets and liabilities were related to a decrease in inventories of $5.9 million and an increase in accounts payable of $0.6 million, partially offset by a decrease in accrued expenses of $0.6 million, a decrease in deferred revenue of $0.2 million and changes in other operating assets and liabilities, net of $0.3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$0.5 million and $0.5 million for the thirteen-weeks ended March 31, 2024, and April 2, 2023, respectively, and attributable to additions to internal-use-software.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$5.0 million for the thirteen-weeks ended March 31, 2024 was primarily due to $5.0 million in net proceeds from the issuance of SAFE agreements to a related party and $0.3 million final payment on the settlement of the amount due to Polar Multi-Strategy Master Fund.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$15.6 million for the thirteen-weeks ended April 2, 2023 was due to proceeds of $11.0 million in from the issuance of convertible notes and draws of $14.1 million, net of $9.6 million in repayments on our Secured Credit Facility and $0.1 million of proceeds from the issuance of shares of our common stock from the exercise of common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Complete Solaria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Complete Solaria is a party, under which it has any obligation arising under a guaranteed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Complete Solaria does not engage in off-balance sheet financing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Complete Solaria is an “emerging growth company” as defined in Section 2(a) of the Securities Act, and has elected to take advantage of the benefits of the extended transition period for new or revised financial accounting standards. Following the closing of the Mergers, our Post-Combination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December 31, 2025.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 Company monitors and manages these financial exposures as an integral part of its overall risk management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significant exposure to interest rate risk that could affect the balance sheet, statement of operations, and the statement of cash flows, as we do not have any outstanding variable rate debt as of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Major Customers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 base consists primarily of residential homeowners. We do not require collateral on our accounts receivable. Further, our accounts receivable amounts are with individual homeowners, and we are exposed to normal industry credit risks. We continually evaluate our reserves for potential credit losses and establish reserves for such losses.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and April 2, 2023, two customers accounted for 10% or more of the total accounts receivable, net balance.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thirteen-weeks ended March 31, 2024 and April 1, 2023, one and three customer accounted for 10% or more of the total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within the meaning of Rules 13a-15(e) and 15d-15(e) of the Securities Exchange Act of 1934, as amended,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the effectiveness of the design and operation of our Disclosure Controls, which was done under the supervision and with the participation of our management, including our Chief Executive Officer and our Chief Financial Officer. Based on the evaluation of our Disclosure Controls, our Chief Executive Officer and Chief Financial Officer have concluded that, as of March 31, 2024, our Disclosure Controls were not effective due to a material weakness in our internal control over financial reporting as disclosed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In addition, the design of internal controls over financial reporting for the Company following the Business Combination has required and will continue to require significant time and resources from our management and other personnel.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 ended December 31, 2023, our management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are as follows: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have sufficient full-time accounting personnel, (i) to enable appropriate reviews over the financial close and reporting process, (ii) to allow for an appropriate segregation of duties, and (iii) with the requisite experience and technical accounting knowledge to identify, review and resolve complex accounting issues under generally accepted accounting principles in the United States (“GAAP”). Additionally, we did not adequately design and/or implement controls related to conducting a formal risk assessment process.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Inventory controls related to the completeness, existence, and cut-off of inventories held at third parties, and controls related to the calculation of adjustments to inventory for items considered excessive and obsolete.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was not required to perform an evaluation of internal control over financial reporting as of December 31, 2023 in accordance with the provisions of the Sarbanes-Oxley Act. Had such an evaluation been performed, additional control deficiencies may have been identified by the Company’s management, and those control deficiencies could have also represented one or more material weaknesses.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to Remediate Material Weaknesses in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we have taken to date and may take in the future, will be sufficient to remediate the control deficiencies that led to our material weakness in internal control over financial reporting or that it will prevent or avoid potential future material weaknesses.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and remediation efforts described above, there were no changes in our internal control over financial reporting that occurred during the thirteen-weeks ended March 31, 2024, to which this report relates,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with respect to legal proceedings is set forth under Note 16 - Commitments and Contingencies, in the accompanying unaudited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contained in this Quarterly Report on Form 10-Q, including our unaudited condensed consolidated financial statements and related notes appearing in Part I, Item 1 of this Quarterly Report on Form 10-Q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Businesses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the availability of rebates, tax credits and other financial incentives. The expiration, elimination or reduction of these rebates, credits or incentives or the ability to monetize them could adversely impact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Inflation Reduction Act (“IRA”) extended and modified prior law applicable to tax credits that are available with respect to solar energy systems. Under the IRA, the following credits are available: (i) a production tax credit under Code Section 44 (for facilities that begin construction before January 1, 2025) and Code Section 45Y (for facilities that begin construction between January 1, 2025 and the year that is four calendar years after the year in which certain U.S. greenhouse gas emissions percentages are met) (the “PTC”) in connection with the installation of certain solar facilities and energy storage technology, (ii) an investment tax credit under Code Section 48 (for facilities that begin construction before January 1, 2025) and Code Section 48E (for facilities that begin construction between January 1, 2025 and the year that is four calendar years after the year in which certain U.S. greenhouse gas emissions percentages are met) (the “ITC”) in connection with the installation of certain solar facilities and energy storage technology, and (iii) a residential clean energy credit (the “Section 25D Credit”) in connection with the installation of property that uses solar energy to generate electricity for residential use.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IRA, the PTC for solar facilities had phased out and was no longer available. The IRA reinstated the PTC for solar facilities. The PTC available to a taxpayer in a taxable year is equal to a certain rate multiplied by the kilowatt hours of electricity produced by the taxpayer from solar energy at a facility owned by it and sold to an unrelated party during that taxable year. The base rates for the PTC is 0.3 cents. This rate is increased to 1.5 cents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U.S., projects that are located in certain energy communities, and projects that are located in low-income communities.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ITC available to a taxpayer in a taxable year is equal to the “energy percentage” of the basis of “energy property” placed in service by the taxpayer during that taxable year. “Energy property” includes equipment that uses solar energy to generate electricity (including structural components that are necessary to the functioning of a solar facility as a whole) and certain energy storage systems (including batteries included as part of or adjacent to a solar facility). The base “energy percentage” for the ITC is 6%. This energy percentage is increased to 30%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U.S., projects that are located in certain energy communities, and projects that are located in low-income communities. ITCs are subject to recapture if, during the five-year period after a facility is placed in service, the facility is sold, exchanged, involuntarily converted, or ceases its business usage. If the event that causes such recapture occurs within the first year after a project is placed in service, 100% of the ITCs will be recaptured. The recapture percentage is reduced 20% for each subsequent year. Historically, we have utilized the ITC when available for both residential and commercial leases and power purchase agreements, based on ownership of the solar energy system.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Section 25D Credit available to a taxpayer is equal to the “applicable percentage” of expenditures for property that uses solar energy to generate electricity for use in a dwelling unit used as a residence by the taxpayer. The applicable percentage is 26% for such systems that are placed in service before January 1, 2022, 30% for such systems that are placed in service after December 31, 2021 and before January 1, 2033, 26% for such systems that are placed in service in 2033, and 22% for such systems that are placed in service in 2034. The Section 25D Credit is scheduled to expire effective January 1, 2035. Although it is unlikely that Complete Solaria would qualify for the Section 25D Credit, the availability of the Section 25D Credit may impact the prices of its solar energy systems.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Reductions in, eliminations of, or expirations of, governmental incentives could adversely impact results of operations and ability to compete in this industry by increasing the cost of capital, causing us to increase the prices of our energy and solar energy systems and reduce the size of our addressable market.</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these companies will make our common stock less attractive to investors.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spacing w:after="0" w:line="176" w:lineRule="exact"/>
        <w:rPr>
          <w:sz w:val="20"/>
          <w:szCs w:val="20"/>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as defined in the Securities Exchange Act of 1934, as amended (the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our periodic reports and proxy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regulations and policies and changes to these regulations and policies may present technical, regulatory, and economic barriers to the purchase and use of solar power products, which may significantly reduce demand for our products and services.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market for electric generation products is heavily influenced by federal, state and local government laws,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trade and local content laws,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Any new regulations or policies pertaining our solar power products may result in significant additional expenses for our customers, which could cause a significant reduction in demand for our solar power products.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California, the California Public Utilities Commission (“</w:t>
      </w:r>
      <w:r>
        <w:rPr>
          <w:rFonts w:ascii="Times New Roman" w:cs="Times New Roman" w:eastAsia="Times New Roman" w:hAnsi="Times New Roman"/>
          <w:sz w:val="18"/>
          <w:szCs w:val="18"/>
          <w:b w:val="1"/>
          <w:bCs w:val="1"/>
          <w:color w:val="auto"/>
        </w:rPr>
        <w:t>CPUC</w:t>
      </w:r>
      <w:r>
        <w:rPr>
          <w:rFonts w:ascii="Times New Roman" w:cs="Times New Roman" w:eastAsia="Times New Roman" w:hAnsi="Times New Roman"/>
          <w:sz w:val="18"/>
          <w:szCs w:val="18"/>
          <w:color w:val="auto"/>
        </w:rPr>
        <w:t>”) issued an order in 2016 retaining retail-based net metering credits for residential customers of California’s major utilities as part of Net Energy Metering 2.0 (“</w:t>
      </w:r>
      <w:r>
        <w:rPr>
          <w:rFonts w:ascii="Times New Roman" w:cs="Times New Roman" w:eastAsia="Times New Roman" w:hAnsi="Times New Roman"/>
          <w:sz w:val="18"/>
          <w:szCs w:val="18"/>
          <w:b w:val="1"/>
          <w:bCs w:val="1"/>
          <w:color w:val="auto"/>
        </w:rPr>
        <w:t>NEM 2.0</w:t>
      </w:r>
      <w:r>
        <w:rPr>
          <w:rFonts w:ascii="Times New Roman" w:cs="Times New Roman" w:eastAsia="Times New Roman" w:hAnsi="Times New Roman"/>
          <w:sz w:val="18"/>
          <w:szCs w:val="18"/>
          <w:color w:val="auto"/>
        </w:rPr>
        <w:t>”). Under NEM 2.0, new distributed generation customers receive the retail rate for electricity exported to the grid, less certain non-bypassable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 w:cs="Times New Roman" w:eastAsia="Times New Roman" w:hAnsi="Times New Roman"/>
          <w:sz w:val="18"/>
          <w:szCs w:val="18"/>
          <w:b w:val="1"/>
          <w:bCs w:val="1"/>
          <w:color w:val="auto"/>
        </w:rPr>
        <w:t>NEM 3.0</w:t>
      </w:r>
      <w:r>
        <w:rPr>
          <w:rFonts w:ascii="Times New Roman" w:cs="Times New Roman" w:eastAsia="Times New Roman" w:hAnsi="Times New Roman"/>
          <w:sz w:val="18"/>
          <w:szCs w:val="18"/>
          <w:color w:val="auto"/>
        </w:rPr>
        <w:t>”), also referred to by the CPUC as the NEM 2.0 successor tariff. NEM 3.0 was finalized on December 15, 2022 and will include several changes from previous net metering plans. There will be changes that impact the amount that homeowners with solar power will be able to recuperate when selling excess energy back to the utility grid. With NEM 3.0, the value of the credits for net exports will be tied to the state’s 2022 Distributed Energy Resources Avoided Cost Calculator Documentation (“</w:t>
      </w:r>
      <w:r>
        <w:rPr>
          <w:rFonts w:ascii="Times New Roman" w:cs="Times New Roman" w:eastAsia="Times New Roman" w:hAnsi="Times New Roman"/>
          <w:sz w:val="18"/>
          <w:szCs w:val="18"/>
          <w:b w:val="1"/>
          <w:bCs w:val="1"/>
          <w:color w:val="auto"/>
        </w:rPr>
        <w:t>ACC</w:t>
      </w:r>
      <w:r>
        <w:rPr>
          <w:rFonts w:ascii="Times New Roman" w:cs="Times New Roman" w:eastAsia="Times New Roman" w:hAnsi="Times New Roman"/>
          <w:sz w:val="18"/>
          <w:szCs w:val="18"/>
          <w:color w:val="auto"/>
        </w:rPr>
        <w:t>”). Another significant change with NEM 3.0 will be applied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purchase solar panels, inverters and other system components from a limited number of suppliers, which makes us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particular, there are a limited number of inverter suppliers. Once we design a system for use with a particular inverter, if that type of inverter is not readily available at an anticipated price, we may incur additional delay and expense to redesign the system.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its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substantially focuses on solar service agreements and transactions with residential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 Our energy system sales to homeowners utilize power purchase agreements (“</w:t>
      </w:r>
      <w:r>
        <w:rPr>
          <w:rFonts w:ascii="Times New Roman" w:cs="Times New Roman" w:eastAsia="Times New Roman" w:hAnsi="Times New Roman"/>
          <w:sz w:val="18"/>
          <w:szCs w:val="18"/>
          <w:b w:val="1"/>
          <w:bCs w:val="1"/>
          <w:color w:val="auto"/>
        </w:rPr>
        <w:t>PPAs</w:t>
      </w:r>
      <w:r>
        <w:rPr>
          <w:rFonts w:ascii="Times New Roman" w:cs="Times New Roman" w:eastAsia="Times New Roman" w:hAnsi="Times New Roman"/>
          <w:sz w:val="18"/>
          <w:szCs w:val="18"/>
          <w:color w:val="auto"/>
        </w:rPr>
        <w:t>”), leases, loans and other products and services. We currently offer PPAs and leases through, EverBright, LLC, and other financial institutions. If we were unable to arrange new or alternative financing methods for PPAs and leases on favorable terms, our business, financial condition, results of operations, and prospects could be materially and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or trade disputes could significantly and adversely affect our business, revenues, margins, results of operations, and cash flows.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7, 2018, safeguard tariffs on imported solar cells and modules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 w:cs="Times New Roman" w:eastAsia="Times New Roman" w:hAnsi="Times New Roman"/>
          <w:sz w:val="18"/>
          <w:szCs w:val="18"/>
          <w:b w:val="1"/>
          <w:bCs w:val="1"/>
          <w:color w:val="auto"/>
        </w:rPr>
        <w:t>International Trade Commission</w:t>
      </w:r>
      <w:r>
        <w:rPr>
          <w:rFonts w:ascii="Times New Roman" w:cs="Times New Roman" w:eastAsia="Times New Roman" w:hAnsi="Times New Roman"/>
          <w:sz w:val="18"/>
          <w:szCs w:val="18"/>
          <w:color w:val="auto"/>
        </w:rPr>
        <w:t>”). Since 2021, modules are subject to a tariff rate of 15%. Cells are subjected to a tariff-rate quota, under which the first 2.5 GW of cell imports each year will be exempt from tariffs, and cells imported after the 2.5 GW quota has been reached will be subject to the same 30% tariff as modules in the first year, with the same 5% decline in each of the three subsequent years. The tariff-free cell quota applies globally, without any allocation by country or region.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tariffs could materially and adversely affect our business and results of operations. While solar cells and modules based on interdigitated back contact technology were granted exclusion from these safeguard tariffs on September 19, 2018, our solar products based on other technologies continue to be subject to the safeguard tariffs. Although we are actively engaged in efforts to mitigate the effect of these tariffs, there is no guarantee that these efforts will be successful.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Uncertainty surrounding the implications of existing tariffs affecting the U.S. solar market and potential trade tensions between the U.S. and other countries is likely to cause market volatility, price fluctuations, supply shortages, and project delays, any of which could harm our business, and the pursuit of mitigating actions may divert substantial resources from other projects. 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the company’s solar power products and greatly reduce our competitive advantage.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operations and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recent periods as measured by our number of customers; we intend to continue efforts to expand our business within existing and new markets. This growth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international activities and customers in the European Union, and plans to continue these efforts, which subjects us to additional business risks, including logistical and compliance related complexity.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portion of our sales are made to customers outside of the U.S., and a substantial portion of our supply agreements are with supply and equipment vendors located outside of the U.S. We have solar cell and module production lines located at our outsourced manufacturing facilities in Thailand, Vietnam, and India. We are also considering other manufacturing locations.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Risks we face in conducting business internationally include:</w:t>
      </w:r>
    </w:p>
    <w:p>
      <w:pPr>
        <w:spacing w:after="0" w:line="225"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export and import restrictions, employment laws, data protection laws, environmental protection, regulatory requirements, international trade agreements, and other government approvals, permits and licenses;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in staffing and managing foreign operations as well as cultural differences;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associated with current, future or deemed permanent establishment of operations in multiple countries;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uncertain legal systems, including potentially limited protection for intellectual property rights, and laws, changes in the governmental incentives that we rely on, regulations and policies which impose additional restrictions on the ability of foreign companies to conduct business in certain countries or otherwise place them at a competitive disadvantage in relation to domestic companies;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local infrastructure and developing telecommunications infrastructures;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sales and payment cycles and greater difficulty collecting accounts receivable;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government-fixed foreign exchange rates, the effects of currency hedging activity, and the potential inability to hedge currency fluctuations;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wars, acts of terrorism, political unrest, boycotts, curtailments of trade and other business restrictions;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 such as export requirements, tariffs, taxes and other restrictions and expenses, which could increase the prices of our products and make the company less competitive in some countries;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compliance with laws (for example, the Foreign Corrupt Practices Act in the U.S. and similar laws outside of the 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an organizational structure involving entities globally. This increases the potential impact of adverse changes in laws, rules and regulations affecting the free flow of goods and personnel, and therefore heightens some of the risks noted above. Further, this structure requires us to manage our international inventory and warehouses effectively. If we fail to do so, our shipping movements may not correspond with product demand and flow. Unsettled intercompany balances between entities could result, if changes in law, regulations or related interpretations occur in adverse tax or other consequences that affect capital structure, intercompany interest rates and legal structure. If we are unable to successfully manage any such risks, any one or more could materially and negatively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and may be unable to achieve or sustain profitability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incurred net losses in the past and had an accumulated deficit of $364.5 million and $354.9 million as of March 31, 2024 and December 31, 2023, respectively.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spacing w:after="0" w:line="187"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the customer base;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further lowering the cost of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cost of components for our solar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maintaining our channel partner network;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direct-to-consumer business to scale;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operating costs by lowering customer acquisition costs and optimizing our design and installation processes and supply chain logistics.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we do achieve profitability, we may be unable to sustain or increase profitability in the future.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spacing w:after="0" w:line="176" w:lineRule="exact"/>
        <w:rPr>
          <w:sz w:val="20"/>
          <w:szCs w:val="20"/>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 significant number of new power generation plants, including nuclear, coal, natural gas or renewable energy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additional electric transmission and distribution lines;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natural gas or other natural resources as a result of new drilling techniques or other technological developments, a relaxation of associated regulatory standards, or broader economic or policy developments;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conservation technologies and public initiatives to reduce electricity consumption;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subsidies impacting electricity prices, including in connection with electricity generation and transmission;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energy technologies that provide less expensive energy.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both traditional energy companies and renewable energy companies.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a majority of utilities’ sources of electricity is non-solar, which may allow utilities to sell electricity more cheaply than electricity generated by our solar energy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certain markets including California, putting us at risk of region-specific disruptions.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March 31, 2024, a substantial portion of our installations were in California. We expect much of its near-term future growth to occur in California, further concentrating our customer base and operational infrastructure. Accordingly, our business and operations results are particularly susceptible to adverse economic, regulatory, pollical, weather, and other conditions in this market and other markets that may become similarly concentrated. We may not have adequate insurance, including business interruption insurance, to compensate for losses that may occur from any such significant events. A significant natural disaster could have a material adverse impact on our business, results of operations and financial condition. In addition, acts of terrorism or malicious computer viruses could cause disruptions in our business, our partners’ businesses or the economy as a whole. To the extent that these disruptions result in delays or cancellations of installations or the deployment of solar service offerings, our business, results of operations and financial condition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the widespread adoption of solar power technology.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factors may affect the demand for solar energy systems, including, but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substance and magnitude of solar support programs including government targets, subsidies, incentives, renewable portfolio standards and residential net metering rules;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pricing of other conventional and non-renewable energy sources, such as natural gas, coal, oil and other fossil fuels, wind, utility-scale solar, nuclear, geothermal and biomass;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reliability and availability of energy generated by solar energy systems compared to conventional and other non-solar renewable energy sources;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interest rates.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seasonal trends, poor weather, labor shortages, and construction cycles.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significant industry-specific seasonal fluctuations. In the U.S., many customers make purchasing decisions towards the end of the year in order to take advantage of tax credits. In addition, sales in the new home development market are often tied to construction market demands, which tend to follow national trends in construction, including declining sales during cold weather months.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terrorist activities, political unrest, economic volatility, and other outbreaks could disrupt our delivery and operations,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We have outsourced product development and software engineering in Ukraine and we may potentially indirectly be adversely impacted any significant disruption it has caused and may continue to escalate. Similarly, the current armed conflict in Israel and the Gaza Strip may impact our operations.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sales contracts for a significant portion of revenues, and the loss of any customer or cancellation of any contract may cause significant fluctuations or declines in revenues.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2023, our top customer accounted for 55% of our total revenues, while in 2022 another customer accounted for 47% of our total revenues from continuing operations. We anticipate that our dependence on a limited number of customers may continue for the foreseeable future. As a result of customer concentration, our financial performance may fluctuate significantly from period to period based, among others, on exogenous circumstances related to its clients. In addition, any one of the following events may materially adversely affect cash flows, revenues and results of operations:</w:t>
      </w:r>
    </w:p>
    <w:p>
      <w:pPr>
        <w:spacing w:after="0" w:line="180"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delay or cancellation of orders from one or more significant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significant customers and failure to identify additional or replacement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significant customers to make timely payment for our products;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becoming insolvent or having difficulties meeting their financial obligations for any reason.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customers and payment delinquencies on its accounts receivables.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customer defaults have been immaterial to date, we expect that the risk of customer defaults may increase as we grow our business. If we experience increased customer credit defaults, our revenue and our ability to raise new investment funds could be adversely affected. If economic conditions worsen, certain of our customers may face liquidity concerns and may be unable to satisfy their payment obligations to us on a timely basis or at all, which could have a material adverse effect on our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past or future acquisitions, and integration of these acquisitions may disrupt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2022, we acquired The Solaria Corporation (“Solaria”),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acquisition has numerous risks, including, but not limited to, the following:</w:t>
      </w:r>
    </w:p>
    <w:p>
      <w:pPr>
        <w:spacing w:after="0" w:line="225"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and personnel of the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current products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ongoing business and distraction of management and employees from other opportunities and challenges due to integration issues;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company’s accounting, management information and other administrative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partners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due diligence processes to identify significant issues with product quality, legal and financial liabilities, among other things;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assert that internal controls over financial reporting are effective;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obtain in a timely manner, approvals from governmental authorities, which could delay or prevent such acquisitions.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intellectual property and may face intellectual property infringement claims that could be time-consuming and costly to defend and could result in the loss of significant rights.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and our customers, or the third parties with whom we work may receive letters, including letters from other third parties, and may become subject to lawsuits with such third parties alleging infringement of their patents. Additionally, we are required by contract to indemnify some customers and third-party intellectual property providers for certain costs and damages of patent infringement in circumstances where our products are a factor creating the customer’s or these third-party providers’ infringement liability. This practice may subject us to significant indemnification claims by customers and third-party providers. We cannot assure investors that indemnification claims will not be made or that these claims will not harm our business, operating results or financial condition. Intellectual property litigation is very expensive and time-consuming and could divert management’s attention from our business and could have a material adverse effect on our business, operating results or financial condition. If there is a successful claim of infringement against us, our customers or our third-party intellectual property providers, we may be required to pay substantial damages to the party claiming infringement, stop selling products or using technology that contains the allegedly infringing intellectual property, or enter into royalty or license agreements that may not be available on acceptable terms, if at all. Parties making infringement claims may also be able to bring an action before the International Trade Commission that could result in an order stopping the importation into the U.S. of our solar products. Any of these judgments could materially damage our business. We may have to develop non-infringing technology, and our failure in doing so or in obtaining licenses to the proprietary rights on a timely basis could have a material adverse effect on the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file claims against other parties for infringing its intellectual property that may be costly and may not be resolved in its favor.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or improvements in distributed solar energy generation and related technologies or components may materially adversely affect demand for our offerings.</w:t>
      </w:r>
    </w:p>
    <w:p>
      <w:pPr>
        <w:spacing w:after="0" w:line="15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data protection laws. Many of these laws and regulations are subject to change and uncertain interpretation and could result in claims, increased cost of operations or otherwise harm its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(“CCPA”) and California voters recently approved the California Privacy Rights Act (“CPRA”).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Complete Solaria’s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may govern data privacy and security. For example, the European Union’s General Data Protection Regulation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the United Kingdom’s GDPR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Complete Solaria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and regulations relating to interactions by the company or its dealers with current or prospective residential customers could result in negative publicity, claims, investigations and litigation and adversely affect financial performance.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Our business substantially focuses on solar service agreements and transactions with residential customers. We offer leases, loans and other products and services to consumers by contractors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 w:cs="Times New Roman" w:eastAsia="Times New Roman" w:hAnsi="Times New Roman"/>
          <w:sz w:val="17"/>
          <w:szCs w:val="17"/>
          <w:i w:val="1"/>
          <w:iCs w:val="1"/>
          <w:color w:val="auto"/>
        </w:rPr>
        <w:t>As sales to residential customers have grown, we have increasingly become subject to substantial financing and consumer protection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laws and regulations.</w:t>
      </w:r>
      <w:r>
        <w:rPr>
          <w:rFonts w:ascii="Times New Roman" w:cs="Times New Roman" w:eastAsia="Times New Roman" w:hAnsi="Times New Roman"/>
          <w:sz w:val="17"/>
          <w:szCs w:val="17"/>
          <w:color w:val="auto"/>
        </w:rPr>
        <w:t>” These laws and regulations are dynamic and subject to potentially differing interpretations and various federal, state and local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these requirements may be interpreted and applied in a manner inconsistent from one jurisdiction to another and may conflict with other rules or our practices or the practices of our dealers.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have been included in lawsuits brought by the consumer customers of certain contractors in our networks, citing claims based on the sales practices of these contractors. While we have paid only minimal damages to date,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introducing new services and product offerings.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or change or loss of use of our brand could harm our business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depend significantly on our reputation for high-quality products, excellent customer service and the brand name “Complete Solaria”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if we were to no longer use, lose the right to continue to use or if others use the “Complete Solaria”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contributions of key personnel.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heavily on the services of our key executive officers and the loss of services of any principal member of the management team could adversely affect operations. There have been, and from time to time there may continue to be, changes in our management team resulting from the hiring or departure of executives and key employees, or the transition of executives within our business, which could disrupt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investing significant resources in developing new members of management as we complete our restructuring and strategic transformation.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dealers or suppliers fail to hire and retain sufficient employees and service providers in key functions, our growth and ability to timely complete customer projects and successfully manage customer accounts would be constrained.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spacing w:after="0" w:line="176"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initiation of any governmental rebates or incentives;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customer demand for our solar energy services, solar energy systems and energy storage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dealers’ ability to complete installations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dealers’ ability to gain interconnection permission for an installed solar energy system from the relevant utility;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terms and costs of suitable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of sales and potential decreases in value of Solar Renewable Energy Certificates (“SRECs”);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its operations and the amount and timing of expenditures related to this expansion;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terms or those of competitors, including centralized electric utilities;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competitors’ businesses, technology or the competitive landscape;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weather or meteorological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or other reasons, the results of any prior quarterly or annual periods should not be relied upon as indications of our future performance.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insurance on the terms of any available insurance coverage could be materially adversely affected by international, national, state or local events or company-specific events, as well as the financial condition of insurers.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insurance policies cover legal and contractual liabilities arising out of bodily injury, personal injury or property damage to third parties and are subject to policy limits.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procures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 w:cs="Times New Roman" w:eastAsia="Times New Roman" w:hAnsi="Times New Roman"/>
          <w:sz w:val="18"/>
          <w:szCs w:val="18"/>
          <w:i w:val="1"/>
          <w:iCs w:val="1"/>
          <w:color w:val="auto"/>
        </w:rPr>
        <w:t>We may be required to file claims against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for infringing its intellectual property that may be costly and may not be resolved in our favor</w:t>
      </w:r>
      <w:r>
        <w:rPr>
          <w:rFonts w:ascii="Times New Roman" w:cs="Times New Roman" w:eastAsia="Times New Roman" w:hAnsi="Times New Roman"/>
          <w:sz w:val="18"/>
          <w:szCs w:val="18"/>
          <w:color w:val="auto"/>
        </w:rPr>
        <w:t>.” We rely substantially upon trade secret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restrictions to protect our proprietary rights, and, if these rights are not sufficiently protected, our ability to compete and generate revenue could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sales to residential customers have grown, we have increasingly become subject to consumer protection laws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often required, at the request of our end customer, to undertake certain obligations such as:</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output performance warranties;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maintenance.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construction, cost overruns, delays, regulatory compliance and other contingencies, any of which could have a material adverse effect on its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 w:cs="Times New Roman" w:eastAsia="Times New Roman" w:hAnsi="Times New Roman"/>
          <w:sz w:val="18"/>
          <w:szCs w:val="18"/>
          <w:b w:val="1"/>
          <w:bCs w:val="1"/>
          <w:color w:val="auto"/>
        </w:rPr>
        <w:t>CSLB</w:t>
      </w:r>
      <w:r>
        <w:rPr>
          <w:rFonts w:ascii="Times New Roman" w:cs="Times New Roman" w:eastAsia="Times New Roman" w:hAnsi="Times New Roman"/>
          <w:sz w:val="18"/>
          <w:szCs w:val="18"/>
          <w:color w:val="auto"/>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causes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we or our solar partners may face construction delays or cost overruns, which may adversely affect our or our solar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identified conditions that raise substantial doubt about our ability to continue as a 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incurred net losses of $9.6 million and $23.5 million, during the thirteen-weeks ended March 31, 2024 and April 2, 2023, respectively, and had an accumulated deficit of $364.5 million and current debt of $65.2 million as of March 31, 2024. We had cash and cash equivalents of $1.8 million as of March 31, 2024, which were held for working capital expenditures. These conditions raise substantial doubt about our ability to continue as a going concern. Our ability to continue as a going concern requires that we obtain sufficient funding to meet our obligations and finance our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secure adequate additional funding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 Failure to generate sufficient cash flows from operations, raise additional capital or reduce certain discretionary spending would have a material adverse effect on our ability to achieve our intended business objectives.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We expect to incur significant operating expenses as we continue to grow our business. We believe that our operating losses and negative operating cash flows will continue into the foreseeable future.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$1.8 million as of March 31, 2024. Our cash position raises substantial doubt regarding our ability to continue as a going concern for 12 months after the consolidated financial statements issuance. We will require substantial additional capital to continue operations. Such additional capital might not be available when we need it and our actual cash requirements might be greater than anticipated. We cannot be certain that additional capital will be available on attractive terms, if at all, when needed, which could be dilutive to stockholders, and our financial condition, results of operations, business and prospects could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years ended December 31, 2022 and 2021, and our consolidated financial statements for the year ended December 31, 2023, our management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 is as follows:</w:t>
      </w:r>
    </w:p>
    <w:p>
      <w:pPr>
        <w:spacing w:after="0" w:line="183" w:lineRule="exact"/>
        <w:rPr>
          <w:sz w:val="20"/>
          <w:szCs w:val="20"/>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full-time accounting personnel, (i) to enable appropriate reviews over the financial close and reporting process, (ii) to allow for appropriate segregation of duties, and (iii) with the requisite experience and technical accounting knowledge to identify, review and resolve complex accounting issues under generally accepted accounting principles in the U.S. (“GAAP”). Additionally, we did not adequately design and/or implement controls related to conducting a formal risk assessment process.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and audit of our consolidated financial statements for the year ended December 31, 2023, our management identified a material weakness in our internal control over financial reporting. The material weakness is as follows:</w:t>
      </w:r>
    </w:p>
    <w:p>
      <w:pPr>
        <w:spacing w:after="0" w:line="162" w:lineRule="exact"/>
        <w:rPr>
          <w:sz w:val="20"/>
          <w:szCs w:val="20"/>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controls related to the completeness, existence, and cut-off of inventories held at third parties, and controls related to the calculation of adjustments to inventory for items considered excessive and obsolete.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Had such an evaluation been performed, additional control deficiencies may have been identified by the Company’s management, and those control deficiencies could have also represented one or more material weaknesses.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Complete Solaria was not required to evaluate internal control over financial reporting as of December 31, 2023 in accordance with the provisions of the Sarbanes-Oxley Act. Had such an evaluation been performed, Complete Solaria’s management may have identified additional control deficiencies, and those control deficiencies could have also represented one or more material weaknesses.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assure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occupational safety and health requirements and best practices can be costly, and noncompliance with such requirements may result in potentially significant penalties, operational delays and adverse publicity.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(“OSHA”) and the Department of Transportation (“DOT”)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benefited from the declining cost of solar energy system components, but it may be harmed if the cost of such components stabilizes or increases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against us could result in adverse publicity and potentially significant monetary damages.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warranty costs may exceed the warranty reserve.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warranties that cover parts performance and labor to purchasers of our solar modules.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involved in claims, legal proceedings that arise from normal business activities. In addition, from time to time, third parties may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directors and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certain other tax attributes may be limited.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all or part of your investment. Prior to the Business Combination, there was no public market for Solaria’s stock and trading in the shares of our common stock (prior to consummation of the Business Combination, “FACT Common Stock”) was not active. Accordingly, the valuation ascribed to Solaria and FACT Common Stock in the Business Combination may not have been indicative of the price that will prevail in the trading market following the Business Combination.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for failure to meet the listing standards, we and our stockholders could face significant material adverse consequences including:</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 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common stock in the public market by our shareholders could cause the price of our common stock to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provisions of the Delaware General Corporation Law may delay or prevent an acquisition by a third party that could otherwise be in the interests of shareholders.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spacing w:after="0" w:line="176"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stockholders’ ability to call special meetings of stockholders and to take action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combinations with interested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of our Certificate of Incorporation and Proposed Bylaws could discourage potential takeover attempts and reduce the price that investors might be willing to pay for the shares of our common stock in the future, which could reduce the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spacing w:after="0" w:line="176"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(including any fiduciary duty) owed by any of our current or former directors, officers, stockholders, employees or agents to us or our stockholders;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relating to any provision of the Delaware General Corporation Law (“DGCL”) or our Certificate of Incorporation or the Bylaws or as to which the DGCL confers jurisdiction on the Court of Chancery of the State of Delaware;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both"/>
        <w:ind w:left="98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up to 6,720,000 shares of common stock from the investors with whom we entered into Forward Purchase Agreements in connection with the closing of the Business Combination, which would reduce the amount of cash available to us to fund our growth plan.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and around July 13, 2023, FACT entered into separate Forward Purchase Agreements with certain investors (together, the “</w:t>
      </w:r>
      <w:r>
        <w:rPr>
          <w:rFonts w:ascii="Times New Roman" w:cs="Times New Roman" w:eastAsia="Times New Roman" w:hAnsi="Times New Roman"/>
          <w:sz w:val="18"/>
          <w:szCs w:val="18"/>
          <w:b w:val="1"/>
          <w:bCs w:val="1"/>
          <w:color w:val="auto"/>
        </w:rPr>
        <w:t>FPA Investors</w:t>
      </w:r>
      <w:r>
        <w:rPr>
          <w:rFonts w:ascii="Times New Roman" w:cs="Times New Roman" w:eastAsia="Times New Roman" w:hAnsi="Times New Roman"/>
          <w:sz w:val="18"/>
          <w:szCs w:val="18"/>
          <w:color w:val="auto"/>
        </w:rPr>
        <w:t>”), pursuant to which FACT (now Complete Solaria following the Closing) agreed to purchase in the aggregate, on the date that is 24 months after the Closing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up to 6,720,000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FPA Investors hold some or all of the 6,720,000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shares of our common stock may not be exercised at all or may be exercised on a cashless basis and we may not receive any cash proceeds from the exercise of such warrants.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65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gridSpan w:val="13"/>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280" w:type="dxa"/>
            <w:vAlign w:val="bottom"/>
            <w:tcBorders>
              <w:top w:val="single" w:sz="8" w:color="auto"/>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Amended and Restated Business Combination Agreement, dated as of</w:t>
              </w:r>
            </w:hyperlink>
          </w:p>
        </w:tc>
        <w:tc>
          <w:tcPr>
            <w:tcW w:w="60" w:type="dxa"/>
            <w:vAlign w:val="bottom"/>
            <w:tcBorders>
              <w:top w:val="single" w:sz="8" w:color="auto"/>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333-269674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31, 2023</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3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May 26, 2023, by and among Freedom Acquisition I Corp., Jupiter</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Merger Sub I Corp., Jupiter Merger Sub II LLC, Complete Solar</w:t>
              </w:r>
            </w:hyperlink>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Holding Corporation, and The Solaria Corporation</w:t>
              </w:r>
            </w:hyperlink>
          </w:p>
        </w:tc>
        <w:tc>
          <w:tcPr>
            <w:tcW w:w="120" w:type="dxa"/>
            <w:vAlign w:val="bottom"/>
            <w:tcBorders>
              <w:top w:val="single" w:sz="8" w:color="CCEEFF"/>
            </w:tcBorders>
            <w:gridSpan w:val="5"/>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5280" w:type="dxa"/>
            <w:vAlign w:val="bottom"/>
            <w:tcBorders>
              <w:bottom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Agreement and Plan of Merger, dated as of October 3, 2022, by and</w:t>
              </w:r>
            </w:hyperlink>
          </w:p>
        </w:tc>
        <w:tc>
          <w:tcPr>
            <w:tcW w:w="100" w:type="dxa"/>
            <w:vAlign w:val="bottom"/>
            <w:gridSpan w:val="4"/>
          </w:tcPr>
          <w:p>
            <w:pPr>
              <w:spacing w:after="0"/>
              <w:rPr>
                <w:sz w:val="15"/>
                <w:szCs w:val="15"/>
                <w:color w:val="auto"/>
              </w:rPr>
            </w:pPr>
          </w:p>
        </w:tc>
        <w:tc>
          <w:tcPr>
            <w:tcW w:w="12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333-269674</w:t>
            </w:r>
          </w:p>
        </w:tc>
        <w:tc>
          <w:tcPr>
            <w:tcW w:w="10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10, 2023</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between Complete Solar Holding Corporation, Complete Solar Midco,</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LLC, Complete Solar Merger Sub, Inc., The Solaria Corporation, and</w:t>
              </w:r>
            </w:hyperlink>
          </w:p>
        </w:tc>
        <w:tc>
          <w:tcPr>
            <w:tcW w:w="8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Fortis Advisors LLC</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Asset Purchase Agreement dated September 19, 2023, by and among</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2023-09-21</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32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Complete Solaria, Inc., SolarCA, LLC, and Maxeon Solar Technologies,</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r:id="rId99">
              <w:r>
                <w:rPr>
                  <w:rFonts w:ascii="Times New Roman" w:cs="Times New Roman" w:eastAsia="Times New Roman" w:hAnsi="Times New Roman"/>
                  <w:sz w:val="18"/>
                  <w:szCs w:val="18"/>
                  <w:color w:val="0000EE"/>
                  <w:w w:val="94"/>
                </w:rPr>
                <w:t>Ltd.</w:t>
              </w:r>
            </w:hyperlink>
          </w:p>
        </w:tc>
        <w:tc>
          <w:tcPr>
            <w:tcW w:w="5080" w:type="dxa"/>
            <w:vAlign w:val="bottom"/>
            <w:tcBorders>
              <w:bottom w:val="single" w:sz="8" w:color="CCEEFF"/>
            </w:tcBorders>
            <w:gridSpan w:val="17"/>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Certificate of Incorporation of Complete Solaria</w:t>
              </w:r>
            </w:hyperlink>
          </w:p>
        </w:tc>
        <w:tc>
          <w:tcPr>
            <w:tcW w:w="12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0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Bylaws of Complete Solaria</w:t>
              </w:r>
            </w:hyperlink>
          </w:p>
        </w:tc>
        <w:tc>
          <w:tcPr>
            <w:tcW w:w="3340" w:type="dxa"/>
            <w:vAlign w:val="bottom"/>
            <w:tcBorders>
              <w:bottom w:val="single" w:sz="8" w:color="CCEEFF"/>
            </w:tcBorders>
            <w:gridSpan w:val="12"/>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Replacement Warrant</w:t>
              </w:r>
            </w:hyperlink>
          </w:p>
        </w:tc>
        <w:tc>
          <w:tcPr>
            <w:tcW w:w="12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001-40117</w:t>
            </w:r>
          </w:p>
        </w:tc>
        <w:tc>
          <w:tcPr>
            <w:tcW w:w="10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53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First Amendment to Replacement Warrant</w:t>
              </w:r>
            </w:hyperlink>
          </w:p>
        </w:tc>
        <w:tc>
          <w:tcPr>
            <w:tcW w:w="124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001-40117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53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Registration Rights Agreement, dated July 18,</w:t>
              </w:r>
            </w:hyperlink>
          </w:p>
        </w:tc>
        <w:tc>
          <w:tcPr>
            <w:tcW w:w="80" w:type="dxa"/>
            <w:vAlign w:val="bottom"/>
            <w:gridSpan w:val="3"/>
          </w:tcPr>
          <w:p>
            <w:pPr>
              <w:spacing w:after="0"/>
              <w:rPr>
                <w:sz w:val="15"/>
                <w:szCs w:val="15"/>
                <w:color w:val="auto"/>
              </w:rPr>
            </w:pPr>
          </w:p>
        </w:tc>
        <w:tc>
          <w:tcPr>
            <w:tcW w:w="12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001-40117</w:t>
            </w:r>
          </w:p>
        </w:tc>
        <w:tc>
          <w:tcPr>
            <w:tcW w:w="10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2023-07-24</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2023, by and among the Company and certain other stockholders party</w:t>
              </w:r>
            </w:hyperlink>
          </w:p>
        </w:tc>
        <w:tc>
          <w:tcPr>
            <w:tcW w:w="8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thereto</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53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Warrant Agreement, dated February 25, 2021, by and between the</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2021-03-2</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Company and Continental Stock Transfer &amp; Trust Company, as warrant</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7"/>
              </w:rPr>
            </w:pPr>
            <w:hyperlink r:id="rId105">
              <w:r>
                <w:rPr>
                  <w:rFonts w:ascii="Times New Roman" w:cs="Times New Roman" w:eastAsia="Times New Roman" w:hAnsi="Times New Roman"/>
                  <w:sz w:val="18"/>
                  <w:szCs w:val="18"/>
                  <w:color w:val="0000EE"/>
                  <w:w w:val="97"/>
                </w:rPr>
                <w:t>agent</w:t>
              </w:r>
            </w:hyperlink>
          </w:p>
        </w:tc>
        <w:tc>
          <w:tcPr>
            <w:tcW w:w="4980" w:type="dxa"/>
            <w:vAlign w:val="bottom"/>
            <w:tcBorders>
              <w:bottom w:val="single" w:sz="8" w:color="CCEEFF"/>
            </w:tcBorders>
            <w:gridSpan w:val="16"/>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5380" w:type="dxa"/>
            <w:vAlign w:val="bottom"/>
            <w:gridSpan w:val="18"/>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SAFE (2024)</w:t>
              </w:r>
            </w:hyperlink>
          </w:p>
        </w:tc>
        <w:tc>
          <w:tcPr>
            <w:tcW w:w="12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001-40017</w:t>
            </w:r>
          </w:p>
        </w:tc>
        <w:tc>
          <w:tcPr>
            <w:tcW w:w="10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2024-02-16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53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w:t>
            </w: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Rule 15d-14(a) under the Securities Exchange Act of 1934, as</w:t>
            </w:r>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38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528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w:t>
            </w:r>
          </w:p>
        </w:tc>
        <w:tc>
          <w:tcPr>
            <w:tcW w:w="10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and Rule 15d-14(a) under the Securities Exchange Act of 1934, as</w:t>
            </w:r>
          </w:p>
        </w:tc>
        <w:tc>
          <w:tcPr>
            <w:tcW w:w="10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1350,</w:t>
            </w:r>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12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906 of the Sarbanes-Oxley Act of 2002.</w:t>
            </w:r>
          </w:p>
        </w:tc>
        <w:tc>
          <w:tcPr>
            <w:tcW w:w="260" w:type="dxa"/>
            <w:vAlign w:val="bottom"/>
            <w:tcBorders>
              <w:bottom w:val="single" w:sz="8" w:color="CCEEFF"/>
            </w:tcBorders>
            <w:gridSpan w:val="6"/>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5300" w:type="dxa"/>
            <w:vAlign w:val="bottom"/>
            <w:tcBorders>
              <w:bottom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1350,</w:t>
            </w:r>
          </w:p>
        </w:tc>
        <w:tc>
          <w:tcPr>
            <w:tcW w:w="8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Sarbanes-Oxley Act of 2002.</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5380" w:type="dxa"/>
            <w:vAlign w:val="bottom"/>
            <w:gridSpan w:val="1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unaudited consolidated condensed</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and  accompanying  notes  in  Consolidated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38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Financial Statements and Supplemental Details</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5380" w:type="dxa"/>
            <w:vAlign w:val="bottom"/>
            <w:gridSpan w:val="18"/>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formatted in Inline XBRL and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included as Exhibit 101</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Complete Solaria,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tab/>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w:t>
        <w:tab/>
        <w:t>/s/ BRIAN WUEBBELS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Brian Wuebbels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Thurman J. Rodgers,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Complete Solaria,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660" w:hanging="323"/>
        <w:spacing w:after="0" w:line="266" w:lineRule="auto"/>
        <w:tabs>
          <w:tab w:leader="none" w:pos="640" w:val="left"/>
        </w:tabs>
        <w:rPr>
          <w:sz w:val="20"/>
          <w:szCs w:val="20"/>
          <w:color w:val="auto"/>
        </w:rPr>
      </w:pPr>
      <w:r>
        <w:rPr>
          <w:rFonts w:ascii="Times New Roman" w:cs="Times New Roman" w:eastAsia="Times New Roman" w:hAnsi="Times New Roman"/>
          <w:sz w:val="12"/>
          <w:szCs w:val="12"/>
          <w:color w:val="auto"/>
        </w:rPr>
        <w:t>b</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66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 and Executive Chairman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Wuebbels,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Complete Solaria,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660" w:hanging="323"/>
        <w:spacing w:after="0" w:line="266" w:lineRule="auto"/>
        <w:tabs>
          <w:tab w:leader="none" w:pos="640" w:val="left"/>
        </w:tabs>
        <w:rPr>
          <w:sz w:val="20"/>
          <w:szCs w:val="20"/>
          <w:color w:val="auto"/>
        </w:rPr>
      </w:pPr>
      <w:r>
        <w:rPr>
          <w:rFonts w:ascii="Times New Roman" w:cs="Times New Roman" w:eastAsia="Times New Roman" w:hAnsi="Times New Roman"/>
          <w:sz w:val="12"/>
          <w:szCs w:val="12"/>
          <w:color w:val="auto"/>
        </w:rPr>
        <w:t>b</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May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Wuebbels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Brian Wuebbels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240"/>
          </w:cols>
          <w:pgMar w:left="320" w:top="108"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Complete Solaria, Inc. (the “Company”) for the period ended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7"/>
          <w:szCs w:val="17"/>
          <w:color w:val="auto"/>
        </w:rPr>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Thurman J. Rodgers and Executive Chairman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OPERATING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Complete Solaria, Inc. (the “Company”) for the period ended March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7"/>
          <w:szCs w:val="17"/>
          <w:color w:val="auto"/>
        </w:rPr>
        <w:t>/s/ Brian Wuebbels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Brian Wuebbels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lowerLetter"/>
      <w:start w:val="10"/>
    </w:lvl>
  </w:abstractNum>
  <w:abstractNum w:abstractNumId="8">
    <w:nsid w:val="836C40E"/>
    <w:multiLevelType w:val="hybridMultilevel"/>
    <w:lvl w:ilvl="0">
      <w:lvlJc w:val="left"/>
      <w:lvlText w:val="(%1)"/>
      <w:numFmt w:val="lowerLetter"/>
      <w:start w:val="12"/>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2"/>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3"/>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1"/>
    </w:lvl>
    <w:lvl w:ilvl="1">
      <w:lvlJc w:val="left"/>
      <w:lvlText w:val="%2)"/>
      <w:numFmt w:val="lowerLetter"/>
      <w:start w:val="3"/>
    </w:lvl>
  </w:abstractNum>
  <w:abstractNum w:abstractNumId="41">
    <w:nsid w:val="57E4CCAF"/>
    <w:multiLevelType w:val="hybridMultilevel"/>
    <w:lvl w:ilvl="0">
      <w:lvlJc w:val="left"/>
      <w:lvlText w:val="%1."/>
      <w:numFmt w:val="decimal"/>
      <w:start w:val="5"/>
    </w:lvl>
    <w:lvl w:ilvl="1">
      <w:lvlJc w:val="left"/>
      <w:lvlText w:val="%2)"/>
      <w:numFmt w:val="low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3"/>
    </w:lvl>
  </w:abstractNum>
  <w:abstractNum w:abstractNumId="45">
    <w:nsid w:val="6DE91B18"/>
    <w:multiLevelType w:val="hybridMultilevel"/>
    <w:lvl w:ilvl="0">
      <w:lvlJc w:val="left"/>
      <w:lvlText w:val="%1."/>
      <w:numFmt w:val="decimal"/>
      <w:start w:val="5"/>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97" Type="http://schemas.openxmlformats.org/officeDocument/2006/relationships/hyperlink" Target="http://www.sec.gov/Archives/edgar/data/1838987/000119312523155921/d425844ds4a.htm#anxacov" TargetMode="External"/><Relationship Id="rId98" Type="http://schemas.openxmlformats.org/officeDocument/2006/relationships/hyperlink" Target="http://www.sec.gov/Archives/edgar/data/1838987/000119312523030704/d425844dex24.htm" TargetMode="External"/><Relationship Id="rId99" Type="http://schemas.openxmlformats.org/officeDocument/2006/relationships/hyperlink" Target="http://www.sec.gov/Archives/edgar/data/1838987/000119312523239699/d558159dex21.htm" TargetMode="External"/><Relationship Id="rId100" Type="http://schemas.openxmlformats.org/officeDocument/2006/relationships/hyperlink" Target="http://www.sec.gov/Archives/edgar/data/1838987/000119312523191334/d862117dex31.htm" TargetMode="External"/><Relationship Id="rId101" Type="http://schemas.openxmlformats.org/officeDocument/2006/relationships/hyperlink" Target="http://www.sec.gov/Archives/edgar/data/1838987/000119312523191334/d862117dex32.htm" TargetMode="External"/><Relationship Id="rId102" Type="http://schemas.openxmlformats.org/officeDocument/2006/relationships/hyperlink" Target="http://www.sec.gov/Archives/edgar/data/1838987/000119312523255093/d569645dex41.htm" TargetMode="External"/><Relationship Id="rId103" Type="http://schemas.openxmlformats.org/officeDocument/2006/relationships/hyperlink" Target="http://www.sec.gov/Archives/edgar/data/1838987/000119312523255093/d569645dex42.htm" TargetMode="External"/><Relationship Id="rId104" Type="http://schemas.openxmlformats.org/officeDocument/2006/relationships/hyperlink" Target="http://www.sec.gov/Archives/edgar/data/1838987/000119312523192359/d530739dex41.htm" TargetMode="External"/><Relationship Id="rId105" Type="http://schemas.openxmlformats.org/officeDocument/2006/relationships/hyperlink" Target="http://www.sec.gov/Archives/edgar/data/1838987/000095010321003441/dp147251_ex0401.htm" TargetMode="External"/><Relationship Id="rId106" Type="http://schemas.openxmlformats.org/officeDocument/2006/relationships/hyperlink" Target="http://www.sec.gov/Archives/edgar/data/1838987/000121390024014892/ea193922ex10-1_comple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2024-05-15T14:41:50Z</dcterms:created>
  <dcterms:modified xsi:type="dcterms:W3CDTF">2024-05-15T14:41:50Z</dcterms:modified>
</cp:coreProperties>
</file>