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582404-424b3_sunpower.htm"/>
      <w:bookmarkStart w:id="1" w:name="ksea030582404424b3_sunpower"/>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333-297660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4</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45,571,137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August 4,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333-297660). This prospectus supplement is being filed to update and supplement the information in the prospectus with the information contained in our Current Report on Form 8-K filed with the SEC on September 17,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offer and sale from time to time by the selling securityholders named in the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45,571,137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19,300,991 shares of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issued by us pursuant to separately- and privately-negotiated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with certain holders of our 12.0% Convertible Senior Notes due 2029 (the “</w:t>
      </w:r>
      <w:r>
        <w:rPr>
          <w:rFonts w:ascii="Times New Roman;Times;Serif" w:hAnsi="Times New Roman;Times;Serif"/>
          <w:b/>
          <w:i w:val="false"/>
          <w:caps w:val="false"/>
          <w:smallCaps w:val="false"/>
          <w:sz w:val="20"/>
        </w:rPr>
        <w:t>12.0% Notes</w:t>
      </w:r>
      <w:r>
        <w:rPr>
          <w:rFonts w:ascii="Times New Roman;Times;Serif" w:hAnsi="Times New Roman;Times;Serif"/>
          <w:b w:val="false"/>
          <w:i w:val="false"/>
          <w:caps w:val="false"/>
          <w:smallCaps w:val="false"/>
          <w:sz w:val="20"/>
        </w:rPr>
        <w:t>”), 10.0% Convertible Senior Secured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and 7.0% Convertible Senior Notes due 2029 (the “</w:t>
      </w:r>
      <w:r>
        <w:rPr>
          <w:rFonts w:ascii="Times New Roman;Times;Serif" w:hAnsi="Times New Roman;Times;Serif"/>
          <w:b/>
          <w:i w:val="false"/>
          <w:caps w:val="false"/>
          <w:smallCaps w:val="false"/>
          <w:sz w:val="20"/>
        </w:rPr>
        <w:t>7.0% Notes</w:t>
      </w:r>
      <w:r>
        <w:rPr>
          <w:rFonts w:ascii="Times New Roman;Times;Serif" w:hAnsi="Times New Roman;Times;Serif"/>
          <w:b w:val="false"/>
          <w:i w:val="false"/>
          <w:caps w:val="false"/>
          <w:smallCaps w:val="false"/>
          <w:sz w:val="20"/>
        </w:rPr>
        <w:t>” and together with the 12.0% Notes and the 10.0% Notes,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 exchange for approximately $10.7 million of cash interest otherwise payable on July 1, 2026, October 1, 2026 and January 1, 2027, and (ii) 26,270,146 shares of common stock (the “</w:t>
      </w:r>
      <w:r>
        <w:rPr>
          <w:rFonts w:ascii="Times New Roman;Times;Serif" w:hAnsi="Times New Roman;Times;Serif"/>
          <w:b/>
          <w:i w:val="false"/>
          <w:caps w:val="false"/>
          <w:smallCaps w:val="false"/>
          <w:sz w:val="20"/>
        </w:rPr>
        <w:t>FPA Shares</w:t>
      </w:r>
      <w:r>
        <w:rPr>
          <w:rFonts w:ascii="Times New Roman;Times;Serif" w:hAnsi="Times New Roman;Times;Serif"/>
          <w:b w:val="false"/>
          <w:i w:val="false"/>
          <w:caps w:val="false"/>
          <w:smallCaps w:val="false"/>
          <w:sz w:val="20"/>
        </w:rPr>
        <w:t>”) issued or issuable by us pursuant to the terms of separately- and privately-negotiated OTC Equity Prepaid Forward Transaction Settlement Agreements (the “</w:t>
      </w:r>
      <w:r>
        <w:rPr>
          <w:rFonts w:ascii="Times New Roman;Times;Serif" w:hAnsi="Times New Roman;Times;Serif"/>
          <w:b/>
          <w:i w:val="false"/>
          <w:caps w:val="false"/>
          <w:smallCaps w:val="false"/>
          <w:sz w:val="20"/>
        </w:rPr>
        <w:t>FPA Settlement Agreements</w:t>
      </w:r>
      <w:r>
        <w:rPr>
          <w:rFonts w:ascii="Times New Roman;Times;Serif" w:hAnsi="Times New Roman;Times;Serif"/>
          <w:b w:val="false"/>
          <w:i w:val="false"/>
          <w:caps w:val="false"/>
          <w:smallCaps w:val="false"/>
          <w:sz w:val="20"/>
        </w:rPr>
        <w:t>”) and related Forward Purchase Agreements. The Exchange Shares were issued by us to the Selling Securityholders pursuant to the Exchange Agreements on July 1, 2026. A total of 17,900,462 FPA Shares were issued by us to the Selling Securityholders pursuant to FPA Settlement Agreements, and up to an additional 8,369,684 FPA Shares are issuable pursuant to the FPA Settlement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for a description of the Exchange Agreements, the Notes, and the FPA Settlement Agreements and related Forward Purchase Agreements and “</w:t>
      </w:r>
      <w:r>
        <w:rPr>
          <w:rFonts w:ascii="Times New Roman;Times;Serif" w:hAnsi="Times New Roman;Times;Serif"/>
          <w:b w:val="false"/>
          <w:i/>
          <w:caps w:val="false"/>
          <w:smallCaps w:val="false"/>
          <w:sz w:val="20"/>
        </w:rPr>
        <w:t>Selling Securityholders</w:t>
      </w:r>
      <w:r>
        <w:rPr>
          <w:rFonts w:ascii="Times New Roman;Times;Serif" w:hAnsi="Times New Roman;Times;Serif"/>
          <w:b w:val="false"/>
          <w:i w:val="false"/>
          <w:caps w:val="false"/>
          <w:smallCaps w:val="false"/>
          <w:sz w:val="20"/>
        </w:rPr>
        <w:t>” for additional information regarding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or this prospectus supplement and will not receive any of the proceeds from the sale of shares of common stock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the prospectus and this prospectus supplement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Securityholders may sell or otherwise dispose of the shares of common stock being registered pursuant to the prospectus and this prospectus supplement. None of the Selling Securityholders are an “underwriter” with respect to the securities registered hereunder within the meaning of Section 2(a)(11)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“SPWR”. On September 16, 2026, the closing price of our common stock was $0.3169.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9 of the prospectus, and under similar headings in any amendments or supplements to the prospectus and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 xml:space="preserve">1403 N. Research Way, Orem, UT </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Jamie Haenggi, a member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SunPower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informed the Company of her decision not to stand for reelection at the Company’s 2026 Annual Meeting of Stockholders (the “</w:t>
      </w:r>
      <w:r>
        <w:rPr>
          <w:rFonts w:ascii="Times New Roman;Times;Serif" w:hAnsi="Times New Roman;Times;Serif"/>
          <w:b/>
          <w:i w:val="false"/>
          <w:caps w:val="false"/>
          <w:smallCaps w:val="false"/>
          <w:sz w:val="20"/>
        </w:rPr>
        <w:t>2026 Annual Meeting</w:t>
      </w:r>
      <w:r>
        <w:rPr>
          <w:rFonts w:ascii="Times New Roman;Times;Serif" w:hAnsi="Times New Roman;Times;Serif"/>
          <w:b w:val="false"/>
          <w:i w:val="false"/>
          <w:caps w:val="false"/>
          <w:smallCaps w:val="false"/>
          <w:sz w:val="20"/>
        </w:rPr>
        <w:t>”). Ms. Haenggi will continue to serve as a director until the 2026 Annual Meeting. Ms. Haenggi’s decision not to stand for reelection was not the result of any disagreement with the Company or the Board on any matter relating to the Company’s operations, policies or practices.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5.08 Shareholder Director Nominations.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in Item 8.01 of this Current Report on Form 8-K is incorporated by reference into this Item 5.08.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set November 2, 2026 as the date of the 2026 Annual Meeting. The 2026 Annual Meeting will be held virtually online by means of remote communication. More detailed information regarding the 2026 Annual Meeting will be set forth in the Company’s Definitive Proxy Statement on Schedule 14A to be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record date for the 2026 Annual Meeting is September 18, 2026. Stockholders owning the Company’s common stock at the close of business on such record date, or their legal proxy holders, are entitled to vote at the 2026 Annual Meeting. The Company reserves the right to change the record date or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date of the 2026 Annual Meeting is being delayed by more than 30 days from the anniversary date of the Company’s 2025 Annual Meeting of Stockholders (the “</w:t>
      </w:r>
      <w:r>
        <w:rPr>
          <w:rFonts w:ascii="Times New Roman;Times;Serif" w:hAnsi="Times New Roman;Times;Serif"/>
          <w:b/>
          <w:i w:val="false"/>
          <w:caps w:val="false"/>
          <w:smallCaps w:val="false"/>
          <w:sz w:val="20"/>
        </w:rPr>
        <w:t>2025 Annual Meeting</w:t>
      </w:r>
      <w:r>
        <w:rPr>
          <w:rFonts w:ascii="Times New Roman;Times;Serif" w:hAnsi="Times New Roman;Times;Serif"/>
          <w:b w:val="false"/>
          <w:i w:val="false"/>
          <w:caps w:val="false"/>
          <w:smallCaps w:val="false"/>
          <w:sz w:val="20"/>
        </w:rPr>
        <w:t>”), in accordance with Rule 14a-5(f)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Company is hereby informing shareholders of such change. In addition, because the 2026 Annual Meeting will be held more than 30 days from the anniversary date of the 2025 Annual Meeting, the deadlines for stockholders’ nominations or proposals for consideration at the 2026 Annual Meeting set forth in the Company’s proxy statement for the 2025 Annual Meeting no longer apply. Further, because the 2026 Annual Meeting will be held more than 60 days from the anniversary date of the 2025 Annual Meeting, the deadlines set forth in the proxy statement for the 2025 Annual Meeting for shareholders to submit a notice of a proposal outside the processes of Rule 14a-8 of the Exchange Act and a notice of proposed director nominations, in each case for consideration at the 2026 Annual Meeting, no longer apply. As such, the Company is filing this Current Report on Form 8-K to inform stockholders of this change and to provide the due date for the submission of any qualified stockholder proposals or qualified stockholder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the Company who wish to have a proposal considered for inclusion in the Company’s proxy materials for the 2026 Annual Meeting pursuant to Rule 14a-8 under the Exchange Act must ensure that such proposal is delivered to or mailed to and received by the Company’s Secretary at SunPower Inc., 1403 N. Research Way, Orem, UT 84097 no later than September 28, 2026, which the Company has determined to be a reasonable time before it expects to begin to print and distribute its proxy materials. Such proposals must comply with all applicable procedures and requirements of Rule 14a-8.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intends to submit a director nomination or who intends to submit a proposal regarding any matter of business at the 2026 Annual Meeting other than in accordance with Rule 14a-8 or otherwise must similarly make sure that such nomination or proposal and related notice comply with all applicable rules of the SEC, the Delaware General Corporation Law and the Company’s Second Amended and Restated Bylaws, and are delivered to, or mailed and received at, the Company’s principal executive offices on or before the close of business on September 28, 2026. Any director nominations and stockholder proposals received after this deadline will be considered untimely and will not be considered for inclusion in the proxy materials for the 2026 Annual Meeting nor will they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2630"/>
        <w:gridCol w:w="365"/>
        <w:gridCol w:w="2420"/>
      </w:tblGrid>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b/>
                <w:smallCaps/>
              </w:rPr>
            </w:pPr>
            <w:r>
              <w:rPr>
                <w:b/>
                <w:smallCaps/>
              </w:rPr>
              <w:t>SunPower Inc.</w:t>
            </w:r>
          </w:p>
        </w:tc>
      </w:tr>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Dated: September 17, 2026</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1905</Words>
  <Characters>10364</Characters>
  <CharactersWithSpaces>12286</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