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Times New Roman" w:cs="Times New Roman" w:eastAsia="Times New Roman" w:hAnsi="Times New Roman"/>
          <w:sz w:val="18"/>
          <w:szCs w:val="18"/>
          <w:b w:val="1"/>
          <w:bCs w:val="1"/>
          <w:color w:val="auto"/>
        </w:rPr>
        <w:t>Filed Pursuant to Rule 424(b)(3)</w:t>
      </w:r>
    </w:p>
    <w:p>
      <w:pPr>
        <w:spacing w:after="0" w:line="31"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333-292713</w:t>
      </w:r>
    </w:p>
    <w:p>
      <w:pPr>
        <w:spacing w:after="0" w:line="20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PROSPECTUS SUPPLEMENT NO. 1</w:t>
      </w:r>
    </w:p>
    <w:p>
      <w:pPr>
        <w:spacing w:after="0" w:line="3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(To the Prospectus dated June 1, 2026)</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SUNPOWER INC.</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Up to 48,521,163 Shares of Common Stock</w:t>
      </w:r>
    </w:p>
    <w:p>
      <w:pPr>
        <w:spacing w:after="0" w:line="225" w:lineRule="exact"/>
        <w:rPr>
          <w:sz w:val="24"/>
          <w:szCs w:val="24"/>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This prospectus supplement supplements the prospectus dated June 1, 2026 (as amended or supplemented, the “</w:t>
      </w:r>
      <w:r>
        <w:rPr>
          <w:rFonts w:ascii="Times New Roman" w:cs="Times New Roman" w:eastAsia="Times New Roman" w:hAnsi="Times New Roman"/>
          <w:sz w:val="18"/>
          <w:szCs w:val="18"/>
          <w:b w:val="1"/>
          <w:bCs w:val="1"/>
          <w:color w:val="auto"/>
        </w:rPr>
        <w:t>prospectus</w:t>
      </w:r>
      <w:r>
        <w:rPr>
          <w:rFonts w:ascii="Times New Roman" w:cs="Times New Roman" w:eastAsia="Times New Roman" w:hAnsi="Times New Roman"/>
          <w:sz w:val="18"/>
          <w:szCs w:val="18"/>
          <w:color w:val="auto"/>
        </w:rPr>
        <w:t>”), which forms a part of our registration statement on Form S-1 (No. 333-292713). This prospectus supplement is being filed to update and supplement the information in the prospectus with the information contained in Item 1.01, Item 3.01 and Exhibit 10.1 of Item 9.01 (the “</w:t>
      </w:r>
      <w:r>
        <w:rPr>
          <w:rFonts w:ascii="Times New Roman" w:cs="Times New Roman" w:eastAsia="Times New Roman" w:hAnsi="Times New Roman"/>
          <w:sz w:val="18"/>
          <w:szCs w:val="18"/>
          <w:b w:val="1"/>
          <w:bCs w:val="1"/>
          <w:color w:val="auto"/>
        </w:rPr>
        <w:t>Supplemental Information</w:t>
      </w:r>
      <w:r>
        <w:rPr>
          <w:rFonts w:ascii="Times New Roman" w:cs="Times New Roman" w:eastAsia="Times New Roman" w:hAnsi="Times New Roman"/>
          <w:sz w:val="18"/>
          <w:szCs w:val="18"/>
          <w:color w:val="auto"/>
        </w:rPr>
        <w:t>”) of our Current Report on Form 8-K filed with the Securities and Exchange Commission on July 1, 2026 (the “</w:t>
      </w:r>
      <w:r>
        <w:rPr>
          <w:rFonts w:ascii="Times New Roman" w:cs="Times New Roman" w:eastAsia="Times New Roman" w:hAnsi="Times New Roman"/>
          <w:sz w:val="18"/>
          <w:szCs w:val="18"/>
          <w:b w:val="1"/>
          <w:bCs w:val="1"/>
          <w:color w:val="auto"/>
        </w:rPr>
        <w:t>Current Report</w:t>
      </w:r>
      <w:r>
        <w:rPr>
          <w:rFonts w:ascii="Times New Roman" w:cs="Times New Roman" w:eastAsia="Times New Roman" w:hAnsi="Times New Roman"/>
          <w:sz w:val="18"/>
          <w:szCs w:val="18"/>
          <w:color w:val="auto"/>
        </w:rPr>
        <w:t>”). Accordingly, we have attached the Current Report to this prospectus supplement with respect to the Supplemental Information, and the information contained in Item 7.01 of the Current Report is expressly excluded from this prospectus supplement and are not filed for any purposes under the prospectus or this prospectus supplement.</w:t>
      </w:r>
    </w:p>
    <w:p>
      <w:pPr>
        <w:spacing w:after="0" w:line="186" w:lineRule="exact"/>
        <w:rPr>
          <w:sz w:val="24"/>
          <w:szCs w:val="24"/>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prospectus and this prospectus supplement relate to the potential offer and sale of up to 48,521,163 shares of our common stock, par value $0.0001 per share (the “</w:t>
      </w:r>
      <w:r>
        <w:rPr>
          <w:rFonts w:ascii="Times New Roman" w:cs="Times New Roman" w:eastAsia="Times New Roman" w:hAnsi="Times New Roman"/>
          <w:sz w:val="18"/>
          <w:szCs w:val="18"/>
          <w:b w:val="1"/>
          <w:bCs w:val="1"/>
          <w:color w:val="auto"/>
        </w:rPr>
        <w:t>common stock</w:t>
      </w:r>
      <w:r>
        <w:rPr>
          <w:rFonts w:ascii="Times New Roman" w:cs="Times New Roman" w:eastAsia="Times New Roman" w:hAnsi="Times New Roman"/>
          <w:sz w:val="18"/>
          <w:szCs w:val="18"/>
          <w:color w:val="auto"/>
        </w:rPr>
        <w:t>”), by White Lion Capital, LLC (“</w:t>
      </w:r>
      <w:r>
        <w:rPr>
          <w:rFonts w:ascii="Times New Roman" w:cs="Times New Roman" w:eastAsia="Times New Roman" w:hAnsi="Times New Roman"/>
          <w:sz w:val="18"/>
          <w:szCs w:val="18"/>
          <w:b w:val="1"/>
          <w:bCs w:val="1"/>
          <w:color w:val="auto"/>
        </w:rPr>
        <w:t>White Lion</w:t>
      </w:r>
      <w:r>
        <w:rPr>
          <w:rFonts w:ascii="Times New Roman" w:cs="Times New Roman" w:eastAsia="Times New Roman" w:hAnsi="Times New Roman"/>
          <w:sz w:val="18"/>
          <w:szCs w:val="18"/>
          <w:color w:val="auto"/>
        </w:rPr>
        <w:t>” or the “</w:t>
      </w:r>
      <w:r>
        <w:rPr>
          <w:rFonts w:ascii="Times New Roman" w:cs="Times New Roman" w:eastAsia="Times New Roman" w:hAnsi="Times New Roman"/>
          <w:sz w:val="18"/>
          <w:szCs w:val="18"/>
          <w:b w:val="1"/>
          <w:bCs w:val="1"/>
          <w:color w:val="auto"/>
        </w:rPr>
        <w:t>Selling Securityholder</w:t>
      </w:r>
      <w:r>
        <w:rPr>
          <w:rFonts w:ascii="Times New Roman" w:cs="Times New Roman" w:eastAsia="Times New Roman" w:hAnsi="Times New Roman"/>
          <w:sz w:val="18"/>
          <w:szCs w:val="18"/>
          <w:color w:val="auto"/>
        </w:rPr>
        <w:t>”).</w:t>
      </w:r>
    </w:p>
    <w:p>
      <w:pPr>
        <w:spacing w:after="0" w:line="162" w:lineRule="exact"/>
        <w:rPr>
          <w:sz w:val="24"/>
          <w:szCs w:val="24"/>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shares of common stock to which the prospectus and this prospectus supplement relate may be issued to White Lion pursuant to the Common Stock Purchase Agreement dated July 16, 2024 between us and White Lion, as amended by Amendment No. 1 to the Common Stock Purchase Agreement dated July 24, 2024, Amendment No. 2 to the Common Stock Purchase Agreement dated August 14, 2024, and Amendment No. 3 to the Common Stock Purchase Agreement dated January 11, 2026 (as amended, the “</w:t>
      </w:r>
      <w:r>
        <w:rPr>
          <w:rFonts w:ascii="Times New Roman" w:cs="Times New Roman" w:eastAsia="Times New Roman" w:hAnsi="Times New Roman"/>
          <w:sz w:val="18"/>
          <w:szCs w:val="18"/>
          <w:b w:val="1"/>
          <w:bCs w:val="1"/>
          <w:color w:val="auto"/>
        </w:rPr>
        <w:t>White Lion Purchase Agreement</w:t>
      </w:r>
      <w:r>
        <w:rPr>
          <w:rFonts w:ascii="Times New Roman" w:cs="Times New Roman" w:eastAsia="Times New Roman" w:hAnsi="Times New Roman"/>
          <w:sz w:val="18"/>
          <w:szCs w:val="18"/>
          <w:color w:val="auto"/>
        </w:rPr>
        <w:t>”), establishing an equity line of credit. Such shares of our common stock include up to 48,521,163 shares of common stock (the “</w:t>
      </w:r>
      <w:r>
        <w:rPr>
          <w:rFonts w:ascii="Times New Roman" w:cs="Times New Roman" w:eastAsia="Times New Roman" w:hAnsi="Times New Roman"/>
          <w:sz w:val="18"/>
          <w:szCs w:val="18"/>
          <w:b w:val="1"/>
          <w:bCs w:val="1"/>
          <w:color w:val="auto"/>
        </w:rPr>
        <w:t>Offered Securities</w:t>
      </w:r>
      <w:r>
        <w:rPr>
          <w:rFonts w:ascii="Times New Roman" w:cs="Times New Roman" w:eastAsia="Times New Roman" w:hAnsi="Times New Roman"/>
          <w:sz w:val="18"/>
          <w:szCs w:val="18"/>
          <w:color w:val="auto"/>
        </w:rPr>
        <w:t>”) that we may elect, in our sole discretion, to issue and sell to White Lion from time to time during the White Lion Commitment Period (as defined below) subject to and pursuant to the terms and conditions of the White Lion Purchase Agreement (assuming the shares to be issued are sold at a price of $1.00 per share). See “</w:t>
      </w:r>
      <w:r>
        <w:rPr>
          <w:rFonts w:ascii="Times New Roman" w:cs="Times New Roman" w:eastAsia="Times New Roman" w:hAnsi="Times New Roman"/>
          <w:sz w:val="18"/>
          <w:szCs w:val="18"/>
          <w:i w:val="1"/>
          <w:iCs w:val="1"/>
          <w:color w:val="auto"/>
        </w:rPr>
        <w:t>The White Lion Transaction</w:t>
      </w:r>
      <w:r>
        <w:rPr>
          <w:rFonts w:ascii="Times New Roman" w:cs="Times New Roman" w:eastAsia="Times New Roman" w:hAnsi="Times New Roman"/>
          <w:sz w:val="18"/>
          <w:szCs w:val="18"/>
          <w:color w:val="auto"/>
        </w:rPr>
        <w:t>” below for a description of the White Lion Purchase Agreement and “</w:t>
      </w:r>
      <w:r>
        <w:rPr>
          <w:rFonts w:ascii="Times New Roman" w:cs="Times New Roman" w:eastAsia="Times New Roman" w:hAnsi="Times New Roman"/>
          <w:sz w:val="18"/>
          <w:szCs w:val="18"/>
          <w:i w:val="1"/>
          <w:iCs w:val="1"/>
          <w:color w:val="auto"/>
        </w:rPr>
        <w:t>Selling Securityholder</w:t>
      </w:r>
      <w:r>
        <w:rPr>
          <w:rFonts w:ascii="Times New Roman" w:cs="Times New Roman" w:eastAsia="Times New Roman" w:hAnsi="Times New Roman"/>
          <w:sz w:val="18"/>
          <w:szCs w:val="18"/>
          <w:color w:val="auto"/>
        </w:rPr>
        <w:t>” for additional information regarding White Lion.</w:t>
      </w:r>
    </w:p>
    <w:p>
      <w:pPr>
        <w:spacing w:after="0" w:line="192" w:lineRule="exact"/>
        <w:rPr>
          <w:sz w:val="24"/>
          <w:szCs w:val="24"/>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actual number of Offered Securities issuable to White Lion will vary depending on the then-current market price of shares of our common stock sold to the Selling Securityholder under the White Lion Purchase Agreement and are subject to the further limitations set forth in the White Lion Purchase Agreement.</w:t>
      </w:r>
    </w:p>
    <w:p>
      <w:pPr>
        <w:spacing w:after="0" w:line="176" w:lineRule="exact"/>
        <w:rPr>
          <w:sz w:val="24"/>
          <w:szCs w:val="24"/>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are not selling any securities under the prospectus or this prospectus supplement and will not receive any of the proceeds from the sale of shares of common stock by the Selling Securityholder. However, we may receive proceeds of up to $48.5 million from the sale of the Offered Securities to the Selling Securityholder pursuant to the White Lion Purchase Agreement after the date of this prospectus (assuming the shares are sold at a price of $1.00 per share). The actual proceeds from White Lion under the White Lion Purchase Agreement may be less than this amount depending on the number of shares of our common stock sold and the price at which the shares of our common stock are sold.</w:t>
      </w:r>
    </w:p>
    <w:p>
      <w:pPr>
        <w:spacing w:after="0" w:line="183" w:lineRule="exact"/>
        <w:rPr>
          <w:sz w:val="24"/>
          <w:szCs w:val="24"/>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Selling Securityholder may sell or otherwise dispose of the shares of common stock described in the prospectus and this prospectus supplement in a number of different ways and at varying prices. See “</w:t>
      </w:r>
      <w:r>
        <w:rPr>
          <w:rFonts w:ascii="Times New Roman" w:cs="Times New Roman" w:eastAsia="Times New Roman" w:hAnsi="Times New Roman"/>
          <w:sz w:val="18"/>
          <w:szCs w:val="18"/>
          <w:i w:val="1"/>
          <w:iCs w:val="1"/>
          <w:color w:val="auto"/>
        </w:rPr>
        <w:t>Plan of Distribution</w:t>
      </w:r>
      <w:r>
        <w:rPr>
          <w:rFonts w:ascii="Times New Roman" w:cs="Times New Roman" w:eastAsia="Times New Roman" w:hAnsi="Times New Roman"/>
          <w:sz w:val="18"/>
          <w:szCs w:val="18"/>
          <w:color w:val="auto"/>
        </w:rPr>
        <w:t>” for more information about how the Selling Securityholder may sell or otherwise dispose of the shares of common stock being registered pursuant to the prospectus and this prospectus supplement. The Selling Securityholder is an “underwriter” within the meaning of Section 2(a)(11) of the Securities Act of 1933, as amended.</w:t>
      </w:r>
    </w:p>
    <w:p>
      <w:pPr>
        <w:spacing w:after="0" w:line="180" w:lineRule="exact"/>
        <w:rPr>
          <w:sz w:val="24"/>
          <w:szCs w:val="24"/>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Selling Securityholder will pay all brokerage fees and commissions and similar expenses attributable to the sales of its common stock. We will pay the expenses (except brokerage fees and commissions and similar expenses) incurred in registering the shares of common stock offered hereby, including legal and accounting fees. See “</w:t>
      </w:r>
      <w:r>
        <w:rPr>
          <w:rFonts w:ascii="Times New Roman" w:cs="Times New Roman" w:eastAsia="Times New Roman" w:hAnsi="Times New Roman"/>
          <w:sz w:val="18"/>
          <w:szCs w:val="18"/>
          <w:i w:val="1"/>
          <w:iCs w:val="1"/>
          <w:color w:val="auto"/>
        </w:rPr>
        <w:t>Plan of Distribution</w:t>
      </w:r>
      <w:r>
        <w:rPr>
          <w:rFonts w:ascii="Times New Roman" w:cs="Times New Roman" w:eastAsia="Times New Roman" w:hAnsi="Times New Roman"/>
          <w:sz w:val="18"/>
          <w:szCs w:val="18"/>
          <w:color w:val="auto"/>
        </w:rPr>
        <w:t>.”</w:t>
      </w:r>
    </w:p>
    <w:p>
      <w:pPr>
        <w:spacing w:after="0" w:line="176" w:lineRule="exact"/>
        <w:rPr>
          <w:sz w:val="24"/>
          <w:szCs w:val="24"/>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Shares of our common stock are listed on the Nasdaq Global Market (“Nasdaq”) under the symbol “SPWR”. On June 30, 2026, the closing price of our common stock was $0.6873.</w:t>
      </w:r>
    </w:p>
    <w:p>
      <w:pPr>
        <w:spacing w:after="0" w:line="162" w:lineRule="exact"/>
        <w:rPr>
          <w:sz w:val="24"/>
          <w:szCs w:val="24"/>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This prospectus supplement should be read in conjunction with the prospectus, including any amendments or supplements thereto, which is to be delivered with this prospectus supplement. This prospectus supplement is qualified by reference to the prospectus, including any amendments or supplements thereto, except to the extent that the information in this prospectus supplement updates and supersedes the information contained therein.</w:t>
      </w:r>
    </w:p>
    <w:p>
      <w:pPr>
        <w:spacing w:after="0" w:line="176" w:lineRule="exact"/>
        <w:rPr>
          <w:sz w:val="24"/>
          <w:szCs w:val="24"/>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This prospectus supplement is not complete without, and may not be delivered or utilized except in connection with, the prospectus, including any amendments or supplements thereto.</w:t>
      </w:r>
    </w:p>
    <w:p>
      <w:pPr>
        <w:spacing w:after="0" w:line="158" w:lineRule="exact"/>
        <w:rPr>
          <w:sz w:val="24"/>
          <w:szCs w:val="24"/>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We are an “emerging growth company” as defined under U.S. federal securities laws and, as such, have elected to comply with reduced public company reporting requirements. The prospectus and this prospectus supplement comply with the requirements that apply to an issuer that is an emerging growth company.</w:t>
      </w:r>
    </w:p>
    <w:p>
      <w:pPr>
        <w:spacing w:after="0" w:line="171" w:lineRule="exact"/>
        <w:rPr>
          <w:sz w:val="24"/>
          <w:szCs w:val="24"/>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Investing in our securities involves a high degree of risk. You should review carefully the risks and uncertainties described in the section titled “Risk Factors” beginning on page 10 of the prospectus, and under similar headings in any amendments or supplements to the prospectus.</w:t>
      </w:r>
    </w:p>
    <w:p>
      <w:pPr>
        <w:spacing w:after="0" w:line="155" w:lineRule="exact"/>
        <w:rPr>
          <w:sz w:val="24"/>
          <w:szCs w:val="24"/>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Neither the Securities and Exchange Commission nor any state securities commission has approved or disapproved of these securities, or passed upon the accuracy or adequacy of the prospectus or this prospectus supplement. Any representation to the contrary is a criminal offense.</w:t>
      </w:r>
    </w:p>
    <w:p>
      <w:pPr>
        <w:spacing w:after="0" w:line="15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Prospectus Supplement dated July 1,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379730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5" w:right="339" w:bottom="1153"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517525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551815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8-K</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Date of Report (Date of earliest event reported): </w:t>
      </w:r>
      <w:r>
        <w:rPr>
          <w:rFonts w:ascii="Times New Roman" w:cs="Times New Roman" w:eastAsia="Times New Roman" w:hAnsi="Times New Roman"/>
          <w:sz w:val="18"/>
          <w:szCs w:val="18"/>
          <w:b w:val="1"/>
          <w:bCs w:val="1"/>
          <w:color w:val="auto"/>
        </w:rPr>
        <w:t>June 29, 2026</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SunPower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4420" w:type="dxa"/>
            <w:vAlign w:val="bottom"/>
            <w:gridSpan w:val="3"/>
          </w:tcPr>
          <w:p>
            <w:pPr>
              <w:jc w:val="center"/>
              <w:ind w:right="800"/>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3020" w:type="dxa"/>
            <w:vAlign w:val="bottom"/>
            <w:gridSpan w:val="3"/>
          </w:tcPr>
          <w:p>
            <w:pPr>
              <w:jc w:val="right"/>
              <w:ind w:right="1420"/>
              <w:spacing w:after="0"/>
              <w:rPr>
                <w:sz w:val="20"/>
                <w:szCs w:val="20"/>
                <w:color w:val="auto"/>
              </w:rPr>
            </w:pPr>
            <w:r>
              <w:rPr>
                <w:rFonts w:ascii="Times New Roman" w:cs="Times New Roman" w:eastAsia="Times New Roman" w:hAnsi="Times New Roman"/>
                <w:sz w:val="18"/>
                <w:szCs w:val="18"/>
                <w:b w:val="1"/>
                <w:bCs w:val="1"/>
                <w:color w:val="auto"/>
              </w:rPr>
              <w:t>001-40117</w:t>
            </w:r>
          </w:p>
        </w:tc>
        <w:tc>
          <w:tcPr>
            <w:tcW w:w="200" w:type="dxa"/>
            <w:vAlign w:val="bottom"/>
          </w:tcPr>
          <w:p>
            <w:pPr>
              <w:spacing w:after="0"/>
              <w:rPr>
                <w:sz w:val="21"/>
                <w:szCs w:val="21"/>
                <w:color w:val="auto"/>
              </w:rPr>
            </w:pP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93-2279786</w:t>
            </w:r>
          </w:p>
        </w:tc>
      </w:tr>
      <w:tr>
        <w:trPr>
          <w:trHeight w:val="198"/>
        </w:trPr>
        <w:tc>
          <w:tcPr>
            <w:tcW w:w="3620" w:type="dxa"/>
            <w:vAlign w:val="bottom"/>
            <w:tcBorders>
              <w:top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rPr>
              <w:t>(State or other jurisdiction</w:t>
            </w:r>
          </w:p>
        </w:tc>
        <w:tc>
          <w:tcPr>
            <w:tcW w:w="220" w:type="dxa"/>
            <w:vAlign w:val="bottom"/>
          </w:tcPr>
          <w:p>
            <w:pPr>
              <w:spacing w:after="0"/>
              <w:rPr>
                <w:sz w:val="17"/>
                <w:szCs w:val="17"/>
                <w:color w:val="auto"/>
              </w:rPr>
            </w:pPr>
          </w:p>
        </w:tc>
        <w:tc>
          <w:tcPr>
            <w:tcW w:w="580" w:type="dxa"/>
            <w:vAlign w:val="bottom"/>
            <w:tcBorders>
              <w:top w:val="single" w:sz="8" w:color="auto"/>
            </w:tcBorders>
          </w:tcPr>
          <w:p>
            <w:pPr>
              <w:spacing w:after="0"/>
              <w:rPr>
                <w:sz w:val="17"/>
                <w:szCs w:val="17"/>
                <w:color w:val="auto"/>
              </w:rPr>
            </w:pPr>
          </w:p>
        </w:tc>
        <w:tc>
          <w:tcPr>
            <w:tcW w:w="3020" w:type="dxa"/>
            <w:vAlign w:val="bottom"/>
            <w:tcBorders>
              <w:top w:val="single" w:sz="8" w:color="auto"/>
            </w:tcBorders>
            <w:gridSpan w:val="3"/>
          </w:tcPr>
          <w:p>
            <w:pPr>
              <w:jc w:val="center"/>
              <w:ind w:right="580"/>
              <w:spacing w:after="0" w:line="198" w:lineRule="exact"/>
              <w:rPr>
                <w:sz w:val="20"/>
                <w:szCs w:val="20"/>
                <w:color w:val="auto"/>
              </w:rPr>
            </w:pPr>
            <w:r>
              <w:rPr>
                <w:rFonts w:ascii="Times New Roman" w:cs="Times New Roman" w:eastAsia="Times New Roman" w:hAnsi="Times New Roman"/>
                <w:sz w:val="18"/>
                <w:szCs w:val="18"/>
                <w:color w:val="auto"/>
              </w:rPr>
              <w:t>(Commission File Number)</w:t>
            </w:r>
          </w:p>
        </w:tc>
        <w:tc>
          <w:tcPr>
            <w:tcW w:w="200" w:type="dxa"/>
            <w:vAlign w:val="bottom"/>
          </w:tcPr>
          <w:p>
            <w:pPr>
              <w:spacing w:after="0"/>
              <w:rPr>
                <w:sz w:val="17"/>
                <w:szCs w:val="17"/>
                <w:color w:val="auto"/>
              </w:rPr>
            </w:pPr>
          </w:p>
        </w:tc>
        <w:tc>
          <w:tcPr>
            <w:tcW w:w="3600" w:type="dxa"/>
            <w:vAlign w:val="bottom"/>
            <w:tcBorders>
              <w:top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rPr>
              <w:t>(IRS Employer</w:t>
            </w:r>
          </w:p>
        </w:tc>
      </w:tr>
      <w:tr>
        <w:trPr>
          <w:trHeight w:val="234"/>
        </w:trPr>
        <w:tc>
          <w:tcPr>
            <w:tcW w:w="4420" w:type="dxa"/>
            <w:vAlign w:val="bottom"/>
            <w:gridSpan w:val="3"/>
          </w:tcPr>
          <w:p>
            <w:pPr>
              <w:jc w:val="center"/>
              <w:ind w:right="800"/>
              <w:spacing w:after="0"/>
              <w:rPr>
                <w:sz w:val="20"/>
                <w:szCs w:val="20"/>
                <w:color w:val="auto"/>
              </w:rPr>
            </w:pPr>
            <w:r>
              <w:rPr>
                <w:rFonts w:ascii="Times New Roman" w:cs="Times New Roman" w:eastAsia="Times New Roman" w:hAnsi="Times New Roman"/>
                <w:sz w:val="18"/>
                <w:szCs w:val="18"/>
                <w:color w:val="auto"/>
                <w:w w:val="99"/>
              </w:rPr>
              <w:t>of incorporation)</w:t>
            </w: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439"/>
        </w:trPr>
        <w:tc>
          <w:tcPr>
            <w:tcW w:w="4420" w:type="dxa"/>
            <w:vAlign w:val="bottom"/>
            <w:tcBorders>
              <w:bottom w:val="single" w:sz="8" w:color="auto"/>
            </w:tcBorders>
            <w:gridSpan w:val="3"/>
          </w:tcPr>
          <w:p>
            <w:pPr>
              <w:jc w:val="center"/>
              <w:ind w:left="1010"/>
              <w:spacing w:after="0"/>
              <w:rPr>
                <w:sz w:val="20"/>
                <w:szCs w:val="20"/>
                <w:color w:val="auto"/>
              </w:rPr>
            </w:pPr>
            <w:r>
              <w:rPr>
                <w:rFonts w:ascii="Times New Roman" w:cs="Times New Roman" w:eastAsia="Times New Roman" w:hAnsi="Times New Roman"/>
                <w:sz w:val="18"/>
                <w:szCs w:val="18"/>
                <w:b w:val="1"/>
                <w:bCs w:val="1"/>
                <w:color w:val="auto"/>
                <w:w w:val="99"/>
              </w:rPr>
              <w:t>1403 N. Research Way, Orem, UT</w:t>
            </w:r>
          </w:p>
        </w:tc>
        <w:tc>
          <w:tcPr>
            <w:tcW w:w="110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3600" w:type="dxa"/>
            <w:vAlign w:val="bottom"/>
            <w:tcBorders>
              <w:bottom w:val="single" w:sz="8" w:color="auto"/>
            </w:tcBorders>
          </w:tcPr>
          <w:p>
            <w:pPr>
              <w:jc w:val="right"/>
              <w:ind w:right="2430"/>
              <w:spacing w:after="0"/>
              <w:rPr>
                <w:sz w:val="20"/>
                <w:szCs w:val="20"/>
                <w:color w:val="auto"/>
              </w:rPr>
            </w:pPr>
            <w:r>
              <w:rPr>
                <w:rFonts w:ascii="Times New Roman" w:cs="Times New Roman" w:eastAsia="Times New Roman" w:hAnsi="Times New Roman"/>
                <w:sz w:val="18"/>
                <w:szCs w:val="18"/>
                <w:b w:val="1"/>
                <w:bCs w:val="1"/>
                <w:color w:val="auto"/>
              </w:rPr>
              <w:t>84097</w:t>
            </w:r>
          </w:p>
        </w:tc>
      </w:tr>
      <w:tr>
        <w:trPr>
          <w:trHeight w:val="234"/>
        </w:trPr>
        <w:tc>
          <w:tcPr>
            <w:tcW w:w="4420" w:type="dxa"/>
            <w:vAlign w:val="bottom"/>
            <w:gridSpan w:val="3"/>
          </w:tcPr>
          <w:p>
            <w:pPr>
              <w:jc w:val="center"/>
              <w:ind w:left="1010"/>
              <w:spacing w:after="0"/>
              <w:rPr>
                <w:sz w:val="20"/>
                <w:szCs w:val="20"/>
                <w:color w:val="auto"/>
              </w:rPr>
            </w:pPr>
            <w:r>
              <w:rPr>
                <w:rFonts w:ascii="Times New Roman" w:cs="Times New Roman" w:eastAsia="Times New Roman" w:hAnsi="Times New Roman"/>
                <w:sz w:val="18"/>
                <w:szCs w:val="18"/>
                <w:color w:val="auto"/>
                <w:w w:val="99"/>
              </w:rPr>
              <w:t>(Address of principal executive offices)</w:t>
            </w: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0" w:type="dxa"/>
            <w:vAlign w:val="bottom"/>
          </w:tcPr>
          <w:p>
            <w:pPr>
              <w:jc w:val="center"/>
              <w:ind w:right="1790"/>
              <w:spacing w:after="0"/>
              <w:rPr>
                <w:sz w:val="20"/>
                <w:szCs w:val="20"/>
                <w:color w:val="auto"/>
              </w:rPr>
            </w:pPr>
            <w:r>
              <w:rPr>
                <w:rFonts w:ascii="Times New Roman" w:cs="Times New Roman" w:eastAsia="Times New Roman" w:hAnsi="Times New Roman"/>
                <w:sz w:val="18"/>
                <w:szCs w:val="18"/>
                <w:color w:val="auto"/>
              </w:rPr>
              <w:t>(Zip Code)</w:t>
            </w:r>
          </w:p>
        </w:tc>
      </w:tr>
    </w:tbl>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color w:val="auto"/>
        </w:rPr>
        <w:t>(877) 299-4943</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0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obligations of the registrant under any of the following provisions:</w:t>
      </w:r>
    </w:p>
    <w:p>
      <w:pPr>
        <w:spacing w:after="0" w:line="162" w:lineRule="exact"/>
        <w:rPr>
          <w:sz w:val="20"/>
          <w:szCs w:val="20"/>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860" w:firstLine="8"/>
        <w:spacing w:after="0" w:line="498" w:lineRule="auto"/>
        <w:tabs>
          <w:tab w:leader="none" w:pos="3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38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38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16"/>
        </w:trPr>
        <w:tc>
          <w:tcPr>
            <w:tcW w:w="36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Common Stock, par value $0.0001 per share</w:t>
            </w:r>
          </w:p>
        </w:tc>
        <w:tc>
          <w:tcPr>
            <w:tcW w:w="220" w:type="dxa"/>
            <w:vAlign w:val="bottom"/>
            <w:tcBorders>
              <w:top w:val="single" w:sz="8" w:color="CCEEFF"/>
            </w:tcBorders>
            <w:shd w:val="clear" w:color="auto" w:fill="CCEEFF"/>
          </w:tcPr>
          <w:p>
            <w:pPr>
              <w:spacing w:after="0"/>
              <w:rPr>
                <w:sz w:val="18"/>
                <w:szCs w:val="18"/>
                <w:color w:val="auto"/>
              </w:rPr>
            </w:pPr>
          </w:p>
        </w:tc>
        <w:tc>
          <w:tcPr>
            <w:tcW w:w="36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SPWR</w:t>
            </w:r>
          </w:p>
        </w:tc>
        <w:tc>
          <w:tcPr>
            <w:tcW w:w="200" w:type="dxa"/>
            <w:vAlign w:val="bottom"/>
            <w:tcBorders>
              <w:top w:val="single" w:sz="8" w:color="CCEEFF"/>
            </w:tcBorders>
            <w:shd w:val="clear" w:color="auto" w:fill="CCEEFF"/>
          </w:tcPr>
          <w:p>
            <w:pPr>
              <w:spacing w:after="0"/>
              <w:rPr>
                <w:sz w:val="18"/>
                <w:szCs w:val="18"/>
                <w:color w:val="auto"/>
              </w:rPr>
            </w:pPr>
          </w:p>
        </w:tc>
        <w:tc>
          <w:tcPr>
            <w:tcW w:w="36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rPr>
              <w:t>The Nasdaq Global Market</w:t>
            </w:r>
          </w:p>
        </w:tc>
      </w:tr>
      <w:tr>
        <w:trPr>
          <w:trHeight w:val="216"/>
        </w:trPr>
        <w:tc>
          <w:tcPr>
            <w:tcW w:w="3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0" w:type="dxa"/>
            <w:vAlign w:val="bottom"/>
          </w:tcPr>
          <w:p>
            <w:pPr>
              <w:spacing w:after="0"/>
              <w:rPr>
                <w:sz w:val="18"/>
                <w:szCs w:val="18"/>
                <w:color w:val="auto"/>
              </w:rPr>
            </w:pPr>
          </w:p>
        </w:tc>
      </w:tr>
      <w:tr>
        <w:trPr>
          <w:trHeight w:val="194"/>
        </w:trPr>
        <w:tc>
          <w:tcPr>
            <w:tcW w:w="3840" w:type="dxa"/>
            <w:vAlign w:val="bottom"/>
            <w:gridSpan w:val="2"/>
            <w:shd w:val="clear" w:color="auto" w:fill="CCEEFF"/>
          </w:tcPr>
          <w:p>
            <w:pPr>
              <w:jc w:val="center"/>
              <w:ind w:right="220"/>
              <w:spacing w:after="0" w:line="194" w:lineRule="exact"/>
              <w:rPr>
                <w:sz w:val="20"/>
                <w:szCs w:val="20"/>
                <w:color w:val="auto"/>
              </w:rPr>
            </w:pPr>
            <w:r>
              <w:rPr>
                <w:rFonts w:ascii="Times New Roman" w:cs="Times New Roman" w:eastAsia="Times New Roman" w:hAnsi="Times New Roman"/>
                <w:sz w:val="18"/>
                <w:szCs w:val="18"/>
                <w:b w:val="1"/>
                <w:bCs w:val="1"/>
                <w:color w:val="auto"/>
                <w:w w:val="99"/>
              </w:rPr>
              <w:t>Warrants, each whole warrant exercisable for</w:t>
            </w:r>
          </w:p>
        </w:tc>
        <w:tc>
          <w:tcPr>
            <w:tcW w:w="3800" w:type="dxa"/>
            <w:vAlign w:val="bottom"/>
            <w:gridSpan w:val="2"/>
            <w:shd w:val="clear" w:color="auto" w:fill="CCEEFF"/>
          </w:tcPr>
          <w:p>
            <w:pPr>
              <w:jc w:val="center"/>
              <w:ind w:right="200"/>
              <w:spacing w:after="0" w:line="194" w:lineRule="exact"/>
              <w:rPr>
                <w:sz w:val="20"/>
                <w:szCs w:val="20"/>
                <w:color w:val="auto"/>
              </w:rPr>
            </w:pPr>
            <w:r>
              <w:rPr>
                <w:rFonts w:ascii="Times New Roman" w:cs="Times New Roman" w:eastAsia="Times New Roman" w:hAnsi="Times New Roman"/>
                <w:sz w:val="18"/>
                <w:szCs w:val="18"/>
                <w:b w:val="1"/>
                <w:bCs w:val="1"/>
                <w:color w:val="auto"/>
                <w:w w:val="97"/>
              </w:rPr>
              <w:t>SPWRW</w:t>
            </w:r>
          </w:p>
        </w:tc>
        <w:tc>
          <w:tcPr>
            <w:tcW w:w="3600" w:type="dxa"/>
            <w:vAlign w:val="bottom"/>
            <w:shd w:val="clear" w:color="auto" w:fill="CCEEFF"/>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w w:val="99"/>
              </w:rPr>
              <w:t>The Nasdaq Capital Market</w:t>
            </w:r>
          </w:p>
        </w:tc>
      </w:tr>
      <w:tr>
        <w:trPr>
          <w:trHeight w:val="216"/>
        </w:trPr>
        <w:tc>
          <w:tcPr>
            <w:tcW w:w="384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one share of Common Stock at an exercise</w:t>
            </w:r>
          </w:p>
        </w:tc>
        <w:tc>
          <w:tcPr>
            <w:tcW w:w="3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600" w:type="dxa"/>
            <w:vAlign w:val="bottom"/>
            <w:shd w:val="clear" w:color="auto" w:fill="CCEEFF"/>
          </w:tcPr>
          <w:p>
            <w:pPr>
              <w:spacing w:after="0"/>
              <w:rPr>
                <w:sz w:val="18"/>
                <w:szCs w:val="18"/>
                <w:color w:val="auto"/>
              </w:rPr>
            </w:pPr>
          </w:p>
        </w:tc>
      </w:tr>
      <w:tr>
        <w:trPr>
          <w:trHeight w:val="238"/>
        </w:trPr>
        <w:tc>
          <w:tcPr>
            <w:tcW w:w="384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price of $11.50 per share</w:t>
            </w:r>
          </w:p>
        </w:tc>
        <w:tc>
          <w:tcPr>
            <w:tcW w:w="36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3600" w:type="dxa"/>
            <w:vAlign w:val="bottom"/>
            <w:shd w:val="clear" w:color="auto" w:fill="CCEEFF"/>
          </w:tcPr>
          <w:p>
            <w:pPr>
              <w:spacing w:after="0"/>
              <w:rPr>
                <w:sz w:val="20"/>
                <w:szCs w:val="20"/>
                <w:color w:val="auto"/>
              </w:rPr>
            </w:pPr>
          </w:p>
        </w:tc>
      </w:tr>
    </w:tbl>
    <w:p>
      <w:pPr>
        <w:spacing w:after="0" w:line="19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0"/>
          <w:szCs w:val="20"/>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0"/>
          <w:szCs w:val="20"/>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145415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574040</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76"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t>Item 1.01 Entry into a Material Definitive Agreement.</w:t>
      </w:r>
    </w:p>
    <w:p>
      <w:pPr>
        <w:spacing w:after="0" w:line="225"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On June 29, 2026 and June 30, 2026, SunPower Inc.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entered into separately- and privately- negotiated agreements (the “</w:t>
      </w:r>
      <w:r>
        <w:rPr>
          <w:rFonts w:ascii="Times New Roman" w:cs="Times New Roman" w:eastAsia="Times New Roman" w:hAnsi="Times New Roman"/>
          <w:sz w:val="18"/>
          <w:szCs w:val="18"/>
          <w:b w:val="1"/>
          <w:bCs w:val="1"/>
          <w:i w:val="1"/>
          <w:iCs w:val="1"/>
          <w:color w:val="auto"/>
        </w:rPr>
        <w:t>Exchange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Agreements</w:t>
      </w:r>
      <w:r>
        <w:rPr>
          <w:rFonts w:ascii="Times New Roman" w:cs="Times New Roman" w:eastAsia="Times New Roman" w:hAnsi="Times New Roman"/>
          <w:sz w:val="18"/>
          <w:szCs w:val="18"/>
          <w:color w:val="auto"/>
        </w:rPr>
        <w:t>”) with certain holders of its 12.0% Convertible Senior Notes due 2029 (the “</w:t>
      </w:r>
      <w:r>
        <w:rPr>
          <w:rFonts w:ascii="Times New Roman" w:cs="Times New Roman" w:eastAsia="Times New Roman" w:hAnsi="Times New Roman"/>
          <w:sz w:val="18"/>
          <w:szCs w:val="18"/>
          <w:b w:val="1"/>
          <w:bCs w:val="1"/>
          <w:i w:val="1"/>
          <w:iCs w:val="1"/>
          <w:color w:val="auto"/>
        </w:rPr>
        <w:t>12.0% Notes</w:t>
      </w:r>
      <w:r>
        <w:rPr>
          <w:rFonts w:ascii="Times New Roman" w:cs="Times New Roman" w:eastAsia="Times New Roman" w:hAnsi="Times New Roman"/>
          <w:sz w:val="18"/>
          <w:szCs w:val="18"/>
          <w:color w:val="auto"/>
        </w:rPr>
        <w:t>”), 10.0% Convertible Senior Secured Notes due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2029 (the “</w:t>
      </w:r>
      <w:r>
        <w:rPr>
          <w:rFonts w:ascii="Times New Roman" w:cs="Times New Roman" w:eastAsia="Times New Roman" w:hAnsi="Times New Roman"/>
          <w:sz w:val="18"/>
          <w:szCs w:val="18"/>
          <w:b w:val="1"/>
          <w:bCs w:val="1"/>
          <w:i w:val="1"/>
          <w:iCs w:val="1"/>
          <w:color w:val="auto"/>
        </w:rPr>
        <w:t>10.0% Notes</w:t>
      </w:r>
      <w:r>
        <w:rPr>
          <w:rFonts w:ascii="Times New Roman" w:cs="Times New Roman" w:eastAsia="Times New Roman" w:hAnsi="Times New Roman"/>
          <w:sz w:val="18"/>
          <w:szCs w:val="18"/>
          <w:color w:val="auto"/>
        </w:rPr>
        <w:t>”) and 7.0% Convertible Senior Notes due 2029 (the “</w:t>
      </w:r>
      <w:r>
        <w:rPr>
          <w:rFonts w:ascii="Times New Roman" w:cs="Times New Roman" w:eastAsia="Times New Roman" w:hAnsi="Times New Roman"/>
          <w:sz w:val="18"/>
          <w:szCs w:val="18"/>
          <w:b w:val="1"/>
          <w:bCs w:val="1"/>
          <w:i w:val="1"/>
          <w:iCs w:val="1"/>
          <w:color w:val="auto"/>
        </w:rPr>
        <w:t>7.0% Notes</w:t>
      </w:r>
      <w:r>
        <w:rPr>
          <w:rFonts w:ascii="Times New Roman" w:cs="Times New Roman" w:eastAsia="Times New Roman" w:hAnsi="Times New Roman"/>
          <w:sz w:val="18"/>
          <w:szCs w:val="18"/>
          <w:color w:val="auto"/>
        </w:rPr>
        <w:t>” and together with the 12.0% Notes and the 10.0% Notes, collectively, the “</w:t>
      </w:r>
      <w:r>
        <w:rPr>
          <w:rFonts w:ascii="Times New Roman" w:cs="Times New Roman" w:eastAsia="Times New Roman" w:hAnsi="Times New Roman"/>
          <w:sz w:val="18"/>
          <w:szCs w:val="18"/>
          <w:b w:val="1"/>
          <w:bCs w:val="1"/>
          <w:i w:val="1"/>
          <w:iCs w:val="1"/>
          <w:color w:val="auto"/>
        </w:rPr>
        <w:t>Notes</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Pursuant to the Exchange Agreements, the applicable holders of Notes agreed to exchange (the “</w:t>
      </w:r>
      <w:r>
        <w:rPr>
          <w:rFonts w:ascii="Times New Roman" w:cs="Times New Roman" w:eastAsia="Times New Roman" w:hAnsi="Times New Roman"/>
          <w:sz w:val="18"/>
          <w:szCs w:val="18"/>
          <w:b w:val="1"/>
          <w:bCs w:val="1"/>
          <w:i w:val="1"/>
          <w:iCs w:val="1"/>
          <w:color w:val="auto"/>
        </w:rPr>
        <w:t>Exchange</w:t>
      </w:r>
      <w:r>
        <w:rPr>
          <w:rFonts w:ascii="Times New Roman" w:cs="Times New Roman" w:eastAsia="Times New Roman" w:hAnsi="Times New Roman"/>
          <w:sz w:val="18"/>
          <w:szCs w:val="18"/>
          <w:color w:val="auto"/>
        </w:rPr>
        <w:t>”) approximately $10.7 million of cash interest otherwise payable on July 1, 2026, October 1, 2026 and January 1, 2027 (the “</w:t>
      </w:r>
      <w:r>
        <w:rPr>
          <w:rFonts w:ascii="Times New Roman" w:cs="Times New Roman" w:eastAsia="Times New Roman" w:hAnsi="Times New Roman"/>
          <w:sz w:val="18"/>
          <w:szCs w:val="18"/>
          <w:b w:val="1"/>
          <w:bCs w:val="1"/>
          <w:i w:val="1"/>
          <w:iCs w:val="1"/>
          <w:color w:val="auto"/>
        </w:rPr>
        <w:t>Exchanged Interest Amounts</w:t>
      </w:r>
      <w:r>
        <w:rPr>
          <w:rFonts w:ascii="Times New Roman" w:cs="Times New Roman" w:eastAsia="Times New Roman" w:hAnsi="Times New Roman"/>
          <w:sz w:val="18"/>
          <w:szCs w:val="18"/>
          <w:color w:val="auto"/>
        </w:rPr>
        <w:t>”) for 19,300,991 shares (the “</w:t>
      </w:r>
      <w:r>
        <w:rPr>
          <w:rFonts w:ascii="Times New Roman" w:cs="Times New Roman" w:eastAsia="Times New Roman" w:hAnsi="Times New Roman"/>
          <w:sz w:val="18"/>
          <w:szCs w:val="18"/>
          <w:b w:val="1"/>
          <w:bCs w:val="1"/>
          <w:i w:val="1"/>
          <w:iCs w:val="1"/>
          <w:color w:val="auto"/>
        </w:rPr>
        <w:t>Exchange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Shares</w:t>
      </w:r>
      <w:r>
        <w:rPr>
          <w:rFonts w:ascii="Times New Roman" w:cs="Times New Roman" w:eastAsia="Times New Roman" w:hAnsi="Times New Roman"/>
          <w:sz w:val="18"/>
          <w:szCs w:val="18"/>
          <w:color w:val="auto"/>
        </w:rPr>
        <w:t>”) of the Company’s common stock, $0.0001 par value per share (the “</w:t>
      </w:r>
      <w:r>
        <w:rPr>
          <w:rFonts w:ascii="Times New Roman" w:cs="Times New Roman" w:eastAsia="Times New Roman" w:hAnsi="Times New Roman"/>
          <w:sz w:val="18"/>
          <w:szCs w:val="18"/>
          <w:b w:val="1"/>
          <w:bCs w:val="1"/>
          <w:i w:val="1"/>
          <w:iCs w:val="1"/>
          <w:color w:val="auto"/>
        </w:rPr>
        <w:t>Common Stock</w:t>
      </w:r>
      <w:r>
        <w:rPr>
          <w:rFonts w:ascii="Times New Roman" w:cs="Times New Roman" w:eastAsia="Times New Roman" w:hAnsi="Times New Roman"/>
          <w:sz w:val="18"/>
          <w:szCs w:val="18"/>
          <w:color w:val="auto"/>
        </w:rPr>
        <w:t>”). The transactions under the Exchange Agreements closed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on, and the Exchange Shares were issued on, July 1, 2026. As a result of the Exchange, the Exchanged Interest Amounts will not be payable in cash by the Company on the applicable payment dates under the Notes. The Exchange Agreements include registration rights, representations and warranties and other covenants that are customary for such exchange transactions.</w:t>
      </w:r>
    </w:p>
    <w:p>
      <w:pPr>
        <w:spacing w:after="0" w:line="18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foregoing summary of the Exchange Agreements is qualified in its entirety by reference to the copy of the form of Exchange Agreement attached as Exhibit 10.1 to this Current Report on Form 8-K, and such Exhibit 10.1 is incorporated herein by reference.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3.02 Unregistered Sales of Equity Securities.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information set forth under Item 1.01 of this Current Report on Form 8-K is incorporated herein by reference.</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issued the Exchange Shares in reliance upon the exemption from registration provided by Section 4(a)(2) of the Securities Act of 1933, as amended (the “</w:t>
      </w:r>
      <w:r>
        <w:rPr>
          <w:rFonts w:ascii="Times New Roman" w:cs="Times New Roman" w:eastAsia="Times New Roman" w:hAnsi="Times New Roman"/>
          <w:sz w:val="18"/>
          <w:szCs w:val="18"/>
          <w:b w:val="1"/>
          <w:bCs w:val="1"/>
          <w:i w:val="1"/>
          <w:iCs w:val="1"/>
          <w:color w:val="auto"/>
        </w:rPr>
        <w:t>Securities Act</w:t>
      </w:r>
      <w:r>
        <w:rPr>
          <w:rFonts w:ascii="Times New Roman" w:cs="Times New Roman" w:eastAsia="Times New Roman" w:hAnsi="Times New Roman"/>
          <w:sz w:val="18"/>
          <w:szCs w:val="18"/>
          <w:color w:val="auto"/>
        </w:rPr>
        <w:t>”). The Exchange Shares have not been registered under the Securities Act and may not be offered or sold in the United States absent registration or an applicable exemption from registration requirements. This Current Report on Form 8-K shall not constitute an offer to sell or the solicitation of an offer to buy, nor shall such securities be offered or sold in the United States absent registration or an applicable exemption from the registration requirements and certificates evidencing such shares contain a legend stating the same.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7.01. Regulation FD Disclosure.</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July 1, 2026, the Company issued a press release announcing the Exchange. A copy of the press release is furnished as Exhibit 99.1 to this Current Report on Form 8-K.</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information contained in this Item 7.01 and in the accompanying Exhibit 99.1 shall not be incorporated by reference into any filing of the Company, whether made before or after the date hereof, regardless of any general incorporation language in such filing, unless expressly incorporated by specific reference to such filing. The information in this Item 7.01 and the accompanying Exhibit 99.1 shall not be deemed to be “filed” for purposes of Section 18 of the Securities Exchange Act of 1934, as amended, or otherwise subject to the liabilities of that section or Sections 11 and 12(a)(2) of the Securities Act.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(d) Exhibits</w:t>
            </w:r>
          </w:p>
        </w:tc>
        <w:tc>
          <w:tcPr>
            <w:tcW w:w="20" w:type="dxa"/>
            <w:vAlign w:val="bottom"/>
          </w:tcPr>
          <w:p>
            <w:pPr>
              <w:spacing w:after="0"/>
              <w:rPr>
                <w:sz w:val="20"/>
                <w:szCs w:val="20"/>
                <w:color w:val="auto"/>
              </w:rPr>
            </w:pPr>
          </w:p>
        </w:tc>
        <w:tc>
          <w:tcPr>
            <w:tcW w:w="238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6340" w:type="dxa"/>
            <w:vAlign w:val="bottom"/>
          </w:tcPr>
          <w:p>
            <w:pPr>
              <w:spacing w:after="0"/>
              <w:rPr>
                <w:sz w:val="20"/>
                <w:szCs w:val="20"/>
                <w:color w:val="auto"/>
              </w:rPr>
            </w:pPr>
          </w:p>
        </w:tc>
      </w:tr>
      <w:tr>
        <w:trPr>
          <w:trHeight w:val="410"/>
        </w:trPr>
        <w:tc>
          <w:tcPr>
            <w:tcW w:w="11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2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6340" w:type="dxa"/>
            <w:vAlign w:val="bottom"/>
          </w:tcPr>
          <w:p>
            <w:pPr>
              <w:spacing w:after="0"/>
              <w:rPr>
                <w:sz w:val="24"/>
                <w:szCs w:val="24"/>
                <w:color w:val="auto"/>
              </w:rPr>
            </w:pPr>
          </w:p>
        </w:tc>
      </w:tr>
      <w:tr>
        <w:trPr>
          <w:trHeight w:val="245"/>
        </w:trPr>
        <w:tc>
          <w:tcPr>
            <w:tcW w:w="11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20" w:type="dxa"/>
            <w:vAlign w:val="bottom"/>
          </w:tcPr>
          <w:p>
            <w:pPr>
              <w:spacing w:after="0"/>
              <w:rPr>
                <w:sz w:val="21"/>
                <w:szCs w:val="21"/>
                <w:color w:val="auto"/>
              </w:rPr>
            </w:pPr>
          </w:p>
        </w:tc>
        <w:tc>
          <w:tcPr>
            <w:tcW w:w="100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196"/>
        </w:trPr>
        <w:tc>
          <w:tcPr>
            <w:tcW w:w="1020" w:type="dxa"/>
            <w:vAlign w:val="bottom"/>
            <w:tcBorders>
              <w:top w:val="single" w:sz="8" w:color="auto"/>
              <w:bottom w:val="single" w:sz="8" w:color="CCEEFF"/>
            </w:tcBorders>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10.1</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20" w:type="dxa"/>
            <w:vAlign w:val="bottom"/>
            <w:tcBorders>
              <w:top w:val="single" w:sz="8" w:color="auto"/>
              <w:bottom w:val="single" w:sz="8" w:color="CCEEFF"/>
            </w:tcBorders>
            <w:shd w:val="clear" w:color="auto" w:fill="CCEEFF"/>
          </w:tcPr>
          <w:p>
            <w:pPr>
              <w:spacing w:after="0"/>
              <w:rPr>
                <w:sz w:val="17"/>
                <w:szCs w:val="17"/>
                <w:color w:val="auto"/>
              </w:rPr>
            </w:pPr>
          </w:p>
        </w:tc>
        <w:tc>
          <w:tcPr>
            <w:tcW w:w="3740" w:type="dxa"/>
            <w:vAlign w:val="bottom"/>
            <w:tcBorders>
              <w:top w:val="single" w:sz="8" w:color="auto"/>
              <w:bottom w:val="single" w:sz="8" w:color="0000EE"/>
            </w:tcBorders>
            <w:gridSpan w:val="2"/>
            <w:shd w:val="clear" w:color="auto" w:fill="CCEEFF"/>
          </w:tcPr>
          <w:p>
            <w:pPr>
              <w:spacing w:after="0" w:line="176" w:lineRule="exact"/>
              <w:rPr>
                <w:rFonts w:ascii="Times New Roman" w:cs="Times New Roman" w:eastAsia="Times New Roman" w:hAnsi="Times New Roman"/>
                <w:sz w:val="18"/>
                <w:szCs w:val="18"/>
                <w:color w:val="0000EE"/>
                <w:w w:val="99"/>
              </w:rPr>
            </w:pPr>
            <w:hyperlink r:id="rId14">
              <w:r>
                <w:rPr>
                  <w:rFonts w:ascii="Times New Roman" w:cs="Times New Roman" w:eastAsia="Times New Roman" w:hAnsi="Times New Roman"/>
                  <w:sz w:val="18"/>
                  <w:szCs w:val="18"/>
                  <w:color w:val="0000EE"/>
                  <w:w w:val="99"/>
                </w:rPr>
                <w:t>Form of Equity for Interest Exchange Agreement+*</w:t>
              </w:r>
            </w:hyperlink>
          </w:p>
        </w:tc>
        <w:tc>
          <w:tcPr>
            <w:tcW w:w="6340" w:type="dxa"/>
            <w:vAlign w:val="bottom"/>
            <w:tcBorders>
              <w:top w:val="single" w:sz="8" w:color="auto"/>
              <w:bottom w:val="single" w:sz="8" w:color="CCEEFF"/>
            </w:tcBorders>
            <w:shd w:val="clear" w:color="auto" w:fill="CCEEFF"/>
          </w:tcPr>
          <w:p>
            <w:pPr>
              <w:spacing w:after="0"/>
              <w:rPr>
                <w:sz w:val="17"/>
                <w:szCs w:val="17"/>
                <w:color w:val="auto"/>
              </w:rPr>
            </w:pPr>
          </w:p>
        </w:tc>
      </w:tr>
      <w:tr>
        <w:trPr>
          <w:trHeight w:val="175"/>
        </w:trPr>
        <w:tc>
          <w:tcPr>
            <w:tcW w:w="102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99.1</w:t>
            </w: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80" w:type="dxa"/>
            <w:vAlign w:val="bottom"/>
            <w:gridSpan w:val="3"/>
          </w:tcPr>
          <w:p>
            <w:pPr>
              <w:spacing w:after="0" w:line="176" w:lineRule="exact"/>
              <w:rPr>
                <w:rFonts w:ascii="Times New Roman" w:cs="Times New Roman" w:eastAsia="Times New Roman" w:hAnsi="Times New Roman"/>
                <w:sz w:val="18"/>
                <w:szCs w:val="18"/>
                <w:color w:val="0000EE"/>
              </w:rPr>
            </w:pPr>
            <w:hyperlink r:id="rId15">
              <w:r>
                <w:rPr>
                  <w:rFonts w:ascii="Times New Roman" w:cs="Times New Roman" w:eastAsia="Times New Roman" w:hAnsi="Times New Roman"/>
                  <w:sz w:val="18"/>
                  <w:szCs w:val="18"/>
                  <w:color w:val="0000EE"/>
                </w:rPr>
                <w:t>Press Release, dated July 1, 2026</w:t>
              </w:r>
            </w:hyperlink>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380" w:type="dxa"/>
            <w:vAlign w:val="bottom"/>
            <w:shd w:val="clear" w:color="auto" w:fill="0000EE"/>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6340" w:type="dxa"/>
            <w:vAlign w:val="bottom"/>
          </w:tcPr>
          <w:p>
            <w:pPr>
              <w:spacing w:after="0" w:line="20" w:lineRule="exact"/>
              <w:rPr>
                <w:sz w:val="1"/>
                <w:szCs w:val="1"/>
                <w:color w:val="auto"/>
              </w:rPr>
            </w:pPr>
          </w:p>
        </w:tc>
      </w:tr>
    </w:tbl>
    <w:p>
      <w:pPr>
        <w:spacing w:after="0" w:line="9" w:lineRule="exact"/>
        <w:rPr>
          <w:sz w:val="20"/>
          <w:szCs w:val="20"/>
          <w:color w:val="auto"/>
        </w:rPr>
      </w:pPr>
    </w:p>
    <w:p>
      <w:pPr>
        <w:ind w:left="1160" w:hanging="1139"/>
        <w:spacing w:after="0"/>
        <w:tabs>
          <w:tab w:leader="none" w:pos="1160"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(embedded within the Inline XBRL document).</w:t>
      </w:r>
    </w:p>
    <w:p>
      <w:pPr>
        <w:spacing w:after="0" w:line="225"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of the exhibits and schedules to this exhibit have been omitted in accordance with Item 601(a)(5) of Regulation S-K. The registrant agrees to furnish a copy of all omitted exhibits and schedules to the SEC upon its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-570865</wp:posOffset>
            </wp:positionV>
            <wp:extent cx="7132320" cy="13716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142" w:lineRule="exact"/>
        <w:rPr>
          <w:sz w:val="20"/>
          <w:szCs w:val="20"/>
          <w:color w:val="auto"/>
        </w:rPr>
      </w:pPr>
    </w:p>
    <w:p>
      <w:pPr>
        <w:ind w:left="5580" w:right="4080" w:hanging="5572"/>
        <w:spacing w:after="0" w:line="783" w:lineRule="auto"/>
        <w:tabs>
          <w:tab w:leader="none" w:pos="333"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Portions of this exhibit are redacted in accordance with Item 601(b)(10)(iv) of Regulation S-K.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-296545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 w:name="page4"/>
    <w:bookmarkEnd w:id="3"/>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58"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b w:val="1"/>
          <w:bCs w:val="1"/>
          <w:color w:val="auto"/>
        </w:rPr>
        <w:t>S</w:t>
      </w:r>
      <w:r>
        <w:rPr>
          <w:rFonts w:ascii="Times New Roman" w:cs="Times New Roman" w:eastAsia="Times New Roman" w:hAnsi="Times New Roman"/>
          <w:sz w:val="12"/>
          <w:szCs w:val="12"/>
          <w:b w:val="1"/>
          <w:bCs w:val="1"/>
          <w:color w:val="auto"/>
        </w:rPr>
        <w:t>un</w:t>
      </w:r>
      <w:r>
        <w:rPr>
          <w:rFonts w:ascii="Times New Roman" w:cs="Times New Roman" w:eastAsia="Times New Roman" w:hAnsi="Times New Roman"/>
          <w:sz w:val="18"/>
          <w:szCs w:val="18"/>
          <w:b w:val="1"/>
          <w:bCs w:val="1"/>
          <w:color w:val="auto"/>
        </w:rPr>
        <w:t>P</w:t>
      </w:r>
      <w:r>
        <w:rPr>
          <w:rFonts w:ascii="Times New Roman" w:cs="Times New Roman" w:eastAsia="Times New Roman" w:hAnsi="Times New Roman"/>
          <w:sz w:val="12"/>
          <w:szCs w:val="12"/>
          <w:b w:val="1"/>
          <w:bCs w:val="1"/>
          <w:color w:val="auto"/>
        </w:rPr>
        <w:t>ower</w:t>
      </w:r>
      <w:r>
        <w:rPr>
          <w:rFonts w:ascii="Times New Roman" w:cs="Times New Roman" w:eastAsia="Times New Roman" w:hAnsi="Times New Roman"/>
          <w:sz w:val="18"/>
          <w:szCs w:val="18"/>
          <w:b w:val="1"/>
          <w:bCs w:val="1"/>
          <w:color w:val="auto"/>
        </w:rPr>
        <w:t xml:space="preserve"> I</w:t>
      </w:r>
      <w:r>
        <w:rPr>
          <w:rFonts w:ascii="Times New Roman" w:cs="Times New Roman" w:eastAsia="Times New Roman" w:hAnsi="Times New Roman"/>
          <w:sz w:val="12"/>
          <w:szCs w:val="12"/>
          <w:b w:val="1"/>
          <w:bCs w:val="1"/>
          <w:color w:val="auto"/>
        </w:rPr>
        <w:t>nc</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spacing w:after="0"/>
        <w:tabs>
          <w:tab w:leader="none" w:pos="6740" w:val="left"/>
        </w:tabs>
        <w:rPr>
          <w:sz w:val="20"/>
          <w:szCs w:val="20"/>
          <w:color w:val="auto"/>
        </w:rPr>
      </w:pPr>
      <w:r>
        <w:rPr>
          <w:rFonts w:ascii="Times New Roman" w:cs="Times New Roman" w:eastAsia="Times New Roman" w:hAnsi="Times New Roman"/>
          <w:sz w:val="18"/>
          <w:szCs w:val="18"/>
          <w:color w:val="auto"/>
        </w:rPr>
        <w:t>Dated: July 1, 2026</w:t>
      </w:r>
      <w:r>
        <w:rPr>
          <w:sz w:val="20"/>
          <w:szCs w:val="20"/>
          <w:color w:val="auto"/>
        </w:rPr>
        <w:tab/>
      </w:r>
      <w:r>
        <w:rPr>
          <w:rFonts w:ascii="Times New Roman" w:cs="Times New Roman" w:eastAsia="Times New Roman" w:hAnsi="Times New Roman"/>
          <w:sz w:val="18"/>
          <w:szCs w:val="18"/>
          <w:color w:val="auto"/>
        </w:rPr>
        <w:t>By: /s/ Thurman J. Rodgers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4505325</wp:posOffset>
            </wp:positionH>
            <wp:positionV relativeFrom="paragraph">
              <wp:posOffset>17145</wp:posOffset>
            </wp:positionV>
            <wp:extent cx="263144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2631440" cy="17145"/>
                    </a:xfrm>
                    <a:prstGeom prst="rect">
                      <a:avLst/>
                    </a:prstGeom>
                    <a:noFill/>
                  </pic:spPr>
                </pic:pic>
              </a:graphicData>
            </a:graphic>
          </wp:anchor>
        </w:drawing>
      </w:r>
    </w:p>
    <w:p>
      <w:pPr>
        <w:spacing w:after="0" w:line="21" w:lineRule="exact"/>
        <w:rPr>
          <w:sz w:val="20"/>
          <w:szCs w:val="20"/>
          <w:color w:val="auto"/>
        </w:rPr>
      </w:pPr>
    </w:p>
    <w:p>
      <w:pPr>
        <w:ind w:left="7100"/>
        <w:spacing w:after="0"/>
        <w:rPr>
          <w:sz w:val="20"/>
          <w:szCs w:val="20"/>
          <w:color w:val="auto"/>
        </w:rPr>
      </w:pPr>
      <w:r>
        <w:rPr>
          <w:rFonts w:ascii="Times New Roman" w:cs="Times New Roman" w:eastAsia="Times New Roman" w:hAnsi="Times New Roman"/>
          <w:sz w:val="18"/>
          <w:szCs w:val="18"/>
          <w:color w:val="auto"/>
        </w:rPr>
        <w:t>Thurman J. Rodgers</w:t>
      </w:r>
    </w:p>
    <w:p>
      <w:pPr>
        <w:spacing w:after="0" w:line="23" w:lineRule="exact"/>
        <w:rPr>
          <w:sz w:val="20"/>
          <w:szCs w:val="20"/>
          <w:color w:val="auto"/>
        </w:rPr>
      </w:pPr>
    </w:p>
    <w:p>
      <w:pPr>
        <w:ind w:left="710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90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
      <w:numFmt w:val="bullet"/>
      <w:start w:val="1"/>
    </w:lvl>
    <w:lvl w:ilvl="1">
      <w:lvlJc w:val="left"/>
      <w:lvlText w:val="%2"/>
      <w:numFmt w:val="decimal"/>
      <w:start w:val="104"/>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9" Type="http://schemas.openxmlformats.org/officeDocument/2006/relationships/image" Target="media/image10.png"/><Relationship Id="rId14" Type="http://schemas.openxmlformats.org/officeDocument/2006/relationships/hyperlink" Target="https://www.sec.gov/Archives/edgar/data/1838987/000121390026073995/ea029660301ex10-1.htm" TargetMode="External"/><Relationship Id="rId15" Type="http://schemas.openxmlformats.org/officeDocument/2006/relationships/hyperlink" Target="https://www.sec.gov/Archives/edgar/data/1838987/000121390026073995/ea029660301ex99-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2026-07-01T07:15:53Z</dcterms:created>
  <dcterms:modified xsi:type="dcterms:W3CDTF">2026-07-01T07:15:53Z</dcterms:modified>
</cp:coreProperties>
</file>