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8"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quarterly period ended September 28, 2025</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ind w:left="374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r>
      <w:tr>
        <w:trPr>
          <w:trHeight w:val="36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001-40117</w:t>
            </w:r>
          </w:p>
        </w:tc>
      </w:tr>
      <w:tr>
        <w:trPr>
          <w:trHeight w:val="346"/>
        </w:trPr>
        <w:tc>
          <w:tcPr>
            <w:tcW w:w="6500" w:type="dxa"/>
            <w:vAlign w:val="bottom"/>
            <w:gridSpan w:val="3"/>
          </w:tcPr>
          <w:p>
            <w:pPr>
              <w:jc w:val="center"/>
              <w:ind w:left="467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4740" w:type="dxa"/>
            <w:vAlign w:val="bottom"/>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71"/>
        </w:trPr>
        <w:tc>
          <w:tcPr>
            <w:tcW w:w="6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93-2279786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 (I.R.S. Employer</w:t>
            </w:r>
          </w:p>
        </w:tc>
      </w:tr>
      <w:tr>
        <w:trPr>
          <w:trHeight w:val="234"/>
        </w:trPr>
        <w:tc>
          <w:tcPr>
            <w:tcW w:w="6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2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45700 Northport Loop East, Fremont, CA 94538</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(510) 270-2507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6"/>
              </w:rPr>
              <w:t>SPWRW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exercisable for one share of common stock</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2" w:lineRule="exact"/>
        <w:rPr>
          <w:sz w:val="24"/>
          <w:szCs w:val="24"/>
          <w:color w:val="auto"/>
        </w:rPr>
      </w:pPr>
    </w:p>
    <w:p>
      <w:pPr>
        <w:jc w:val="both"/>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18, 2025, 107,621,272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44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10"/>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SUNPOWER INC. AND SUBSIDIARIES</w:t>
            </w:r>
          </w:p>
        </w:tc>
        <w:tc>
          <w:tcPr>
            <w:tcW w:w="7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920" w:type="dxa"/>
            <w:vAlign w:val="bottom"/>
            <w:gridSpan w:val="9"/>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PAGES</w:t>
            </w:r>
          </w:p>
        </w:tc>
      </w:tr>
      <w:tr>
        <w:trPr>
          <w:trHeight w:val="201"/>
        </w:trPr>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Special Note Regarding Forward-Looking Statements</w:t>
            </w: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80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30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380" w:type="dxa"/>
            <w:vAlign w:val="bottom"/>
            <w:tcBorders>
              <w:bottom w:val="single" w:sz="8" w:color="CCEEFF"/>
            </w:tcBorders>
            <w:gridSpan w:val="1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w:t>
            </w:r>
          </w:p>
        </w:tc>
        <w:tc>
          <w:tcPr>
            <w:tcW w:w="592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760" w:type="dxa"/>
            <w:vAlign w:val="bottom"/>
          </w:tcPr>
          <w:p>
            <w:pPr>
              <w:spacing w:after="0"/>
              <w:rPr>
                <w:sz w:val="15"/>
                <w:szCs w:val="15"/>
                <w:color w:val="auto"/>
              </w:rPr>
            </w:pP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0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Stockholders’ Deficit</w:t>
            </w:r>
          </w:p>
        </w:tc>
        <w:tc>
          <w:tcPr>
            <w:tcW w:w="464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760" w:type="dxa"/>
            <w:vAlign w:val="bottom"/>
          </w:tcPr>
          <w:p>
            <w:pPr>
              <w:spacing w:after="0"/>
              <w:rPr>
                <w:sz w:val="15"/>
                <w:szCs w:val="15"/>
                <w:color w:val="auto"/>
              </w:rPr>
            </w:pP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8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tcBorders>
              <w:bottom w:val="single" w:sz="8" w:color="CCEEFF"/>
            </w:tcBorders>
            <w:shd w:val="clear" w:color="auto" w:fill="CCEEFF"/>
          </w:tcPr>
          <w:p>
            <w:pPr>
              <w:spacing w:after="0"/>
              <w:rPr>
                <w:sz w:val="17"/>
                <w:szCs w:val="17"/>
                <w:color w:val="auto"/>
              </w:rPr>
            </w:pPr>
          </w:p>
        </w:tc>
        <w:tc>
          <w:tcPr>
            <w:tcW w:w="43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34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2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30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20"/>
          </w:tcPr>
          <w:p>
            <w:pPr>
              <w:ind w:left="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0"/>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760" w:type="dxa"/>
            <w:vAlign w:val="bottom"/>
            <w:tcBorders>
              <w:top w:val="single" w:sz="8" w:color="CCEEFF"/>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and without limitation, statements about:</w:t>
      </w:r>
    </w:p>
    <w:p>
      <w:pPr>
        <w:spacing w:after="0" w:line="189"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indirect exposure to companies in the solar and renewable energy industries that are facing financial difficulties and potential bankruptcies;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following the closing of the Business Combination and the acquisition of the SunPower Businesses;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chains and distribution channels, tariffs and trade barriers, export regulations, bank failures, geopolitical conflicts and other macroeconomic conditions on our business and operations, results of operations and financial position;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acquisition under the asset purchase agreement with SunPower and other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changes to and developments relating to the regulations and policies applicable to our business, customers and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rebates, tax credits and other incentives;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volatility of interest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the Business Combination and the acquisition of the SunPower Businesses, including financial projections and business metrics, and our ability to manage our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the sufficiency of our cash, and sources and uses of cash, including cash required to service our current and future borrowings;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including in connection with the integration of our acquisitions, and our ability to raise capital and refinance our existing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 and services, especially in light of the intense competition faced in our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relating to cost control efforts (including headcount management and potential reductions) and expectations with respect to when we achieve breakeven operating income;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 and reputation, and our ability to maintain our relationships with key suppliers, installers and build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in this Quarterly Report on Form 10-Q primarily on our current expectations and projections about future events and trends that may affect our business, financial condition and operating results. The outcome of the events described in these forward-looking statements is subject to risks, uncertainties and other factors referenced in section Item 1.A “Risk Factors” in this Quarterly Report on Form 10-Q. Moreover, we operate in a very competitive and rapidly changing environment. New risks and uncertainties emerge from time to time, and we cannot predict all risks and uncertainties that could impact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relate only to events as of the date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achieve the plans, intentions or expectations disclosed in our forward-looking statements, and you should not place undue reliance on our forward-looking statements. Our forward-looking statements do not reflect the potential impact of future acquisitions, mergers, dispositions, joint ventures or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SUNPOWER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51,908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22,110</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20,830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8,206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42,911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18,476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208,340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144,466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59,271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56,081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payable to related parties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 with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net of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92,638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34,572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53,193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12,869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8,553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shares as of September 28, 2025, and December 29,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issued and outstanding 89,167,963 and 73,784,645 shares as of September 28, 2025, and December 29, 2024,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330,083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313,661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(442,578)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(112,316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(97,539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208,340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144,466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60" w:right="540" w:hanging="1652"/>
        <w:spacing w:after="0" w:line="294" w:lineRule="auto"/>
        <w:tabs>
          <w:tab w:leader="none" w:pos="328"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accrued interest due to related parties of $1.2 million and $2.2 million as of September 28, 2025, and December 29, 2024, respectively. </w:t>
      </w: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SUNPOWER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8"/>
                <w:szCs w:val="28"/>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70,005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220,269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37,965</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8,693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126,970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21,834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11,691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6,467</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21,764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3,762</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21,483</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18,450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52,382</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29,789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35,484</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26,813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98,419</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45,242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59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(8,104)</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(23,258)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9"/>
                <w:szCs w:val="29"/>
                <w:color w:val="auto"/>
                <w:vertAlign w:val="superscript"/>
              </w:rPr>
              <w:t>(3)</w:t>
            </w:r>
          </w:p>
        </w:tc>
        <w:tc>
          <w:tcPr>
            <w:tcW w:w="200" w:type="dxa"/>
            <w:vAlign w:val="bottom"/>
          </w:tcPr>
          <w:p>
            <w:pPr>
              <w:spacing w:after="0"/>
              <w:rPr>
                <w:sz w:val="22"/>
                <w:szCs w:val="22"/>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(4,256)</w:t>
            </w:r>
          </w:p>
        </w:tc>
        <w:tc>
          <w:tcPr>
            <w:tcW w:w="2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(65,684)</w:t>
            </w: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(1,724)</w:t>
            </w:r>
          </w:p>
        </w:tc>
        <w:tc>
          <w:tcPr>
            <w:tcW w:w="2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(66,234)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19,948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(47,988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(54,414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(16,904</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(77,958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(103,440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per share attributable to common</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57"/>
        </w:trPr>
        <w:tc>
          <w:tcPr>
            <w:tcW w:w="5980" w:type="dxa"/>
            <w:vAlign w:val="bottom"/>
            <w:tcBorders>
              <w:top w:val="single" w:sz="8" w:color="CCEEFF"/>
            </w:tcBorders>
            <w:shd w:val="clear" w:color="auto" w:fill="CCEEFF"/>
          </w:tcPr>
          <w:p>
            <w:pPr>
              <w:ind w:left="180"/>
              <w:spacing w:after="0" w:line="157" w:lineRule="exact"/>
              <w:rPr>
                <w:sz w:val="20"/>
                <w:szCs w:val="20"/>
                <w:color w:val="auto"/>
              </w:rPr>
            </w:pPr>
            <w:r>
              <w:rPr>
                <w:rFonts w:ascii="Times New Roman" w:cs="Times New Roman" w:eastAsia="Times New Roman" w:hAnsi="Times New Roman"/>
                <w:sz w:val="18"/>
                <w:szCs w:val="18"/>
                <w:color w:val="auto"/>
              </w:rPr>
              <w:t>Net loss from discontinued operations per share attributable to common</w:t>
            </w: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98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84,904,228</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75,348,627</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82,036,790</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61,868,747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 is net of dealer fees attributable to related party of $0.3 million and $1.6 million in the thirteen and thirty-nine week periods ended September 28, 2025, respectively. Revenue is net of dealer fees attributable to related party of $1.6 million in each of the thirteen and thirty-nine week periods ended September 29, 2024. Refer to Note 16 – Related Party Transactions for details.</w:t>
      </w:r>
    </w:p>
    <w:p>
      <w:pPr>
        <w:spacing w:after="0" w:line="11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interest expense and amortization of debt issuance costs of $1.8 million and $1.5 million in the thirteen week periods ended September 28, 2025, and September 29, 2024, respectively. Includes related party interest expense and amortization of debt issuance costs of $5.4 million and $5.6 million in the thirty-nine weeks periods ended September 28, 2025, and September 29, 2024, respectively.</w:t>
      </w:r>
    </w:p>
    <w:p>
      <w:pPr>
        <w:spacing w:after="0" w:line="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the following related party transactions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Thirteen Weeks Ended</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derivative liabilities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remeasurement of derivative liabilities (Note 9 – Borrowings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1"/>
              </w:rPr>
              <w:t>(22.8)</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due to change in fair value of Forward Purchase Agreements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gain due to change in fair value of Carlyle warrants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SUNPOWER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11"/>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Thirteen Weeks Ended September 28, 2025</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29,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82,325,722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(425,674)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198,096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2,310,811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4,333,334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(16,904)</w:t>
            </w:r>
          </w:p>
        </w:tc>
        <w:tc>
          <w:tcPr>
            <w:tcW w:w="9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28, 2025</w:t>
            </w: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41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89,167,963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330,083</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(442,578</w:t>
            </w:r>
          </w:p>
        </w:tc>
        <w:tc>
          <w:tcPr>
            <w:tcW w:w="22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(112,316</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Thirteen Weeks Ended September 29, 2024</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63,044,287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(380,410)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(91,973)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 for services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5,343,616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exchange of debt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2,718,837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Modification of warrant agreement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(77,958)</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(77,958)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29,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72,977,921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315,485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(458,368</w:t>
            </w:r>
          </w:p>
        </w:tc>
        <w:tc>
          <w:tcPr>
            <w:tcW w:w="220" w:type="dxa"/>
            <w:vAlign w:val="bottom"/>
            <w:vMerge w:val="continue"/>
          </w:tcPr>
          <w:p>
            <w:pPr>
              <w:spacing w:after="0"/>
              <w:rPr>
                <w:sz w:val="20"/>
                <w:szCs w:val="20"/>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(142,704</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11"/>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Thirty-Nine Weeks Ended September 28, 2025</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73,784,645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313,661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4,318,313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4,333,334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(31,199)</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28, 2025</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89,167,963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330,083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(442,578</w:t>
            </w:r>
          </w:p>
        </w:tc>
        <w:tc>
          <w:tcPr>
            <w:tcW w:w="220" w:type="dxa"/>
            <w:vAlign w:val="bottom"/>
            <w:vMerge w:val="continue"/>
          </w:tcPr>
          <w:p>
            <w:pPr>
              <w:spacing w:after="0"/>
              <w:rPr>
                <w:sz w:val="20"/>
                <w:szCs w:val="20"/>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(112,316</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Thirty-Nine Weeks Ended September 29, 2024</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49,065,361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(354,928)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 for services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conversion of SAFE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 with related party</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13,888,889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5,343,616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exchange of debt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2,718,837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of warrant agreement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(103,440)</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(103,440)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29,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72,977,921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315,485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(458,368</w:t>
            </w:r>
          </w:p>
        </w:tc>
        <w:tc>
          <w:tcPr>
            <w:tcW w:w="220" w:type="dxa"/>
            <w:vAlign w:val="bottom"/>
            <w:vMerge w:val="continue"/>
          </w:tcPr>
          <w:p>
            <w:pPr>
              <w:spacing w:after="0"/>
              <w:rPr>
                <w:sz w:val="20"/>
                <w:szCs w:val="20"/>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(142,704</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(31,199)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net of income taxes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forward purchase agreement liabilities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derivative liabilities </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14,259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Non-cash income </w:t>
            </w:r>
            <w:r>
              <w:rPr>
                <w:rFonts w:ascii="Times New Roman" w:cs="Times New Roman" w:eastAsia="Times New Roman" w:hAnsi="Times New Roman"/>
                <w:sz w:val="29"/>
                <w:szCs w:val="29"/>
                <w:color w:val="auto"/>
                <w:vertAlign w:val="superscript"/>
              </w:rPr>
              <w:t>(4)</w:t>
            </w:r>
          </w:p>
        </w:tc>
        <w:tc>
          <w:tcPr>
            <w:tcW w:w="16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 and disposals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debt in CS Solis –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of SAFE Agreements to shares of common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expense in connection with warrant issued for vendor services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derivative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acquisitions: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(32,747)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(10,568)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net of debt discount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68,725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due to related parties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payments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 of note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 for common stock</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SAFE Agreements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25,789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76,927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83,343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Seller Note as partial purchase consideration in Sunder acquisition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86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shares of common stock and deferred consideration as partial purchase consideration in Sunder acquisition</w:t>
            </w:r>
          </w:p>
        </w:tc>
        <w:tc>
          <w:tcPr>
            <w:tcW w:w="160" w:type="dxa"/>
            <w:vAlign w:val="bottom"/>
          </w:tcPr>
          <w:p>
            <w:pPr>
              <w:spacing w:after="0"/>
              <w:rPr>
                <w:sz w:val="17"/>
                <w:szCs w:val="17"/>
                <w:color w:val="auto"/>
              </w:rPr>
            </w:pPr>
          </w:p>
        </w:tc>
        <w:tc>
          <w:tcPr>
            <w:tcW w:w="11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color w:val="auto"/>
              </w:rPr>
              <w:t>17,100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existing indebtedness in Exchange Agreement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65,872</w:t>
            </w:r>
          </w:p>
        </w:tc>
        <w:tc>
          <w:tcPr>
            <w:tcW w:w="0" w:type="dxa"/>
            <w:vAlign w:val="bottom"/>
          </w:tcPr>
          <w:p>
            <w:pPr>
              <w:spacing w:after="0"/>
              <w:rPr>
                <w:sz w:val="1"/>
                <w:szCs w:val="1"/>
                <w:color w:val="auto"/>
              </w:rPr>
            </w:pPr>
          </w:p>
        </w:tc>
      </w:tr>
    </w:tbl>
    <w:p>
      <w:pPr>
        <w:sectPr>
          <w:pgSz w:w="11900" w:h="16877" w:orient="portrait"/>
          <w:cols w:equalWidth="0" w:num="1">
            <w:col w:w="11240"/>
          </w:cols>
          <w:pgMar w:left="320" w:top="873"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 in Exchange Agreement</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31,452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Exchange Agreement</w:t>
            </w:r>
          </w:p>
        </w:tc>
        <w:tc>
          <w:tcPr>
            <w:tcW w:w="2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SAFE Agreements to shares of common stock with related party</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 modification</w:t>
            </w:r>
          </w:p>
        </w:tc>
        <w:tc>
          <w:tcPr>
            <w:tcW w:w="2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2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Measurement period adjustments related to the SunPower acquisition – (Refer to Note 3)</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9" w:lineRule="exact"/>
        <w:rPr>
          <w:sz w:val="20"/>
          <w:szCs w:val="20"/>
          <w:color w:val="auto"/>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income of $0.1 million and $1.8 million in the thirty-nine week periods ended September 28, 2025, and September 29, 2024, respectively.</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remeasurement of gain of $1.8 million and loss of $22.8 million in the thirty-nine week periods ended September 28, 2025 and September 29, 2024,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amortization expense of $2.7 million and $0.6 million in the thirty-nine week periods ended September 28, 2025 and September 29, 2024, respectively.</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non-cash income of $0.1 million in the thirty-nine week period ended September 28, 2025.</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deferred consideration paid and payable in connection with the Sunder acquisition was accounted for on the Company’s balance sheet as of September 28, 2025, as (i) $5.7 million within Additional paid-in capital, (ii) $5.7 million within Accrued expenses and other current liabilities, and (iii) $5.7 million within Other long-term liabilities.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SUNPOWER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SunPower Inc. and Subsidiaries (“SunPower” or the “Company”) is the rebranded name of Complete Solaria, Inc. (“Complete Solaria”). The rebranding was effective April 22, 2025. References to the Company and SunPower include the same entity under its previous name of Complete Solaria.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Complete Solar, Inc., a single legal entity.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Subsequently, Complete Solar Holdings changed its name to Complete Solaria, Inc.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Complete Solaria entered into an Asset Purchase Agreement (the “APA”) among Complete Solaria, SunPower Corporation and SunPower Corporation’s direct and indirect subsidiaries (collectively, the “SunPower Debtors”) providing for the Company’s purchase of certain assets relating to the Blue Raven Solar business, New Homes Business and Non-Installing Dealer network previously operated by the SunPower Debtors (“SunPower Acquisition”). The APA was entered into in connection with a voluntary petition filed by SunPower Corporation under Chapter 11 of the United States Code, 11 U.S.C.§§ 101-1532. The SunPower Acquisition was approved on September 23, 2024, by the United States Bankruptcy Court for the District of Delaware. The Company completed the acquisition in the Company’s fiscal fourth quarter on September 30,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2025, Complete Solaria, Inc., and Complete Solar, Inc, a subsidiary of the Company, entered into a Membership Interest Purchase Agreement (“MIPA”) with Sunder Energy LLC (“Sunder”) and the seller, Chicken Parm Pizza LLC (“Seller/Member”), the sole member of Sunder. The acquisition of Sunder was completed on September 24, 2025, and the financial results of Sunder have been included in the Company’s unaudited condensed consolidated financial statements since the date of acquisition. Refer to Note 3 – Business Combinations for a description of Sunder.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aforementioned acquisitions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more fully described in Note 3 – Business Combinations.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legal renaming to SunPower Inc. in the period ended September 28,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through September 28, 2025, the Company has incurred recurring losses and negative cash flows from operations. The Company’s loss from continuing operations was $30.1 million for the thirty-nine-week period ended September 28, 2025. As of that date, the Company had an accumulated deficit of $442.6 million, total debt of $204.3 million, and cash and cash equivalents, excluding restricted cash, of $5.1 million. The Company anticipates that operating losses and negative operating cash flows may continue in the near term, which raises substantial doubt about its ability to continue as a going concern.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actively pursuing plans to mitigate these conditions, including obtaining additional capital resources through equity or debt financing and leveraging support from significant shareholders when necessary. Historically, the Company has raised funds through private placements of equity securities, issuance of convertible notes and debt, and proceeds from mergers. During the year, funding from significant shareholders, has supported working capital requirements, and similar measures may be considered in the upcoming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plans to proactively position the Company to access capital markets once eligible and pursue strategic opportunities to strengthen liquidity. Given the one-year eligibility requirement for Form S-3 after regaining current filer status, the Company will focus on alternative financing options to maintain flexibility and efficiency in capital raising.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there can be no assurance that these plans will be successful or that financing will be available on favorable terms. If adequate funding cannot be secured, the Company may need to reevaluate its operating plan, which could include reducing expenditure, extending payment terms with suppliers, liquidating assets, or suspending certain programs.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 the accounts of the Company and its wholly-owned subsidiaries. All material intercompany balances and transactions have been eliminated in consolidation.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 In the opinion of management, these interim unaudited condensed consolidated financial statements reflect all adjustments, consisting of normal recurring adjustments, necessary to present fairly the Company’s financial position as of September 28, 2025, and the results of operations for the thirteen and thirty-nine week periods ended September 28, 2025 and September 29, 2024. The results of operations for interim periods are not necessarily indicative of the results to be expected for the full year or any other future period. These interim unaudited condensed consolidated financial statements and related notes should be read in conjunction with the audited consolidated financial statements and related notes for the fiscal year ended December 29, 2024, included in the Company’s Annual Report on Form 10-K filed with the SEC on April 30, 2025.</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operates on a 52-to-53-week fiscal year that ends on the Sunday closest to December 31. The Company’s fiscal year for 2024 ended December 29, 2024. The Company’s third fiscal quarters for 2025 and 2024 in this report on Form 10-Q ended on September 28, 2025 (“Third Quarter 2025”) and September 29, 2024 (“Third Quarter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 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5,072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8,913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17,219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Estimated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 allowance for credit losses at the time a receivable is recorded based on the Company’s estimate of expected credit losses, historical write-off experience, and current account knowledge, and adjusts this estimate over the life of the receivable as needed. 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allowance for credit loss activity as of and for the periods ended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3"/>
              </w:rPr>
              <w:t>(1,701)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16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(4,159)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(4,204)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net of recoveries and other adjustments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4"/>
              </w:rPr>
              <w:t>(4,812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Contract liabilities consist of deferred revenue and customer advances, which represent consideration received from a customer prior to transferring control of goods or services to the customer under the terms of a sales contract. Total contract liabilities balances as of the respective dates are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7"/>
        </w:trPr>
        <w:tc>
          <w:tcPr>
            <w:tcW w:w="4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5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4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condensed consolidated balance sheets. Contract liabilities for installation projects expected to be completed beyond 12 months are classified as noncurrent obligations in the accompanying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for Residential Solar Installation and New Homes Business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Recognition of the revenue when, or as, the Company satisfies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homeowners who purchase the solar energy system and related services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Customers are 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its financing partner agreements, the Company contracts directly with homeowners for the purchase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The Company contracts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New Homes Business revenues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New Homes Business segment sells through a network of home builders as well as its internal sales team. The Company’s contracts with customers include two primary contract types:</w:t>
      </w:r>
    </w:p>
    <w:p>
      <w:pPr>
        <w:spacing w:after="0" w:line="160" w:lineRule="exact"/>
        <w:rPr>
          <w:sz w:val="20"/>
          <w:szCs w:val="20"/>
          <w:color w:val="auto"/>
        </w:rPr>
      </w:pPr>
    </w:p>
    <w:p>
      <w:pPr>
        <w:ind w:left="660" w:hanging="328"/>
        <w:spacing w:after="0" w:line="28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homebuilders who purchase the solar energy system from the Company and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the transaction. The Company’s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SunPower Debtor’s declaration of bankruptcy, certain homeowners had intended to lease a system from SunPower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Sunder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revenue from contracts sold to customers for solar installations performed by third-party installation companies. The Company recognizes revenue at a point in time when Permission to Operate (“PTO”) is complete. The Company acts as an agent in these arrangements and records revenue on a net basis. The Company does not have significant financing components in its contracts. The Company does not provide warranty services and does not record a warranty reserve.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contracts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costs to obtain and fulfill contracts, when recognized, associated with systems sales are expensed as sales commission and cost of revenue, respectively. In addition, incentives the Company provides to its customers, such as discounts and rebates, are recorded net to the revenue the Company has recognized on the solar power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Refer to the table below for the Company’s revenue recognized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Thirteen Weeks</w:t>
            </w:r>
          </w:p>
        </w:tc>
        <w:tc>
          <w:tcPr>
            <w:tcW w:w="240" w:type="dxa"/>
            <w:vAlign w:val="bottom"/>
          </w:tcPr>
          <w:p>
            <w:pPr>
              <w:spacing w:after="0"/>
              <w:rPr>
                <w:sz w:val="24"/>
                <w:szCs w:val="24"/>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Thirty-Nine Weeks</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38,579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114,097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20,068</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Residential Solar Installation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38,579</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114,097</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20,068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40,075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17,673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61,787</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Homes Business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Sunder</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220,269</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20,068</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154,172</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was generated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the practical expedient not to disclose the remaining performance obligations for contracts that are less than one year in length.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expenses in accordance with the timing of the related revenue recognition. Amortization of deferred commissions is recorded as sales commissions in the accompanying unaudited condensed consolidated statements of operations and comprehensive loss. As of September 28, 2025 and December 29, 2024, deferred commissions were not material.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prepaid expenses and other 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thirteen week period ended September 28, 2025. The impact of the adoption was not material to the condensed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will adopt this ASU in its annual report for the fiscal year ending December 28, 2025. The Company is assessing the impact of adopting this guidance on its consolidated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income statement. The FASB subsequently issued ASU 2025-01 “Income Statement-Reporting Comprehensive Income-Expense Disaggregation Disclosures (Subtopic 220-40): Clarifying the Effective Date”,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Debt-Debt with Conversion and Other Options (Subtopic 470-20) (“ASU 2024-04”).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Improvements-Amendments to Remove References to the Concepts Statements”,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“Targeted improvements to the Accounting for Internal-Use Software”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Changes in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with CRSEF Solis Holdings, LLC and its affiliates (“Carlyle”), have been disclosed as related party transactions until it ceased being a significant shareholder in the Company. Beginning in the thirteen week period ended June 29, 2025, transactions with Carlyle are no longer deemed related party transactions. The Company continues to engage in transactions Carlyle as it is a creditor of the Company’s 12.0% senior unsecured convertible notes. Refer to Note 9 – Borrowings and Derivative Liabilities for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Polar Multi-Strategy Master Fund (“Polar”) ceased to be a related party, and as a result, beginning in the thirteen week period ended June 29, 2025, transactions with Polar are no longer deemed related party transactions. Transactions previously reported with Polar have been disclosed as related party transactions. The Company continues to have a forward purchase agreement obligation with Polar.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SunPower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30, 2024, commencing the Company’s fourth quarter of fiscal 2024, the Company completed the acquisition of certain assets and assumption of certain liabilities from SunPower Debtors for an aggregate cash consideration paid of $54.5 million, net of $1.0 million of cash acquired. Prior to its declaration of bankruptcy SunPower Debtors was a solar technology and energy services provider that offered fully integrated solar, storage, and home energy solutions to customers in the United States through an array of hardware, software, and “Smart Energy” solutions. The financial results of the SunPower Acquisition have been included in the Company’s unaudited condensed consolidated financial statements since the date of the SunPower Acquisition. This transaction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incurred in connection with the close of the SunPower Acquisition totaled $7.2 million and were expensed by the Company and included in general and administrative expenses within the fourth quarter of the Company’s fiscal year ended December 29,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values of assets acquired and liabilities assumed were based upon a preliminary valuation. Consistent with previous disclosures, the Company disclosed that further adjustments to the Company’s inventory were expected in the thirty-nine week period ended September 28, 2025. As of September 28, 2025, the Company finalized the fair value of the assets acquired and liabilities assumed. The inventory acquired related to 1) work-in-progress at various stages of completion as of the acquisition date for which further analysis was required in order to determine which systems could be sold to a financing partner (for which the remaining units determined to be sellable to that partner were resolved during the thirteen-weeks ended September 28, 2025) and 2) completed systems that were acquired as of the acquisition date for which uncertainty existed due to unsettled matters with the SunPower Bankruptcy Estate (which were resolved in connection with the Company’s settlement with the SunPower Bankruptcy Estate). The final determination of the fair values of the inventory and intangibles upon settlement of these matters resulted in a revision to the inventory and intangibles with the offsetting adjustment to goodwill during the measurement period. The Company concluded that the finalization of the measurement period adjustment resulted in the recognition of $2.2 million of costs of goods in the thirteen week period ended September 28, 2025 that would have been recognized in the thirteen week period ended June 29, 2025 (which the Company concluded was not material to the financial statements for the thirteen- and thirty-nine week periods ended September 28, 2025).</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provisional and final fair values of identifiable assets acquired and liabilities assumed and measurement period adjustments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Final</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00" w:type="dxa"/>
            <w:vAlign w:val="bottom"/>
          </w:tcPr>
          <w:p>
            <w:pPr>
              <w:spacing w:after="0"/>
              <w:rPr>
                <w:sz w:val="18"/>
                <w:szCs w:val="18"/>
                <w:color w:val="auto"/>
              </w:rPr>
            </w:pPr>
          </w:p>
        </w:tc>
        <w:tc>
          <w:tcPr>
            <w:tcW w:w="12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1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48,388</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5,867</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(13,955)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net tangible assets acquired</w:t>
            </w:r>
          </w:p>
        </w:tc>
        <w:tc>
          <w:tcPr>
            <w:tcW w:w="28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36,024</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2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Sunder Energy LLC Acquisition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24, 2025 (“Closing”), the Company completed the acquisition of all assets and assumption of all liabilities of the Membership Interests of Sunder for aggregate consideration of $57.8 million. Sunder is a solar sales company. The Company acquired Sunder as a strategic acquisition to expand its overall market share and its penetration into more U.S. states. 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 consisting of (i) 3,333,334 shares of the Company’s common stock and (ii) subject to approval of such issuances by the Company’s stockholders, (x) an additional 3,333,333 shares of the Company’s common stock to be issued on the 12-month anniversary of the Closing and</w:t>
      </w:r>
    </w:p>
    <w:p>
      <w:pPr>
        <w:spacing w:after="0" w:line="3" w:lineRule="exact"/>
        <w:rPr>
          <w:sz w:val="20"/>
          <w:szCs w:val="20"/>
          <w:color w:val="auto"/>
        </w:rPr>
      </w:pPr>
    </w:p>
    <w:p>
      <w:pPr>
        <w:jc w:val="both"/>
        <w:ind w:firstLine="8"/>
        <w:spacing w:after="0" w:line="251"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deferred consideration paid and payable in connection with the Sunder acquisition was accounted for on the Company’s balance sheet as of September 28, 2025, as (i) $5.7 million within Additional paid-in capital, (ii) $5.7 million within Accrued expenses and other current liabilities, and (iii) $5.7 million within Other long-term liabilities.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total consideration is summarized as follows </w:t>
            </w: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20,689</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Seller note</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3.3 million shares of the Company’s common stock</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37"/>
        </w:trPr>
        <w:tc>
          <w:tcPr>
            <w:tcW w:w="10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Contingent consideration arrangement – up to 6.6 million shares of the Company’s common stock</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57,789</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fair values of assets acquired and liabilities assumed were based upon a preliminary valuation, and the Company’s estimates and assumptions are subject to change within the measurement period. Due to the timing of the acquisition at the end of the September 28, 2025 quarterly period, the purchase price accounting remains open for the components of working capital, identification and valuation of intangibles and allocation of goodwill to reportable segments. The Company has elected the practical expedient within ASC 805-20-30-27 through 805-20-30-30 to recognize and measure contract liabilities 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The following table summarizes the provisional fair value of identifiable assets acquired and liabilities assumed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42,911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 of the date of acquisition the intangible assets acquired and estimated useful lives were as follows:</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Sunder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 Sunder</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31"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The Sunder acquisition contributed $4.3 million in revenue and $0.3 million of income before income taxes for the period from the acquisition date to September 28,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the unaudited pro forma consolidated financial information of the Company for the periods presented, as if the SunPower Acquisition and Sunder had been acquired as of January 1,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information does not give effect to any cost savings, operating synergies or revenue synergies that may result from the acquisition of SunPower Acquisition or Sunder. The pro forma results do not necessarily reflect the actual results of operations of the combined business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319,639</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from continuing operations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(45,402)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(364,510)</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Company’s financial assets and liabilities that are measured at fair value, on a 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28,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derivative liability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2025 Note derivative liability– related party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 derivative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102,561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$1.3 million due to related parties as of and December 29, 2024.</w:t>
      </w:r>
    </w:p>
    <w:p>
      <w:pPr>
        <w:spacing w:after="0" w:line="1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Subsequent to issuance, changes in the fair value of the derivative liabilities, liability classified warrants, forward purchase agreements and SAFEs are recorded within Other expense, net in the Company’s unaudited condensed consolidated statements of operations and comprehensive loss.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derivative liabilities in conjunction with the issuance of certain convertible notes in July 2024 September 2024 and July 2025 (as defined in Note 9 – Borrowings and Derivative Liabilities). The Company valued the derivative liabilities as of September 28, 2025, and December 29, 2024 using a binomial lattice model, which includes Level 3 unobservable inputs. The key inputs used were dividend yield, the Company’s common stock price, volatility, and risk-free rate of the derivative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July 2024 Notes derivative liability valuation included the following inputs: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6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595.24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595.24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September 2024 Notes derivative liability valuation included the following inputs: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8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6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July 2025 Note derivative liability valuation included the following inputs: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558.66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September 2025 Notes derivative liability valuation included the following inputs: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655"/>
        </w:trPr>
        <w:tc>
          <w:tcPr>
            <w:tcW w:w="86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and working capital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private placement and working capital warrants are measured at fair value. The Company valued the private placement and working capital warrants, based on a Black-Scholes Option Pricing Method, which included the following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7"/>
        </w:trPr>
        <w:tc>
          <w:tcPr>
            <w:tcW w:w="86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September 28,</w:t>
            </w: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2.81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3.56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2025, the Company entered into individual amendments with Meteora Special Opportunity Fund I, LP (“MSOF”), Meteora Capital Partners, LP (“MCP”), and Meteora Select Trading Opportunities Master, LP (“MSTO”) (with MSOF, MCP, and MSTO collectively as “Meteora”), Sandia Investment Management LP (“Sandia”) and Polar (collectively, the “FPA Amendments”) which among other things, extended the valuation date applicable to each of the FPAs.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FPAs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2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0.80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 with related party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SAFE Agreement was valued based on a conversion probability of 50% based on historical SAFE agreements and a 50% discount rate at the time of conversion as of September 28, 2025, and December 29,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Financial liabilities not measured at fair value on a recurring basis: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July 2024 Notes, the September 2024 Notes, the July 2025 Note, and the September 2025 Notes were fair valued using a binomial lattice model, which includes Level 3, unobservable inputs. The key inputs used are consistent with those used to fair value the derivative liabilities as discussed under Derivative Liabilities above. The following table sets forth the Company’s financial liabilities that were not measured at fair value, on a non-recurring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28, 2025</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36,998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8,155</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22,042</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78,563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78,563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8,729</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 Note – related party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25,090</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25,090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68,208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174,861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174,861</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24,632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33,323</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77,245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77,245</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8,583</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48,709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140,541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140,541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other intangible assets were acquired in connection with the SunPower Acquisition and Sunder acquisition transactions. The following table represents the Company’s other intangible assets with finite useful lives as of September 28, 2025, and December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28, 2025</w:t>
            </w: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Trademark – Blue Raven Solar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7,094</w:t>
            </w:r>
          </w:p>
        </w:tc>
        <w:tc>
          <w:tcPr>
            <w:tcW w:w="360" w:type="dxa"/>
            <w:vAlign w:val="bottom"/>
          </w:tcPr>
          <w:p>
            <w:pPr>
              <w:spacing w:after="0"/>
              <w:rPr>
                <w:sz w:val="22"/>
                <w:szCs w:val="22"/>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6,254</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Trademark – SunPower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4,300</w:t>
            </w:r>
          </w:p>
        </w:tc>
        <w:tc>
          <w:tcPr>
            <w:tcW w:w="3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 Sunder</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2,427</w:t>
            </w: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 – Sunder</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14,216</w:t>
            </w:r>
          </w:p>
        </w:tc>
      </w:tr>
      <w:tr>
        <w:trPr>
          <w:trHeight w:val="250"/>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Trademark – Blue Raven Solar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shd w:val="clear" w:color="auto" w:fill="CCEEFF"/>
          </w:tcPr>
          <w:p>
            <w:pPr>
              <w:spacing w:after="0"/>
              <w:rPr>
                <w:sz w:val="22"/>
                <w:szCs w:val="22"/>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Trademark – SunPower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spacing w:after="0"/>
              <w:rPr>
                <w:sz w:val="22"/>
                <w:szCs w:val="22"/>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22"/>
                <w:szCs w:val="22"/>
                <w:color w:val="auto"/>
              </w:rPr>
            </w:pPr>
          </w:p>
        </w:tc>
      </w:tr>
      <w:tr>
        <w:trPr>
          <w:trHeight w:val="290"/>
        </w:trPr>
        <w:tc>
          <w:tcPr>
            <w:tcW w:w="73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24"/>
                <w:szCs w:val="24"/>
                <w:color w:val="auto"/>
              </w:rPr>
            </w:pPr>
          </w:p>
        </w:tc>
      </w:tr>
      <w:tr>
        <w:trPr>
          <w:trHeight w:val="237"/>
        </w:trPr>
        <w:tc>
          <w:tcPr>
            <w:tcW w:w="73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top w:val="single" w:sz="8" w:color="CCEEFF"/>
            </w:tcBorders>
          </w:tcPr>
          <w:p>
            <w:pPr>
              <w:spacing w:after="0"/>
              <w:rPr>
                <w:sz w:val="20"/>
                <w:szCs w:val="20"/>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carrying amounts as of September 28, 2025 reflect the final allocation of the purchase consideration in connection with the SunPower Acquisition. The gross carrying amounts as of December 29, 2024 were provisional amounts.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Aggregate amortization expense of intangible assets was $0.7 million and $2.1 million for the thirteen and thirty-nine week periods ended September 28, 2025, respectively. Amortization expense was zero in each of the thirteen and thirty-nine week periods ended September 29, 2024. Amortization expense is recognized within general and administrative expenses in the accompany unaudited condensed consolidated statements of operations and comprehensive loss.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987"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3,640</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accrued interest of $1.2 million and $2.2 million as of September 28, 2025 and December 29, 2024,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Expense, Net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expense, net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238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Loss on issuance of derivative liabilities</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derivative liabilities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(37,875)</w:t>
            </w: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(37,875)</w:t>
            </w: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(2,420)</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7,728</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SAFE Agreement with related party</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(6,052)</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Carlyle Warrants with related party</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 with related party</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9"/>
                <w:szCs w:val="29"/>
                <w:color w:val="auto"/>
                <w:vertAlign w:val="superscript"/>
              </w:rPr>
              <w:t>(4)</w:t>
            </w:r>
          </w:p>
        </w:tc>
        <w:tc>
          <w:tcPr>
            <w:tcW w:w="220" w:type="dxa"/>
            <w:vAlign w:val="bottom"/>
          </w:tcPr>
          <w:p>
            <w:pPr>
              <w:spacing w:after="0"/>
              <w:rPr>
                <w:sz w:val="24"/>
                <w:szCs w:val="24"/>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880" w:hanging="5532"/>
        <w:spacing w:after="0" w:line="783" w:lineRule="auto"/>
        <w:tabs>
          <w:tab w:leader="none" w:pos="3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 million of related party expense in each of the thirteen and thirty-nine week periods ended September 29, 2024.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loss of $0.3 million and a gain of $1.8 million due to related parties in the thirteen and thirty-nine week periods ended September 28, 2025, respectively. Includes a loss of $22.8 million due to related parties in each of the thirteen and thirty-nine week periods ended September 29, 2024. Refer to Note 9 – Borrowings and Derivative Liabilities for details.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zero and $0.1 million due to related parties for the thirteen and thirty-nine week periods ended September 28, 2025, respectively. Includes a gain from related parties of $2.8 million and $1.8 million due to related parties in the thirteen and thirty-nine week periods ended September 29, 2024, respectively.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zero and $0.1 million of income due to related parties in the thirteen and thirty-nine week periods ended September 28,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September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stock has been issued and none are outstanding as of September 28,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3"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White Lion Amended SPA, the Company issued 1.0 million and 2.9 million shares of the Company’s common stock for proceeds of $1.7 million and $6.7 million in the thirty-nine week period ended September 28, 2025 and fiscal year ended December 29,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3,174,434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2,628,996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20,553,533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11,979,368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10,528,534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2,577,895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77,821,528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58,579,636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6,666,666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153,884,960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116,906,160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number of shares of the Company’s common stock for outstanding warrants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Potential shares of 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stock as of</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244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   December 29,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classified warrants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6,266,667</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6,266,667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3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(1)</w:t>
            </w: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8,625,000</w:t>
            </w:r>
          </w:p>
        </w:tc>
        <w:tc>
          <w:tcPr>
            <w:tcW w:w="2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8,625,000</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32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(1)</w:t>
            </w:r>
          </w:p>
        </w:tc>
      </w:tr>
      <w:tr>
        <w:trPr>
          <w:trHeight w:val="263"/>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716,668</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716,668</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320" w:type="dxa"/>
            <w:vAlign w:val="bottom"/>
            <w:gridSpan w:val="2"/>
            <w:shd w:val="clear" w:color="auto" w:fill="CCEEFF"/>
          </w:tcPr>
          <w:p>
            <w:pPr>
              <w:jc w:val="center"/>
              <w:ind w:right="120"/>
              <w:spacing w:after="0" w:line="243" w:lineRule="exact"/>
              <w:rPr>
                <w:sz w:val="20"/>
                <w:szCs w:val="20"/>
                <w:color w:val="auto"/>
              </w:rPr>
            </w:pPr>
            <w:r>
              <w:rPr>
                <w:rFonts w:ascii="Times New Roman" w:cs="Times New Roman" w:eastAsia="Times New Roman" w:hAnsi="Times New Roman"/>
                <w:sz w:val="17"/>
                <w:szCs w:val="17"/>
                <w:color w:val="auto"/>
              </w:rPr>
              <w:t xml:space="preserve">July 18, 2028 </w:t>
            </w:r>
            <w:r>
              <w:rPr>
                <w:rFonts w:ascii="Times New Roman" w:cs="Times New Roman" w:eastAsia="Times New Roman" w:hAnsi="Times New Roman"/>
                <w:sz w:val="28"/>
                <w:szCs w:val="28"/>
                <w:color w:val="auto"/>
                <w:vertAlign w:val="superscript"/>
              </w:rPr>
              <w:t>(1)</w:t>
            </w:r>
          </w:p>
        </w:tc>
      </w:tr>
      <w:tr>
        <w:trPr>
          <w:trHeight w:val="21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liability classified warrants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15,608,335</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Warrants (converted to 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2026</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C Warrants (converted to common stock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482,969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2026</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C-1 Warrants (converted to 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173,067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173,067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2030</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Common Stock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2031</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2023 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2028</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 Issued in 2023 (“Merger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6,266,572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6,266,572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18, 2033</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Ayna Warrant</w:t>
            </w: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2029</w:t>
            </w:r>
          </w:p>
        </w:tc>
      </w:tr>
      <w:tr>
        <w:trPr>
          <w:trHeight w:val="23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Cantor Warrant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3,066,141</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3,066,141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2029</w:t>
            </w:r>
          </w:p>
        </w:tc>
      </w:tr>
      <w:tr>
        <w:trPr>
          <w:trHeight w:val="21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equity classified warrants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10,061,930</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16,061,930</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 shares of common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31,670,265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5540" w:right="740" w:hanging="5532"/>
        <w:spacing w:after="0" w:line="623" w:lineRule="auto"/>
        <w:tabs>
          <w:tab w:leader="none" w:pos="338"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warrants expire five years after the Closing date of the Mergers, which date was July 18, 2023, or earlier upon redemption or liquidation.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Ayna warrant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Ayna Warrant was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 it met the conditions for equity classification and therefore, the Ayna Warrant was not subsequently remeasured in future periods. The Company recognized expense of $3.8 million and $5.4 million in the thirteen and thirty-nine week periods ended September 29, 2024, respectively.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Ayna Warrant became fully exercisable for the 6,000,000 shares of the Company’s common stock on September 9, 2024. The Ayna Warrant was exercised in full for cash of $0.06 million in January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Cantor warrant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the Company issued a warrant (“Cantor Warrant”) to a third-party service provider to purchase 3,066,141 shares of the Company’s common stock in exchange for services provided in the issuance of the July 2024 Notes (refer to Note 9 – Borrowings and Derivative Liabilities).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(as defined in Note 9 – Borrowings and Derivative Liabilities) and reduced the gain on the troubled debt restructuring recognized in the Company’s annual consolidated statement of operations and comprehensive loss for fiscal 2024 as described in Note 9 – Borrowings and Derivative Liabilities. The fair value of the Cantor Warrant was derived using the Black-Scholes model with the following assumptions: expected volatility of 55%; risk-free interest rate of 4.2%; expected term of 5 years; and no dividend yield. The fair value of this warrant was recorded within additional paid-in capital on the Company’s unaudited condensed consolidated balance sheets and has not been subsequently remeasured in future periods as it met the conditions for equity classification.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Carlyle warrant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as part of a debt financing arrangement with Carlyle , the Company issued Carlyle a warrant to purchase 2,886,952 shares of Legacy Complete Solaria Common Stock at a price per share of $0.01. The warrant contained two tranches, the first of which was immediately exercisable for 1,995,879 shares of common stock. The second tranche expired on December 31, 2022, prior to becoming exercisable. In December 2023, Carlyle was issued a warrant to purchase an additional 2,190,604 shares of the Company’s common stock related to an anti-dilution provision under the then-existing debt arrangement with Carlyle.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July 2023, and in connection with the closing of the Mergers, the Company entered into the Carlyle Warrant Amendment (as defined in Note 9 – Borrowings and Derivative Liabilities), Based on the exchange ratio included in the Mergers, the 1,995,879 outstanding warrants to purchase Legacy Complete Solaria Common Stock prior to modification were exchanged into warrants to purchase 1,995,879 shares of Complete Solaria Common Stock. The Carlyle Warrant Amendment required the Company to issue to Carlyle a warrant to purchase up to 2,745,879 shares of Complete Solaria Common Stock at a price per share of $0.01, which was inclusive of the outstanding warrant to purchase 1,995,879 shares at the time of modification. The warrant, which expires on July 18, 2030, provided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was ten (10) days after the date of the agreement, an additional 350,000 shares; plus (c) on and after the date that was thirty (30) days after the date of the agreement, if the original investment amount had not been repaid, an additional 150,000 shares; plus (d) on and after the date that was ninety (90) days after the date of the agreement, if the original investment amount had not been repaid, an additional 250,000 shares, in each case, of Complete Solaria Common Stock at a price of $0.01 per share. The modification of the warrant resulted in the reclassification of previously equity-classified warrants to liability classification, which was accounted for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fair value of the liability classified Carlyle Warrant through June 30, 2024, was recorded within Other expense, net in the accompanying condensed consolidated statements of operations and comprehensive loss. The change in the fair value of the Carlyle Warrant resulted in income of $2.9 million in the twenty-six week period ended June 30,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2024, in connection with the Exchange Agreement, the Carlyle Warrant was modified, and the modification fixed the number of shares of the Company’s common stock that may be issued upon exercise of the Carlyle Warrant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Extinguishment of Debt” within the Company’s consolidated statement of operations and comprehensive loss in its fiscal 2024 consolidated results. The modification of the Carlyle Warrant also resulted in the reclassification of the Carlyle Warrant from liability to equity classification, resulting in an increase to additional paid-in capital of $7.3 million and a reduction in the warrant liability of $7.3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Carlyle exercised the warrant for shares of the Company’s common stock in the fourth quarter of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Borrowings and Derivative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borrowings and derivative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9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90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17,965</w:t>
            </w:r>
          </w:p>
        </w:tc>
      </w:tr>
      <w:tr>
        <w:trPr>
          <w:trHeight w:val="216"/>
        </w:trPr>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July 2024</w:t>
            </w: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derivative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r>
      <w:tr>
        <w:trPr>
          <w:trHeight w:val="216"/>
        </w:trPr>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July 2024</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July 2024 derivative liability – related parties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r>
      <w:tr>
        <w:trPr>
          <w:trHeight w:val="216"/>
        </w:trPr>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July 2025</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July 2025</w:t>
            </w: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 derivative liability – related party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2024 Notes – derivative liability – related party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2025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2025 Notes derivative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Note payable to Seller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Loan with related party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notes payable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and convertible notes,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40"/>
        <w:spacing w:after="0"/>
        <w:tabs>
          <w:tab w:leader="none" w:pos="2260" w:val="left"/>
        </w:tabs>
        <w:rPr>
          <w:sz w:val="20"/>
          <w:szCs w:val="20"/>
          <w:color w:val="auto"/>
        </w:rPr>
      </w:pPr>
      <w:r>
        <w:rPr>
          <w:rFonts w:ascii="Times New Roman" w:cs="Times New Roman" w:eastAsia="Times New Roman" w:hAnsi="Times New Roman"/>
          <w:sz w:val="18"/>
          <w:szCs w:val="18"/>
          <w:color w:val="auto"/>
        </w:rPr>
        <w:t>20,000</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1,500</w:t>
      </w:r>
      <w:r>
        <w:rPr>
          <w:sz w:val="20"/>
          <w:szCs w:val="20"/>
          <w:color w:val="auto"/>
        </w:rPr>
        <w:tab/>
      </w:r>
      <w:r>
        <w:rPr>
          <w:rFonts w:ascii="Times New Roman" w:cs="Times New Roman" w:eastAsia="Times New Roman" w:hAnsi="Times New Roman"/>
          <w:sz w:val="18"/>
          <w:szCs w:val="18"/>
          <w:color w:val="auto"/>
        </w:rPr>
        <w:t>1,500</w:t>
      </w:r>
    </w:p>
    <w:p>
      <w:pPr>
        <w:spacing w:after="0" w:line="31"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204,277</w:t>
      </w:r>
      <w:r>
        <w:rPr>
          <w:sz w:val="20"/>
          <w:szCs w:val="20"/>
          <w:color w:val="auto"/>
        </w:rPr>
        <w:tab/>
      </w:r>
      <w:r>
        <w:rPr>
          <w:rFonts w:ascii="Times New Roman" w:cs="Times New Roman" w:eastAsia="Times New Roman" w:hAnsi="Times New Roman"/>
          <w:sz w:val="18"/>
          <w:szCs w:val="18"/>
          <w:color w:val="auto"/>
        </w:rPr>
        <w:t>147,331</w:t>
      </w:r>
    </w:p>
    <w:p>
      <w:pPr>
        <w:spacing w:after="0" w:line="27" w:lineRule="exact"/>
        <w:rPr>
          <w:sz w:val="20"/>
          <w:szCs w:val="20"/>
          <w:color w:val="auto"/>
        </w:rPr>
      </w:pPr>
    </w:p>
    <w:p>
      <w:pPr>
        <w:jc w:val="right"/>
        <w:ind w:right="40"/>
        <w:spacing w:after="0"/>
        <w:tabs>
          <w:tab w:leader="none" w:pos="520" w:val="left"/>
        </w:tabs>
        <w:rPr>
          <w:sz w:val="20"/>
          <w:szCs w:val="20"/>
          <w:color w:val="auto"/>
        </w:rPr>
      </w:pPr>
      <w:r>
        <w:rPr>
          <w:rFonts w:ascii="Times New Roman" w:cs="Times New Roman" w:eastAsia="Times New Roman" w:hAnsi="Times New Roman"/>
          <w:sz w:val="18"/>
          <w:szCs w:val="18"/>
          <w:color w:val="auto"/>
        </w:rPr>
        <w:t>(21,500)</w:t>
      </w:r>
      <w:r>
        <w:rPr>
          <w:sz w:val="20"/>
          <w:szCs w:val="20"/>
          <w:color w:val="auto"/>
        </w:rPr>
        <w:tab/>
      </w:r>
      <w:r>
        <w:rPr>
          <w:rFonts w:ascii="Times New Roman" w:cs="Times New Roman" w:eastAsia="Times New Roman" w:hAnsi="Times New Roman"/>
          <w:sz w:val="18"/>
          <w:szCs w:val="18"/>
          <w:color w:val="auto"/>
        </w:rPr>
        <w:t>(1,500)</w:t>
      </w:r>
    </w:p>
    <w:p>
      <w:pPr>
        <w:spacing w:after="0" w:line="72"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182,777</w:t>
        <w:tab/>
        <w:t>$</w:t>
      </w:r>
      <w:r>
        <w:rPr>
          <w:sz w:val="20"/>
          <w:szCs w:val="20"/>
          <w:color w:val="auto"/>
        </w:rPr>
        <w:tab/>
      </w:r>
      <w:r>
        <w:rPr>
          <w:rFonts w:ascii="Times New Roman" w:cs="Times New Roman" w:eastAsia="Times New Roman" w:hAnsi="Times New Roman"/>
          <w:sz w:val="18"/>
          <w:szCs w:val="18"/>
          <w:color w:val="auto"/>
        </w:rPr>
        <w:t>145,831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93" w:lineRule="exact"/>
        <w:rPr>
          <w:sz w:val="20"/>
          <w:szCs w:val="20"/>
          <w:color w:val="auto"/>
        </w:rPr>
      </w:pPr>
    </w:p>
    <w:p>
      <w:pPr>
        <w:ind w:left="180" w:right="2980" w:hanging="161"/>
        <w:spacing w:after="0" w:line="261" w:lineRule="auto"/>
        <w:rPr>
          <w:sz w:val="20"/>
          <w:szCs w:val="20"/>
          <w:color w:val="auto"/>
        </w:rPr>
      </w:pPr>
      <w:r>
        <w:rPr>
          <w:rFonts w:ascii="Times New Roman" w:cs="Times New Roman" w:eastAsia="Times New Roman" w:hAnsi="Times New Roman"/>
          <w:sz w:val="18"/>
          <w:szCs w:val="18"/>
          <w:color w:val="auto"/>
        </w:rPr>
        <w:t>As classified in the unaudited condensed consolidated balance sheets Notes payable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Notes payable and derivative liabilities with related parties, net of current portion</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notes payable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21,500</w:t>
      </w:r>
      <w:r>
        <w:rPr>
          <w:sz w:val="20"/>
          <w:szCs w:val="20"/>
          <w:color w:val="auto"/>
        </w:rPr>
        <w:tab/>
      </w:r>
      <w:r>
        <w:rPr>
          <w:rFonts w:ascii="Times New Roman" w:cs="Times New Roman" w:eastAsia="Times New Roman" w:hAnsi="Times New Roman"/>
          <w:sz w:val="18"/>
          <w:szCs w:val="18"/>
          <w:color w:val="auto"/>
        </w:rPr>
        <w:t>1,500</w:t>
      </w:r>
    </w:p>
    <w:p>
      <w:pPr>
        <w:spacing w:after="0" w:line="27" w:lineRule="exact"/>
        <w:rPr>
          <w:sz w:val="20"/>
          <w:szCs w:val="20"/>
          <w:color w:val="auto"/>
        </w:rPr>
      </w:pPr>
    </w:p>
    <w:p>
      <w:pPr>
        <w:jc w:val="both"/>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148,205</w:t>
      </w:r>
      <w:r>
        <w:rPr>
          <w:sz w:val="20"/>
          <w:szCs w:val="20"/>
          <w:color w:val="auto"/>
        </w:rPr>
        <w:tab/>
      </w:r>
      <w:r>
        <w:rPr>
          <w:rFonts w:ascii="Times New Roman" w:cs="Times New Roman" w:eastAsia="Times New Roman" w:hAnsi="Times New Roman"/>
          <w:sz w:val="18"/>
          <w:szCs w:val="18"/>
          <w:color w:val="auto"/>
        </w:rPr>
        <w:t>92,638</w:t>
      </w:r>
    </w:p>
    <w:p>
      <w:pPr>
        <w:spacing w:after="0" w:line="9" w:lineRule="exact"/>
        <w:rPr>
          <w:sz w:val="20"/>
          <w:szCs w:val="20"/>
          <w:color w:val="auto"/>
        </w:rPr>
      </w:pP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34,572</w:t>
      </w:r>
      <w:r>
        <w:rPr>
          <w:sz w:val="20"/>
          <w:szCs w:val="20"/>
          <w:color w:val="auto"/>
        </w:rPr>
        <w:tab/>
      </w:r>
      <w:r>
        <w:rPr>
          <w:rFonts w:ascii="Times New Roman" w:cs="Times New Roman" w:eastAsia="Times New Roman" w:hAnsi="Times New Roman"/>
          <w:sz w:val="18"/>
          <w:szCs w:val="18"/>
          <w:color w:val="auto"/>
        </w:rPr>
        <w:t>53,193</w:t>
      </w:r>
    </w:p>
    <w:p>
      <w:pPr>
        <w:spacing w:after="0" w:line="58"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204,277</w:t>
        <w:tab/>
        <w:t>$</w:t>
      </w:r>
      <w:r>
        <w:rPr>
          <w:sz w:val="20"/>
          <w:szCs w:val="20"/>
          <w:color w:val="auto"/>
        </w:rPr>
        <w:tab/>
      </w:r>
      <w:r>
        <w:rPr>
          <w:rFonts w:ascii="Times New Roman" w:cs="Times New Roman" w:eastAsia="Times New Roman" w:hAnsi="Times New Roman"/>
          <w:sz w:val="18"/>
          <w:szCs w:val="18"/>
          <w:color w:val="auto"/>
        </w:rPr>
        <w:t>147,331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12.0% senior unsecured convertible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2024 Notes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the Company issued $46.0 million of senior unsecured convertible notes (“July 2024 Notes”) to various lenders. Of the July 2024 Notes, $10.0 million were issued to a third party, $18.0 million were issued to a related party affiliated with the Company’s Chief Executive Officer and a director, Rodgers Revocable Trust, and $18.0 million were issued in exchange for the cancellation of indebtedness as discussed below of which $10.0 million were issued to Carlyle which was also deemed to be a related party at the date of the exchange. During the thirteen week period ended June 29, 2025, Carlyle was no longer deemed a related party to the Company. Refer to Note 2 (h) – Summary of Significant Accounting Policies – “</w:t>
      </w:r>
      <w:r>
        <w:rPr>
          <w:rFonts w:ascii="Times New Roman" w:cs="Times New Roman" w:eastAsia="Times New Roman" w:hAnsi="Times New Roman"/>
          <w:sz w:val="18"/>
          <w:szCs w:val="18"/>
          <w:i w:val="1"/>
          <w:iCs w:val="1"/>
          <w:color w:val="auto"/>
        </w:rPr>
        <w:t>Changes in related parties</w:t>
      </w:r>
      <w:r>
        <w:rPr>
          <w:rFonts w:ascii="Times New Roman" w:cs="Times New Roman" w:eastAsia="Times New Roman" w:hAnsi="Times New Roman"/>
          <w:sz w:val="18"/>
          <w:szCs w:val="18"/>
          <w:color w:val="auto"/>
        </w:rPr>
        <w:t>” for details. The July 2024 Notes bear interest at 12.0% per annum, and the principal is payable in full at maturity on July 1, 2029. The interest is payable in cash on January 1 and July 1 of each year, beginning on July 1, 2025. The interest rate increases by 3% in the event of default. The July 2024 Notes are convertible into shares of the Company’s common stock at the option of the holder at a conversion rate of $1.68 per share. Holders of the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an initial derivative liability of $28.7 million on the issuance date with a corresponding debt discount.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issuance of the July 2024 Notes, the Company issued the Cantor Warrant, as described in Note 8 – Capital Stock, to purchase shares of the Company’s common stock. At issuance, the Cantor Warrant had a fair value of $1.4 million, of which $0.9 million was recorded as a debt discount, and $0.5 million was included in the calculation of the Company’s gain on the troubled debt restructuring as further described below in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effective interest rate is 33.4% and 31.7% on the July 2024 Notes’ principal amounts of $28.0 million and $18.0 million,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financial covenants. The July 2024 Notes are not in default. However, due to the Company’s delayed filing of its Form 10-K for the year ended December 29, 2024, the Company was required to accrue incremental interest of 0.5% beginning April 16, 2025 through April 30, 2025, the date upon which the Form 10-K was filed. Due to the Company’s delayed filing of its Form 10Q for the third quarter ended September 28, 2025 (“Q3 2025 Form 10Q”), the Company was required to accrue incremental interest of 0.5% beginning November 17, 2025, through December 19, 2025, the date upon which the Q3 2025 Form 10Q was filed.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July 2024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carrying amount of July 2024 Notes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77,287</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Contingent interest payable upon default and included in the July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interest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interest payable – related parties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contingent interest payable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xml:space="preserve">Interest expense and amortization of debt discount cost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4,182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7,210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parties’ portion of interest expense and amortization of debt discount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the above amounts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1,932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 related parties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2025 Note – related party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2025, the Company issued a convertible promissory note (the “July 2025 Note”) to the Rodgers Revocable Trust in exchange for $5.0 million of proceeds received by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July 2025 Note has a stated interest rate of 12.0%. The July 2025 Note is a general unsecured obligation of the Company and will mature on July 1, 2029, unless earlier converted, redeemed or repurchased. Interest on the July 2025 Note will accrue at a rate of 12.00% per year from the date of issuance and will be payable semiannually in arrears on January 1 and July 1 of each year, beginning on January 1, 2026. The July 2025 Note is convertible at the option of the holder at any time prior to the payment of the payment of the principal amount of the July 2025 Note in full. Upon conversion of the July 2025 Note, the Company will satisfy its conversion obligation by delivering shares of common stock and paying cash in respect of any fractional shares. The conversion rate of the July 2025 Note is initially equal to 558.6592 shares of common stock per $1,000 principal amount due under the July 2025 Note. The conversion rate is subject to adjustment from time to time pursuant to the terms of the July 2025 Note. The conversion option related to the July 2025 Note was required to be bifurcated as a derivative liability, and the Company recorded a derivative liability of $3.7 million on the issuance date. The July 2025 Note has an effective interest rate of 62.8%.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July 2025 Note,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0" w:type="dxa"/>
            <w:vAlign w:val="bottom"/>
            <w:tcBorders>
              <w:bottom w:val="single" w:sz="8" w:color="CCEEFF"/>
            </w:tcBorders>
          </w:tcPr>
          <w:p>
            <w:pPr>
              <w:spacing w:after="0"/>
              <w:rPr>
                <w:sz w:val="21"/>
                <w:szCs w:val="21"/>
                <w:color w:val="auto"/>
              </w:rPr>
            </w:pPr>
          </w:p>
        </w:tc>
        <w:tc>
          <w:tcPr>
            <w:tcW w:w="7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 related party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July 2025</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derivative liability – related party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w:t>
            </w:r>
          </w:p>
        </w:tc>
        <w:tc>
          <w:tcPr>
            <w:tcW w:w="24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carrying amount of July 2025 Note – related party</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Interest expense and amortization of debt discount cost, all of which was with a related party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party</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related party</w:t>
            </w:r>
          </w:p>
        </w:tc>
        <w:tc>
          <w:tcPr>
            <w:tcW w:w="1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18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4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7.0% senior unsecured 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16, 2024, the Company entered into an Indenture agreement with U.S. Bank Trust Company, National Association, as trustee (the “Indenture”), for the issuance of 7.0% senior unsecured convertible notes (“7.0% Senior Notes”). The 7.0% Senior Notes issued under the Indenture bear interest at 7.0% per annum, and the interest is payable semiannually in arrears on January 1 and July 1 of each year beginning on January 1, 2025. The principal is payable in full at maturity on July 1, 2029. The 7.0% Senior Notes are convertible into shares of the Company’s common stock at the option of the holder at a conversion rate of $2.14 per common share. Holders of the 7.0% Senior Notes may convert at any time.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September 2024 Notes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2024, the Company issued $66.8 million of the 7.0% Senior Notes to various parties (the “September 2024 Notes”), $4.0 million of which were issued to Rodgers Family Freedom and Free Markets Charitable Trust (“Massey Charitable Trust”), a related party and $4.0 million were issued to Rodgers Revocable Trust (collectively with Massey Charitable Trust, “Massey Trusts”), also a related party. The conversion option related to the September 2024 Notes was required to be bifurcated as a derivative liability, and the Company recorded a derivative liability of $91.5 million on the issuance date. As the fair value of the derivative liability exceeded the proceeds received, the Company recorded a corresponding financing loss of $24.7 million and debt discount for $66.8 million as of the issuance date as further described below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In December 2024, the Company issued an additional $13.0 million of September 2024 Notes for cash. The Company recognized a $10.9 million debt discount in connection with these additional proceeds. The Company issued an additional $0.2 million of September 2024 Notes in the thirteen week period ended March 30, 2025. The effective interest rates are 27.6%, 47.3% and 7.0% on the September 2024 Notes’ principal amounts of $66.8 million, $13.0 million and $0.2 million,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September 2024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62,432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carrying amount of September 2024 Notes and derivative liabilities</w:t>
            </w: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76,687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68,544</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Interest expense and amortization of debt discount cost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3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3,790</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5,221</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parties’ portion of interest expense and amortization of debt discount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the above amounts</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parties</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422</w:t>
            </w:r>
          </w:p>
        </w:tc>
        <w:tc>
          <w:tcPr>
            <w:tcW w:w="8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 related parties</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565</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September 2025 Notes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21, 2025, the Company issued an additional $22.0 million of the 7.0% Senior Notes (the “September 2025 Notes”) to various parties. The September 2025 Notes were issued pursuant to the Indenture. The September 2025 Notes contain a conversion option related to which requires bifurcation and recognition of a derivative liability, and the Company recorded a derivative liability of $15.4 million on the issuance date. The Company recognized a $2.2 million debt discount and $0.2 million of debt issuance costs in connection with the September 2025 Notes. The effective interest rate on the September 2025 Notes is 65.1%. The net proceeds of $19.6 million from the issuance of the September 2025 Notes were principally used to pay a portion of the cash consideration for the Company’s acquisition of Sunder.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September 2025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 Notes derivative liability</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16,274</w:t>
            </w:r>
          </w:p>
        </w:tc>
        <w:tc>
          <w:tcPr>
            <w:tcW w:w="9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(17,782)</w:t>
            </w:r>
          </w:p>
        </w:tc>
        <w:tc>
          <w:tcPr>
            <w:tcW w:w="9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carrying amount of September 2025 Notes and derivative liabilities</w:t>
            </w: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20,492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Interest expense and amortization of debt discount cost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3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Thirty-Nine Weeks Ended</w:t>
            </w: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34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60</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to Seller – related party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24, 2025, the Company issued a note payable to the sellers of Sunder (“Seller Note”) to the Seller/Member in connection with the acquisition of 100% of the membership interests in Sunder. 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The Company concluded that since the sellers joined the Company and have a level of influence that is not insignificant, they are related parties of the Company and therefore the Seller Note is a related party obligation. Management concluded that the carrying value of the Seller Note approximates its fair value due to the short-term nature of the obligation. Interest expense recognized on the Seller Note was less than $0.1 million in the thirteen and thirty-nine week periods ended September 28,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July 1, 2024, the Company entered into an Exchange Agreement (the “Exchange Agreement”) with Carlyle, which was deemed to be a related party beginning in fiscal 2024 and ended as of March 30, 2025 as described in Note 2 (h) Summary of Significant Accounting Policies – </w:t>
      </w:r>
      <w:r>
        <w:rPr>
          <w:rFonts w:ascii="Times New Roman" w:cs="Times New Roman" w:eastAsia="Times New Roman" w:hAnsi="Times New Roman"/>
          <w:sz w:val="18"/>
          <w:szCs w:val="18"/>
          <w:i w:val="1"/>
          <w:iCs w:val="1"/>
          <w:color w:val="auto"/>
        </w:rPr>
        <w:t>Changes in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Kline Hill (as defined below) providing for:</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$10.0 million to Carlyle as part of the July 2024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a secured credit facility (“Secured Credit Facility”), and the satisfaction of all obligations owed to Kline Hill by the Company under the terminated debt instruments;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$8.0 million to Kline Hill as part of the July 2024 Notes;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1,500,000 shares of common stock, par value $0.0001 per share, of the Company (the “Common Stock”) to Kline Hill (the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date of the cancellation under the Exchange Agreement, the Company’s indebtedness to CS Solis was $37.2 million and the indebtedness to Kline Hill was comprised of the 2018 Bridge Notes of $11.7 million, Revolving Loan balance assigned to Kline Hill of $3.9 million, and the Secured Credit Facility balance of $13.1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concluded that the transactions entered into in the Exchange Agreement represented a troubled debt restructuring as the Company was experiencing financial difficulty, and the new terms of the July 2024 Notes resulted in a concession to the Company. As the carrying amount of the debt exceeded the future undiscounted cash payments under the new terms on the date of the exchange, the Company recorded a gain on the troubled debt restructuring of $19.8 million in the thirteen week and thirty-nine week periods ended September 29, 2024 and recorded an additional gain of $2.5 million in the fourth quarter of fiscal 2024 for an aggregate gain on troubled debt restructuring of $22.3 million in fiscal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Exchange Agreement, the Company recorded accretion of the liability of the debt in CS Solis as related party interest expense of zero and $3.9 million in the thirteen and thirty-nine week periods ended September 29, 2024,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recognized on the 2018 Bridge Notes was zero and $0.7 million in the thirteen and thirty-nine week periods ended September 29, 2024,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the Secured Credit Facility was zero and $1.0 million in the thirteen and thirty-nine week periods ended September 29,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loan with related party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entering into the Exchange Agreement, the Company had a revolving loan (“Aggregate Revolving Loan”) due to Kline Hill and Rodgers Revocable Trust, a related party. The Aggregate Revolving Loan had an annual interest rate equal to the greater of 7.75% or Prime plus 4.5%. In connection with the Exchange Agreement in July 2024, $3.5 million of the Revolving Loan, plus accrued interest owed to Kline Hill, was exchanged for a portion of the July 2024 Notes. The principal balance of $1.5 million (“Related Party Loan”) owing to the Rodgers Revocable Trust (plus accrued interest) remained outstanding as of September 28, 2025, and December 29, 2024. There are no financial covenants.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recognized on the Aggregate Revolving Loan was less than $0.1 million in each of the thirteen week periods ended September 28, 2025 and September 29, 2024. Interest expense recognized on the Aggregate Revolving Loan was $0.2 million and $0.4 million in the thirty-nine week periods ended September 28, 2025, and September 29,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total interest expense recognized on the Aggregate Revolving Loan, related party interest expense recognized was less than $0.1 million in each of the thirteen week periods ended September 28, 2025 and September 29, 2024, and $0.2 million and $0.4 million in the thirty-nine week periods ended September 28, 2025, and September 29,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(10)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w:t>
      </w:r>
    </w:p>
    <w:p>
      <w:pPr>
        <w:jc w:val="both"/>
        <w:ind w:firstLine="8"/>
        <w:spacing w:after="0" w:line="255" w:lineRule="auto"/>
        <w:tabs>
          <w:tab w:leader="none" w:pos="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$0.45, the closing price of the Company’s common stock on April 19, 2024, multiplied by (ii) 80%. Upon conversion, the Company recorded a debit to the First SAFE Agreement of $1.5 million, a credit to Additional paid-in-capital of $1.9 million and recognized expense of $0.4 million within Other expense, net in its unaudited condensed consolidated statement of operations in the Company’s second fiscal quarter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transaction at a per share conversion price which was equal to the lower of (i) the Second SAFE Price, and</w:t>
      </w:r>
    </w:p>
    <w:p>
      <w:pPr>
        <w:spacing w:after="0" w:line="2" w:lineRule="exact"/>
        <w:rPr>
          <w:sz w:val="20"/>
          <w:szCs w:val="20"/>
          <w:color w:val="auto"/>
        </w:rPr>
      </w:pPr>
    </w:p>
    <w:p>
      <w:pPr>
        <w:jc w:val="both"/>
        <w:ind w:firstLine="8"/>
        <w:spacing w:after="0" w:line="252"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price per share of the Company’s common stock sold in an Equity Financing transaction.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the Second SAFE Agreement of $3.5 million, a credit to Additional paid-in-capital of $4.4 million and recognized expense of $0.9 million within Other expense, net in its unaudited condensed consolidated statement of operations in the Company’s second fiscal quarter ended June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Third SAFE may be settled in cash or a variable number of shares, the Company has accounted for the instrument as a liability at its fair value.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Third SAFE was $0.5 million and $0.4 million as of September 28, 2025 and December 29, 2024, based upon the assumptions disclosed in Note 4 – Fair Value Measurements.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the fair value of the Third SAFE is recorded within Other expense, net in the accompanying condensed consolidated statements of operations and comprehensive loss. The change in the fair value of the Third SAFE was expense of $0.1 million and $0.9 million in the thirteen week periods ended September 28, 2025 and September 29, 2024, respectively. The change in the fair value of the Third SAFE was expense of $0.1 million and $0.9 million in the thirty-nine week periods ended September 28, 2025 and September 29,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SunPower common stock may be issued under the 2023 Plan. In addition, the number of shares of SunPower common stock reserved for issuance under the 2023 Plan will automatically increase on January 1 of each year, starting on January 1, 2024 and ending on January 1, 2033, in an amount equal to the lesser of (1) 4% of the total number of shares of SunPower’s common stock outstanding on December 31 of the preceding year, or (2) a lesser number of shares of SunPower common stock determined by SunPower’s Board prior to the date of the increase. The maximum number of shares of SunPower common stock that may be issued on the exercise of incentive stock options (“ISOs”) under the 2023 Plan is three times the number of shares available for issuance upon the 2023 Plan becoming effective (or 26,289,966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29, 2024 are also recognized equally over the vesting period of five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stock option activity under the Plans.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29,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9,997,233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(712,467)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(4,874,689)</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Outstanding—September 28, 2025</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4,410,078</w:t>
            </w: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September 28, 2025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4,410,078</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vMerge w:val="continue"/>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 September 28,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2,364,439</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6.98</w:t>
            </w: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The information below summarizes the RSU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September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1,982,135</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7"/>
                <w:szCs w:val="17"/>
                <w:color w:val="auto"/>
              </w:rPr>
            </w:pP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22,235,871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(4,318,313)</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(3,756,238)</w:t>
            </w: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16,143,455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$4.2 million and $8.2 million in the thirteen and thirty-nine week periods ended September 28, 2025. Stock-based compensation expense was $1.5 million and $4.1 million in the thirteen and thirty-nine week periods ended September 29, 2024. As of September 28, 2025, unrecognized stock-based compensation costs related to service-based options and RSUs was $1.6 million and $29.4 million respectively, and such compensation cost is expected to be recognized over a weighted-average period of 2.8 years and 4.3 years,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Activity by period relating to the Company’s warranty provision was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Accruals for new warranties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Settlements,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noncurrent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Thirty-Nine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tcBorders>
              <w:top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60" w:type="dxa"/>
            <w:vAlign w:val="bottom"/>
            <w:gridSpan w:val="2"/>
          </w:tcPr>
          <w:p>
            <w:pPr>
              <w:spacing w:after="0"/>
              <w:rPr>
                <w:sz w:val="17"/>
                <w:szCs w:val="17"/>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w w:val="93"/>
              </w:rPr>
              <w:t>5,968</w:t>
            </w:r>
          </w:p>
        </w:tc>
        <w:tc>
          <w:tcPr>
            <w:tcW w:w="220" w:type="dxa"/>
            <w:vAlign w:val="bottom"/>
          </w:tcPr>
          <w:p>
            <w:pPr>
              <w:spacing w:after="0"/>
              <w:rPr>
                <w:sz w:val="17"/>
                <w:szCs w:val="17"/>
                <w:color w:val="auto"/>
              </w:rPr>
            </w:pP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4,849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3,238</w:t>
            </w:r>
          </w:p>
        </w:tc>
        <w:tc>
          <w:tcPr>
            <w:tcW w:w="2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r>
      <w:tr>
        <w:trPr>
          <w:trHeight w:val="248"/>
        </w:trPr>
        <w:tc>
          <w:tcPr>
            <w:tcW w:w="240" w:type="dxa"/>
            <w:vAlign w:val="bottom"/>
          </w:tcPr>
          <w:p>
            <w:pPr>
              <w:spacing w:after="0"/>
              <w:rPr>
                <w:sz w:val="21"/>
                <w:szCs w:val="21"/>
                <w:color w:val="auto"/>
              </w:rPr>
            </w:pP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(5,837)</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3,369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4,747</w:t>
            </w:r>
          </w:p>
        </w:tc>
        <w:tc>
          <w:tcPr>
            <w:tcW w:w="40" w:type="dxa"/>
            <w:vAlign w:val="bottom"/>
          </w:tcPr>
          <w:p>
            <w:pPr>
              <w:spacing w:after="0"/>
              <w:rPr>
                <w:sz w:val="21"/>
                <w:szCs w:val="21"/>
                <w:color w:val="auto"/>
              </w:rPr>
            </w:pPr>
          </w:p>
        </w:tc>
      </w:tr>
      <w:tr>
        <w:trPr>
          <w:trHeight w:val="21"/>
        </w:trPr>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480"/>
              <w:spacing w:after="0" w:line="198" w:lineRule="exact"/>
              <w:rPr>
                <w:sz w:val="20"/>
                <w:szCs w:val="20"/>
                <w:color w:val="auto"/>
              </w:rPr>
            </w:pPr>
            <w:r>
              <w:rPr>
                <w:rFonts w:ascii="Times New Roman" w:cs="Times New Roman" w:eastAsia="Times New Roman" w:hAnsi="Times New Roman"/>
                <w:sz w:val="18"/>
                <w:szCs w:val="18"/>
                <w:color w:val="auto"/>
                <w:w w:val="93"/>
              </w:rPr>
              <w:t>1,229</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2,140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w:t>
            </w:r>
          </w:p>
        </w:tc>
        <w:tc>
          <w:tcPr>
            <w:tcW w:w="40" w:type="dxa"/>
            <w:vAlign w:val="bottom"/>
          </w:tcPr>
          <w:p>
            <w:pPr>
              <w:spacing w:after="0"/>
              <w:rPr>
                <w:sz w:val="20"/>
                <w:szCs w:val="20"/>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873" w:right="339" w:bottom="1440" w:gutter="0" w:footer="0" w:header="0"/>
        </w:sectPr>
      </w:pP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dispute with SunPower Debtors Bankruptcy Estate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such that no amounts will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$9.2 million and $7.7 million recorded within accrued expenses and other current liabilities in its unaudited condensed consolidated balance sheets at each of September 28, 2025 and December 29,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liability has been recorded in the Company’s unaudited condensed consolidated financial statements as the likelihood of a loss is not probable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The Company has appealed these judgments.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 The Company continues pursuing global settlement negotiations with Siemens.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$6.9 million as a legal settlement loss related to this litigation as of December 31, 2023. In the thirteen week period ended September 28, 2025, the Company recorded an additional $1.1 million of expense within discontinued operations in its unaudited condensed consolidated statement of operations and comprehensive (loss) to bring the liability for legal settlement with Siemens to $8.0 million as of September 28, 2025. This liability is included within accrued expenses and other current liabilities in the Company’s unaudited condensed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expense of $2.0 million within discontinued operations in its unaudited condensed consolidated statement of operations and comprehensive (loss) in the thirty-nine week period ended September 29, 2024, for attorneys’ fees, expenses, and pre-judgment interest, and this liability was also recorded within accrued expenses and other current liabilities in the Company’s unaudited condensed consolidated balance sheets as of September 28, 2025, and December 29,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4, 2025, the Company entered into a Settlement Agreement (“Settlement Agreement”) with Siemens to resolve a case in the Court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of Company collateral. This security interest is reduced on a one-to-one basis as the settlement payments are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$3.5 million of outstanding letters of credit related to normal business transactions as of September 28, 2025 and December 29,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at each of September 28, 2025 and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the Company has provided a full valuation allowance against its deferred tax assets. For each of the thirteen week periods ended September 28, 2025, and September 29, 2024, the Company recognized income tax expense of zero. For the thirty-nine week periods ended September 28, 2025, and September 29, 2024, the Company recognized income tax expense of zero and eleven thousand dollars,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One Big Beautiful Bill Act (“OBBBA”) was enacted on July 4, 2025. The OBBBA contains significant changes to corporate taxation, including accelerated deductions for capital expenditures, expensing of research and development costs incurred in the US, and increased deductibility of interest expense. The Company is currently evaluating the impact of OBBBA, but does not expect a material provision would impact the effective tax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(14) Basic and Diluted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in the thirteen and thirty-nine week periods ended September 28, 2025 and September 29,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thirteen and thirty-nine week periods ended September 28, 2025 and September 29, 2024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(15,804)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(77,958)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(30,099)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84,904,228</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75,348,627</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82,036,790</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61,868,747</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basic net loss per share attributable to common stockholders is inclusive of warrants with an insignificant exercise price. The Company’s calculation of the weighted average shares outstanding is inclusive of 234,610 warrants with an insignificant exercise price (which assumes that the warrants were outstanding as of the beginning of the period or the date of the grant, whichever is earlier) for each of the thirteen and thirty-nine week periods ended September 28, 2025, respectively. The computation of diluted net loss per share attributable to common stockholders is the same for the thirteen and thirty-nine week periods ended September 28, 2025 and September 29, 2024 because the inclusion of potential shares of common stock would have been anti-dilutive for the periods presented.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5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28,</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34,256,501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14,170,385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34,256,501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14,170,385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77,821,528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58,579,636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77,821,528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58,579,636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Third SAFE Agreement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6,666,666</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6,666,666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 common shares excluded from diluted net loss per share</w:t>
            </w: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153,884,960</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104,420,286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153,884,960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104,420,286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segmented internal income/(loss) prepared on a basis consistent with U.S. GAAP. The measurement criteria is based on their operating revenue and operating income (loss) and excluding any corporate costs which are not allocatable to the operating segments. The CODM’s measurement criteria does not include segment assets. During the periods presented, the Company reported its financial performance through the following three reportable segments; Residential Solar Installation, New Homes Business and Sunder.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Solar Installation</w:t>
      </w:r>
      <w:r>
        <w:rPr>
          <w:rFonts w:ascii="Times New Roman" w:cs="Times New Roman" w:eastAsia="Times New Roman" w:hAnsi="Times New Roman"/>
          <w:sz w:val="18"/>
          <w:szCs w:val="18"/>
          <w:color w:val="auto"/>
        </w:rPr>
        <w:t>. This segment performs solar system, storage and battery installations for residential homeowners.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Homes Business</w:t>
      </w:r>
      <w:r>
        <w:rPr>
          <w:rFonts w:ascii="Times New Roman" w:cs="Times New Roman" w:eastAsia="Times New Roman" w:hAnsi="Times New Roman"/>
          <w:sz w:val="18"/>
          <w:szCs w:val="18"/>
          <w:color w:val="auto"/>
        </w:rPr>
        <w:t>. This segment is new, as a result of the SunPower Acquisition which occurred in the fourth quarter of fiscal 2024.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a method to allocate direct expenses for the respective reportable segments. This segment performs solar system installations for new home builders.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Sunder</w:t>
      </w:r>
      <w:r>
        <w:rPr>
          <w:rFonts w:ascii="Times New Roman" w:cs="Times New Roman" w:eastAsia="Times New Roman" w:hAnsi="Times New Roman"/>
          <w:sz w:val="18"/>
          <w:szCs w:val="18"/>
          <w:color w:val="auto"/>
        </w:rPr>
        <w:t>. This segment is new beginning in fiscal year 2025, as a result of the Sunder Acquisition which occurred late in the third quarter of fiscal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segment’s principal activity is a solar energy sales force to initiate and execute contracts with customers throughout the United States.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Residential</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4"/>
              </w:rPr>
              <w:t>New</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Residential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Homes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2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Homes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Installation</w:t>
            </w:r>
          </w:p>
        </w:tc>
        <w:tc>
          <w:tcPr>
            <w:tcW w:w="120" w:type="dxa"/>
            <w:vAlign w:val="bottom"/>
          </w:tcPr>
          <w:p>
            <w:pPr>
              <w:spacing w:after="0"/>
              <w:rPr>
                <w:sz w:val="21"/>
                <w:szCs w:val="2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Sunder</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Installation</w:t>
            </w:r>
          </w:p>
        </w:tc>
        <w:tc>
          <w:tcPr>
            <w:tcW w:w="12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Business</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Sunder</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$ 27,116</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20,984</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13,329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37,965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8,693</w:t>
            </w:r>
          </w:p>
        </w:tc>
      </w:tr>
      <w:tr>
        <w:trPr>
          <w:trHeight w:val="216"/>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7,479</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w:t>
            </w: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4,781</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1,686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r>
      <w:tr>
        <w:trPr>
          <w:trHeight w:val="290"/>
        </w:trPr>
        <w:tc>
          <w:tcPr>
            <w:tcW w:w="384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12,240</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9,243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21,483</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r>
      <w:tr>
        <w:trPr>
          <w:trHeight w:val="171"/>
        </w:trPr>
        <w:tc>
          <w:tcPr>
            <w:tcW w:w="3840" w:type="dxa"/>
            <w:vAlign w:val="bottom"/>
            <w:tcBorders>
              <w:top w:val="single" w:sz="8" w:color="CCEEFF"/>
            </w:tcBorders>
            <w:gridSpan w:val="2"/>
          </w:tcPr>
          <w:p>
            <w:pPr>
              <w:spacing w:after="0" w:line="171" w:lineRule="exact"/>
              <w:rPr>
                <w:sz w:val="20"/>
                <w:szCs w:val="20"/>
                <w:color w:val="auto"/>
              </w:rPr>
            </w:pPr>
            <w:r>
              <w:rPr>
                <w:rFonts w:ascii="Times New Roman" w:cs="Times New Roman" w:eastAsia="Times New Roman" w:hAnsi="Times New Roman"/>
                <w:sz w:val="18"/>
                <w:szCs w:val="18"/>
                <w:color w:val="auto"/>
              </w:rPr>
              <w:t>Operating (loss) income from continuing</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55"/>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(6,905)</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(3,444)</w:t>
            </w: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(29,970)</w:t>
            </w:r>
          </w:p>
        </w:tc>
      </w:tr>
      <w:tr>
        <w:trPr>
          <w:trHeight w:val="182"/>
        </w:trPr>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Reconciliation of segment (loss) income from</w:t>
            </w: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continuing operations before income taxes: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(2,338)</w:t>
            </w:r>
          </w:p>
        </w:tc>
      </w:tr>
      <w:tr>
        <w:trPr>
          <w:trHeight w:val="216"/>
        </w:trPr>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(65,684)</w:t>
            </w:r>
          </w:p>
        </w:tc>
      </w:tr>
      <w:tr>
        <w:trPr>
          <w:trHeight w:val="223"/>
        </w:trPr>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r>
      <w:tr>
        <w:trPr>
          <w:trHeight w:val="184"/>
        </w:trPr>
        <w:tc>
          <w:tcPr>
            <w:tcW w:w="3840" w:type="dxa"/>
            <w:vAlign w:val="bottom"/>
            <w:tcBorders>
              <w:top w:val="single" w:sz="8" w:color="CCEEFF"/>
            </w:tcBorders>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(Loss) from continuing operations before income</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82"/>
        </w:trPr>
        <w:tc>
          <w:tcPr>
            <w:tcW w:w="3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(15,804)</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(77,958)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thirteen weeks ended September 28, 2025, depreciation and amortization expense was $1.0 million, $0.3 million, and zero for the Residential Solar Installation, New Homes Business and Sunder reportable segments, respectively. For the thirteen weeks ended September 29, 2024, depreciation and amortization expense was $0.3 million for the Residential Solar Installation reportable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Thirty-Nine Weeks Ended</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29, 2024</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Residential</w:t>
            </w:r>
          </w:p>
        </w:tc>
        <w:tc>
          <w:tcPr>
            <w:tcW w:w="100" w:type="dxa"/>
            <w:vAlign w:val="bottom"/>
          </w:tcPr>
          <w:p>
            <w:pPr>
              <w:spacing w:after="0"/>
              <w:rPr>
                <w:sz w:val="16"/>
                <w:szCs w:val="16"/>
                <w:color w:val="auto"/>
              </w:rPr>
            </w:pPr>
          </w:p>
        </w:tc>
        <w:tc>
          <w:tcPr>
            <w:tcW w:w="92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Residential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Homes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Homes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Installation</w:t>
            </w:r>
          </w:p>
        </w:tc>
        <w:tc>
          <w:tcPr>
            <w:tcW w:w="1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Sunder</w:t>
            </w:r>
          </w:p>
        </w:tc>
        <w:tc>
          <w:tcPr>
            <w:tcW w:w="20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Installation</w:t>
            </w:r>
          </w:p>
        </w:tc>
        <w:tc>
          <w:tcPr>
            <w:tcW w:w="10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Business</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Sunder</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$ 101,862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$ 220,269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67,388</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55,930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3,652</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126,970</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21,834</w:t>
            </w: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22,882</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24,273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11,691</w:t>
            </w: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19,591</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2,173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21,764</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w:t>
            </w:r>
          </w:p>
        </w:tc>
      </w:tr>
      <w:tr>
        <w:trPr>
          <w:trHeight w:val="290"/>
        </w:trPr>
        <w:tc>
          <w:tcPr>
            <w:tcW w:w="3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32,782</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52,382</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29,789</w:t>
            </w:r>
          </w:p>
        </w:tc>
      </w:tr>
      <w:tr>
        <w:trPr>
          <w:trHeight w:val="171"/>
        </w:trPr>
        <w:tc>
          <w:tcPr>
            <w:tcW w:w="35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Operating (loss) income from continuing</w:t>
            </w: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55"/>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(28,546)</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22,768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(5,120)</w:t>
            </w:r>
          </w:p>
        </w:tc>
        <w:tc>
          <w:tcPr>
            <w:tcW w:w="16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(47,008)</w:t>
            </w:r>
          </w:p>
        </w:tc>
      </w:tr>
      <w:tr>
        <w:trPr>
          <w:trHeight w:val="182"/>
        </w:trPr>
        <w:tc>
          <w:tcPr>
            <w:tcW w:w="35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Reconciliation of segment (loss) income from</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continuing operations before income taxes: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(23,258)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(8,230)</w:t>
            </w:r>
          </w:p>
        </w:tc>
      </w:tr>
      <w:tr>
        <w:trPr>
          <w:trHeight w:val="216"/>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(66,234)</w:t>
            </w:r>
          </w:p>
        </w:tc>
      </w:tr>
      <w:tr>
        <w:trPr>
          <w:trHeight w:val="236"/>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r>
      <w:tr>
        <w:trPr>
          <w:trHeight w:val="184"/>
        </w:trPr>
        <w:tc>
          <w:tcPr>
            <w:tcW w:w="3580" w:type="dxa"/>
            <w:vAlign w:val="bottom"/>
            <w:tcBorders>
              <w:top w:val="single" w:sz="8" w:color="CCEEFF"/>
            </w:tcBorders>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(Loss) from continuing operations before</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82"/>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(30,099)</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(101,422)</w:t>
            </w:r>
          </w:p>
        </w:tc>
      </w:tr>
      <w:tr>
        <w:trPr>
          <w:trHeight w:val="21"/>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thirty-nine weeks ended September 28, 2025, depreciation and amortization expense was $3.4 million, $0.9 million and zero for the Residential Solar Installation, New Homes Business and Sunder reportable segments, respectively. In the thirty-nine weeks ended September 29, 2024, depreciation and amortization expense was $1.0 million for the Residential Solar Installation reportable segment.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04"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Refer to the following notes to the Company’s unaudited condensed consolidated financial statements for details regarding the related party transactions entered into by the Company; Note 1(a) – Description of Business; Note 2(i) – Summary of Significant Accounting Policies – </w:t>
      </w:r>
      <w:r>
        <w:rPr>
          <w:rFonts w:ascii="Times New Roman" w:cs="Times New Roman" w:eastAsia="Times New Roman" w:hAnsi="Times New Roman"/>
          <w:sz w:val="18"/>
          <w:szCs w:val="18"/>
          <w:i w:val="1"/>
          <w:iCs w:val="1"/>
          <w:color w:val="auto"/>
        </w:rPr>
        <w:t>Changes in related parties</w:t>
      </w:r>
      <w:r>
        <w:rPr>
          <w:rFonts w:ascii="Times New Roman" w:cs="Times New Roman" w:eastAsia="Times New Roman" w:hAnsi="Times New Roman"/>
          <w:sz w:val="18"/>
          <w:szCs w:val="18"/>
          <w:color w:val="auto"/>
        </w:rPr>
        <w:t>; Note 4 – Fair Value Measurements; Note 6 – Accrued Expenses and Other Current Liabilities; Note 7 – Other Expense, Net; Note 8 – Capital Stock; Note 9 – Borrowings and Derivative Liabilities, and Note 10 – SAFE Agreements. All other related party transactions are described herein.</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SameDay Solar became a related party to the Company during fiscal year 2024. The Company’s revenue is net of dealer fees attributable to SameDay Solar of $0.3 million and $1.6 million in the thirteen and thirty-nine week periods ended September 28, 2025, respectively. The Company’s revenue is net of dealer fees attributable to SameDay Solar of $1.6 million in each of the thirteen and thirty-nine week periods ended September 29,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conversion of September 2024 Notes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September 28, 2025, holders of $10.6 million of the Company’s September 2024 Notes converted their September 2024 Notes into 6.2 million shares of common stock of the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Ambia Energy LLC</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11, 2025, the Company announced that it signed a non-binding letter of intent to acquire Ambia Energy, LLC (“Ambia”) located in Lindon, Utah in exchange for approximately $37.5 million of equity in SunPower, subject to customary closing conditions.</w:t>
      </w:r>
    </w:p>
    <w:p>
      <w:pPr>
        <w:spacing w:after="0" w:line="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21, 2025, the Company entered into a Membership Interest Purchase Agreement (the “Membership Interest Purchase Agreement”) with Ambia and Ambia Holdings, Inc., a Delaware corporation and the sole member of Ambia (the “Member”). The Company, Ambia and the Member completed the closing under the Membership Interest Purchase Agreement (the “Ambia Closing”) on November 21, 2025. At the Ambia Closing, the Company acquired all of the outstanding membership interests of Ambia from the Member for: (a) 10,243,924 shares (the “Closing Consideration Shares”) of common stock of the Company, $0.0001 par value per share (the “Common Stock”), issued at the Ambia Closing to the Member; and (b) the agreement to issue an additional $9.375 million of shares of Common Stock on the six-month anniversary of the Ambia Closing and an additional $9.375 million of shares of Common Stock on the 12-month anniversary of the Ambia Closing (such additional shares of Common Stock, the “Post-Closing Consideration Shares”). The issuance of the Post-Closing Consideration Shares is subject to approval by the Company’s stockholders following the Ambia Closing in accordance with the rules and regulations of the Nasdaq Stock Market (including Nasdaq Listing Rule 5635(a)). The actual number of Post-Closing Consideration Shares issuable by the Company on the six- and 12-month anniversaries of the Ambia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Post-Closing Consideration Shares issuable by the Company will not be more than $2.8102 per share or less than $1.4988 per share. Additionally, the number of Post-Closing Consideration Shares issuable by the Company is subject to adjustment pursuant to customary working capital and balance sheet adjustment terms and subject to offset for certain indemnifiable damages in accordance with the Membership Interest Purchase Agreement. Pursuant to the terms and conditions of the Membership Interest Purchase Agreement, the Company agreed to register the Closing Consideration Shares and the Post-Closing Consideration Shares for resale to the public under the Securities Act of 1933, as amended. The Membership Interest Purchase Agreement includes customary representations and warranties, covenants, and indemnities, in each case under the circumstances and subject to certain limitations set forth in the Membership Interest Purchase Agreement. The indemnification obligations under the Membership Interest Purchase Agreement are subject to customary baskets and caps. The Company’s primary source of recovery for indemnifiable damages is set off of such damages against the Post-Closing Consideration Shares issuable by the Company following the Ambia Closing.</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accounting for this business combination is incomplete at this time due to the proximity of the Ambia Closing to the issuance date of these condensed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19, 2025, the Company received a letter from the Listing Qualifications staff of Nasdaq indicating that, as a result of the Company’s delay in filing its Q3 2025 Form 10Q,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Q3 2025 Form 10Q on December 19,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12% convertible senior unsecured convertible note to related party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20, 2025, the Company issued a convertible promissory note in the original principal amount of $2.0 million (“November 2025 Note”) to a trust controlled by the Company’s CEO in exchange for cash.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Note is convertible at the option of the holder at any time prior to the payment of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Note prior to July 5,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Settlement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12 – Commitments and Contingencies, the Company entered into a Settlement Agreement with Siemens on December 4, 2025 to resolve a case in the Court and other related cases as well as to resolve potential claims related to Siemens’ Atwater Wastewater Treatment Plant. Refer to Note 12 – Commitments and Contingencies for details.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055"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audited consolidated financial statements and related notes included in our Annual Report on Form 10-K filed with the Securities and Exchange Commission on April 30, 2025, and related management’s discussion and analysis in Item 7 of the Annual Report on Form 10-K. This discussion contains forward-looking statements that involve risks and uncertainties. Our actual results could differ materially from those discussed below. Please also see the section 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SunPower Inc. (“SunPower” or the “Company”) is the rebranded name of Complete Solaria, Inc. Complete Solaria, Inc. was formed in November 2022 through the merger of Complete Solar and The Solaria Corporation.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further discussed below and above (Note 15 – Segment Information), we have three reportable segments: Residential Solar Installation, New Homes Business and Sunder Energy (“Sunder”).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unaudited condensed consolidated financial statements included in this Quarterly Report on Form 10-Q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growth strategy contains the following elements:</w:t>
      </w:r>
    </w:p>
    <w:p>
      <w:pPr>
        <w:spacing w:after="0" w:line="223" w:lineRule="exact"/>
        <w:rPr>
          <w:sz w:val="20"/>
          <w:szCs w:val="20"/>
          <w:color w:val="auto"/>
        </w:rPr>
      </w:pPr>
    </w:p>
    <w:p>
      <w:pPr>
        <w:jc w:val="both"/>
        <w:ind w:left="980" w:hanging="324"/>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w:t>
      </w:r>
      <w:r>
        <w:rPr>
          <w:rFonts w:ascii="Times New Roman" w:cs="Times New Roman" w:eastAsia="Times New Roman" w:hAnsi="Times New Roman"/>
          <w:sz w:val="18"/>
          <w:szCs w:val="18"/>
          <w:color w:val="auto"/>
        </w:rPr>
        <w:t>– We continue to expand our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8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2024, upon approval by the Bankruptcy Court for the District of Delaware, we completed the acquisition of certain assets relating to the Blue Raven Solar Business, New Homes Business and non-Installing Dealer network previously operated by SunPower Debtors. On September 24, 2025, we completed the acquisition of Sunder, a residential solar sales company. The acquisition of Sunder expanded our footprint from 22 to 45 states. By doubling our dealer network salesforce to 1,744 this allows for further reach into new geographic markets where we were not previously concentrated. This acquisition will position us to be lone of the largest residential solar provider in the U.S.</w:t>
      </w:r>
    </w:p>
    <w:p>
      <w:pPr>
        <w:spacing w:after="0" w:line="187"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Sunder’s established relationships with Electrical, Permit and Connection companies (“EPC”) will allow us to expand into markets where we do not have install capacity due to limitations of not being able to hire a skilled installation workforce due to lack of density. By leveraging a preferred network of EPCs this allows us to accelerate our growth, while keeping our overhead costs low.</w:t>
      </w:r>
    </w:p>
    <w:p>
      <w:pPr>
        <w:spacing w:after="0" w:line="17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leveraging Sunder existing operating platform, our dealer network will be able to focus on delivering superior customer service to homeowners, while providing options to the homeowner based on their preferences.</w:t>
      </w:r>
    </w:p>
    <w:p>
      <w:pPr>
        <w:spacing w:after="0" w:line="15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executing on 200,000-unit battery storage opportunity </w:t>
      </w:r>
      <w:r>
        <w:rPr>
          <w:rFonts w:ascii="Times New Roman" w:cs="Times New Roman" w:eastAsia="Times New Roman" w:hAnsi="Times New Roman"/>
          <w:sz w:val="18"/>
          <w:szCs w:val="18"/>
          <w:color w:val="auto"/>
        </w:rPr>
        <w:t>– We have an opportunity to increase our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Mergers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with Third Merger Sub surviving as a wholly-owned subsidiary of FACT (the “Additional Merger”, and together with the First Merger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has been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we completed the divestiture of our solar panel business to Maxeon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pursuant to the terms of a disposal agreement (“</w:t>
      </w:r>
      <w:r>
        <w:rPr>
          <w:rFonts w:ascii="Times New Roman" w:cs="Times New Roman" w:eastAsia="Times New Roman" w:hAnsi="Times New Roman"/>
          <w:sz w:val="18"/>
          <w:szCs w:val="18"/>
          <w:b w:val="1"/>
          <w:bCs w:val="1"/>
          <w:color w:val="auto"/>
        </w:rPr>
        <w:t>Disposal Agreement</w:t>
      </w:r>
      <w:r>
        <w:rPr>
          <w:rFonts w:ascii="Times New Roman" w:cs="Times New Roman" w:eastAsia="Times New Roman" w:hAnsi="Times New Roman"/>
          <w:sz w:val="18"/>
          <w:szCs w:val="18"/>
          <w:color w:val="auto"/>
        </w:rPr>
        <w:t>”). Under the terms of the Disposal Agreement, Maxeon agreed to acquire from the Company certain assets and employees,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$2.0 million and $173.4 million in the fiscal years ended December 29, 2024 and December 31, 2023, respectively. We also sold all the Maxeon shares in the year ended December 31, 2023, and recorded a $4.2 million loss on the sale of these shares in our consolidated statements of operations and comprehensive loss.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is a discussion of our historical results of operations, which excludes product revenues and metrics related to the disposal, as all results of operations associated with the solar panel business have been presented as discontinued operations,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SunPower acquisition transaction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5, 2024, we entered into an asset purchase agreement among us and SunPower Corporation and SunPower Corporation’s direct and indirect subsidiaries (“</w:t>
      </w:r>
      <w:r>
        <w:rPr>
          <w:rFonts w:ascii="Times New Roman" w:cs="Times New Roman" w:eastAsia="Times New Roman" w:hAnsi="Times New Roman"/>
          <w:sz w:val="18"/>
          <w:szCs w:val="18"/>
          <w:b w:val="1"/>
          <w:bCs w:val="1"/>
          <w:color w:val="auto"/>
        </w:rPr>
        <w:t>SunPower Debtors</w:t>
      </w:r>
      <w:r>
        <w:rPr>
          <w:rFonts w:ascii="Times New Roman" w:cs="Times New Roman" w:eastAsia="Times New Roman" w:hAnsi="Times New Roman"/>
          <w:sz w:val="18"/>
          <w:szCs w:val="18"/>
          <w:color w:val="auto"/>
        </w:rPr>
        <w:t>”) which provided for the purchase of certain assets relating to the Blue Raven Solar business, New Homes Business and Non-Installing Dealer network previously operated by the SunPower Debtors (the “</w:t>
      </w:r>
      <w:r>
        <w:rPr>
          <w:rFonts w:ascii="Times New Roman" w:cs="Times New Roman" w:eastAsia="Times New Roman" w:hAnsi="Times New Roman"/>
          <w:sz w:val="18"/>
          <w:szCs w:val="18"/>
          <w:b w:val="1"/>
          <w:bCs w:val="1"/>
          <w:color w:val="auto"/>
        </w:rPr>
        <w:t>Acquired SunPower Assets</w:t>
      </w:r>
      <w:r>
        <w:rPr>
          <w:rFonts w:ascii="Times New Roman" w:cs="Times New Roman" w:eastAsia="Times New Roman" w:hAnsi="Times New Roman"/>
          <w:sz w:val="18"/>
          <w:szCs w:val="18"/>
          <w:color w:val="auto"/>
        </w:rPr>
        <w:t>”). The sale by the SunPower Debtors was approved on September 23, 2024, by the United States Bankruptcy Court for the District of Delaware. We completed the acquisition (“</w:t>
      </w:r>
      <w:r>
        <w:rPr>
          <w:rFonts w:ascii="Times New Roman" w:cs="Times New Roman" w:eastAsia="Times New Roman" w:hAnsi="Times New Roman"/>
          <w:sz w:val="18"/>
          <w:szCs w:val="18"/>
          <w:b w:val="1"/>
          <w:bCs w:val="1"/>
          <w:color w:val="auto"/>
        </w:rPr>
        <w:t>SunPower Acquisition</w:t>
      </w:r>
      <w:r>
        <w:rPr>
          <w:rFonts w:ascii="Times New Roman" w:cs="Times New Roman" w:eastAsia="Times New Roman" w:hAnsi="Times New Roman"/>
          <w:sz w:val="18"/>
          <w:szCs w:val="18"/>
          <w:color w:val="auto"/>
        </w:rPr>
        <w:t>”) of the Acquired SunPower Assets (“</w:t>
      </w:r>
      <w:r>
        <w:rPr>
          <w:rFonts w:ascii="Times New Roman" w:cs="Times New Roman" w:eastAsia="Times New Roman" w:hAnsi="Times New Roman"/>
          <w:sz w:val="18"/>
          <w:szCs w:val="18"/>
          <w:b w:val="1"/>
          <w:bCs w:val="1"/>
          <w:color w:val="auto"/>
        </w:rPr>
        <w:t>SunPower Businesses</w:t>
      </w:r>
      <w:r>
        <w:rPr>
          <w:rFonts w:ascii="Times New Roman" w:cs="Times New Roman" w:eastAsia="Times New Roman" w:hAnsi="Times New Roman"/>
          <w:sz w:val="18"/>
          <w:szCs w:val="18"/>
          <w:color w:val="auto"/>
        </w:rPr>
        <w:t>”) effective September 30, 2024.</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financed the SunPower Acquisition by issuing 7.0% senior unsecured convertible notes (“</w:t>
      </w:r>
      <w:r>
        <w:rPr>
          <w:rFonts w:ascii="Times New Roman" w:cs="Times New Roman" w:eastAsia="Times New Roman" w:hAnsi="Times New Roman"/>
          <w:sz w:val="18"/>
          <w:szCs w:val="18"/>
          <w:b w:val="1"/>
          <w:bCs w:val="1"/>
          <w:color w:val="auto"/>
        </w:rPr>
        <w:t>7.0% Senior Notes</w:t>
      </w:r>
      <w:r>
        <w:rPr>
          <w:rFonts w:ascii="Times New Roman" w:cs="Times New Roman" w:eastAsia="Times New Roman" w:hAnsi="Times New Roman"/>
          <w:sz w:val="18"/>
          <w:szCs w:val="18"/>
          <w:color w:val="auto"/>
        </w:rPr>
        <w:t>”) in September 2024, which are due in 2029. The 7.0% Senior Notes mature on July 1, 2029 and are convertible into shares of our common stock at the option of the holder at a conversion rate of $2.14 per share. The 7.0% Senior Notes will become immediately due and payable at the option of the holder in the event of default and upon a qualifying change of control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Sunder Energy acquisition transaction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2025, we entered into an agreement to acquire Sunder Energy (“</w:t>
      </w:r>
      <w:r>
        <w:rPr>
          <w:rFonts w:ascii="Times New Roman" w:cs="Times New Roman" w:eastAsia="Times New Roman" w:hAnsi="Times New Roman"/>
          <w:sz w:val="18"/>
          <w:szCs w:val="18"/>
          <w:b w:val="1"/>
          <w:bCs w:val="1"/>
          <w:color w:val="auto"/>
        </w:rPr>
        <w:t>Sunder</w:t>
      </w:r>
      <w:r>
        <w:rPr>
          <w:rFonts w:ascii="Times New Roman" w:cs="Times New Roman" w:eastAsia="Times New Roman" w:hAnsi="Times New Roman"/>
          <w:sz w:val="18"/>
          <w:szCs w:val="18"/>
          <w:color w:val="auto"/>
        </w:rPr>
        <w:t>”) and completed the acquisition effective September 24, 2025 (“</w:t>
      </w:r>
      <w:r>
        <w:rPr>
          <w:rFonts w:ascii="Times New Roman" w:cs="Times New Roman" w:eastAsia="Times New Roman" w:hAnsi="Times New Roman"/>
          <w:sz w:val="18"/>
          <w:szCs w:val="18"/>
          <w:b w:val="1"/>
          <w:bCs w:val="1"/>
          <w:color w:val="auto"/>
        </w:rPr>
        <w:t>Sunder Acquisition</w:t>
      </w:r>
      <w:r>
        <w:rPr>
          <w:rFonts w:ascii="Times New Roman" w:cs="Times New Roman" w:eastAsia="Times New Roman" w:hAnsi="Times New Roman"/>
          <w:sz w:val="18"/>
          <w:szCs w:val="18"/>
          <w:color w:val="auto"/>
        </w:rPr>
        <w:t xml:space="preserve">”). The acquisition was completed through the acquisition of all of the Membership Interests of Sunder for aggregate consideration of $57.8 million consisting of cash, a note issued to the seller, 3,333,334 shares of our common stock issued as of the acquisition date plus an additional 3,333,333 shares to be issued on each of the 12-month and 18-month anniversaries of the closing of the acquisition. The shares of our common stock were valued at $17.1 million at the date of acquisition. This transaction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financial results of Sunder have been included in our unaudited condensed consolidated financial statements since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financed the Sunder Acquisition through the issuance of a $20.0 million note (“Seller Note”) with an interest rate of 7.0% and due the earlier of (i) May 15, 2026 and (ii) the date on which all amounts under the Seller Note otherwise become due and payable following an event of default and the issuance of $22.0 million of 7.0% senior unsecured convertible notes due July 1,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for Residential Solar Installation and New Homes Business when a customer obtains control of promised products and services and we have satisfied our performance obligations which is the date by which substantially all of our design and installation is complete for a fully functioning solar power system to interconnect to the local power grid.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We account for these services as inputs to a combined output, resulting in a single service-based performance obligation.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revenue recognized reflects the consideration which we expect to be entitled to receive in exchange for the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this core principle, we apply the following five steps: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Recognition of the revenue when, or as, we satisfy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Residential Solar Installation segment sells products through a network of installing and non-installing dealers and resellers, as well as our internal sales team. Our contracts with customers include three primary contract types:</w:t>
      </w:r>
    </w:p>
    <w:p>
      <w:pPr>
        <w:spacing w:after="0" w:line="160" w:lineRule="exact"/>
        <w:rPr>
          <w:sz w:val="20"/>
          <w:szCs w:val="20"/>
          <w:color w:val="auto"/>
        </w:rPr>
      </w:pPr>
    </w:p>
    <w:p>
      <w:pPr>
        <w:jc w:val="both"/>
        <w:ind w:left="980" w:hanging="324"/>
        <w:spacing w:after="0" w:line="267"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We contract directly with homeowners who purchase the solar energy system and related services from us. Customers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our financing partner agreements, we contract directly with homeowners for the purchase of the solar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system and related services. We refer the homeowner to a financing partner to finance the system, and the homeowner makes payments directly to the financing partner. We receive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We contract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our leasing partner. We consider the leasing partner to be our customer, as we do not contract directly with the homeowner and the leasing partner takes ownership of the system upon the completion of installation. We receive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New Homes Business revenues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New Homes Business segment sells through a network of home builders as well as our internal sales team. Our contracts with customers include two primary contract types:</w:t>
      </w:r>
    </w:p>
    <w:p>
      <w:pPr>
        <w:spacing w:after="0" w:line="160" w:lineRule="exact"/>
        <w:rPr>
          <w:sz w:val="20"/>
          <w:szCs w:val="20"/>
          <w:color w:val="auto"/>
        </w:rPr>
      </w:pPr>
    </w:p>
    <w:p>
      <w:pPr>
        <w:ind w:left="980" w:right="20" w:hanging="324"/>
        <w:spacing w:after="0" w:line="284"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We contract directly with homebuilders who purchase the solar energy system from us and are the customers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Our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the SunPower Debtor’s declaration of bankruptcy, certain homeowners had intended to lease a system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SunPower Debtors, but were unable to consummate the transaction (as a result of SunPower Debtor’s declaration of bankruptcy). The in-process system inventory (installed on recently constructed homes) was acquired by us in connection with the SunPower Acquisition. We contracted directly with a leasing partner to facilitate the leasing of the system to the impacted homeowners. We consider the leasing partner to be our customer. Under the terms of our arrangement with the leasing partner, control is not transferred to the customer until the completed system is accepted by the customer. We receive consideration from the leasing partner following the acceptance of the system.</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performance obligation for both reportable segments is to design and install a fully functioning solar energy system. For all contract types (with the exception of New Homes Business Lease agreements), we recognize revenue over time. Our over-time revenue recognition begins when the solar power system is fully installed (as it is at this point that control of the asset begins to be transferred to the customer and the customer retains the significant risks and rewards of ownership of the solar power system). We recognize revenue using the input method based on direct costs to install the system and defer the costs of installation until such time that control of the asset transfers to the customer (installation). For New Homes Business Lease agreements, we consider the performance obligation to be satisfied at a point in time upon acceptance of the system by the customer.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costs of financing, or other consideration paid to the customers that is not in exchange for a distinct good or service. Our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deferred revenue for amounts invoiced that are received in advance of the provisioning of services. In certain contracts with customers, we arrange for a third-party financing partner to provide financing to the customer. We collect upfront from the financing partner and the customer will provide installment payments to the financing partner. We record revenue in the amount received from the financing partner, net of any financing fees charged to the homeowner, which we consider to be a customer incentive. None of our contracts contain a significant financing component.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Sunder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earn revenue from contracts sold to customers for solar installations performed by third-party installation companies. We recognize revenue at a point in time when Permission to Operate (“PTO”) is complete. We act as an agent in these arrangements and record revenue on a net basis. We do not have significant financing components in our contracts. We do not provide warranty services and do not record a warranty reserve.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contracts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we transfer control of the product to the customer, which is generally upon installation.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internal sales teams and third-party vendors who source residential customer contracts for the sale of solar energy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relates to interest expense on the issuance of debt and convertible notes and the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net consists of changes in the fair value of our derivative liabilities in connection with our convertible notes and changes in the fair value of common stock warrant liabilities, forward purchase agreements, and SAFE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primarily consists of income taxes in certain jurisdictions in which we conduct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Critical Accounting Estimates” and our consolidated financial statements and related notes included in our Annual Report on Form 10-K for the fiscal year ended December 29, 2024 for accounting policies and related estimates we believe are the most critical to understanding our consolidated financial statements, financial condition and results of operations and which require complex management judgment and assumptions, or involve uncertainties. These critical accounting estimates include revenue recognition, accounting and accounting for business combinations. There have been no changes to our critical accounting estimates or their application since the date of our Annual Report on Form 10-K for the fiscal year ended December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derived the following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Thirteen-weeks ended September 28, 2025 compared to the thirteen weeks ended September 29,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from continuing operations for the thirteen weeks ended September 28, 2025, and the thirteen weeks ended September 29,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70,005</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37,965</w:t>
            </w:r>
          </w:p>
        </w:tc>
        <w:tc>
          <w:tcPr>
            <w:tcW w:w="22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8,693</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7,534</w:t>
            </w:r>
          </w:p>
        </w:tc>
        <w:tc>
          <w:tcPr>
            <w:tcW w:w="22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7,270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6,467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21,483</w:t>
            </w:r>
          </w:p>
        </w:tc>
        <w:tc>
          <w:tcPr>
            <w:tcW w:w="22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18,450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5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w:t>
            </w:r>
          </w:p>
        </w:tc>
        <w:tc>
          <w:tcPr>
            <w:tcW w:w="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3"/>
        </w:trPr>
        <w:tc>
          <w:tcPr>
            <w:tcW w:w="570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(3,444)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(29,970)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26,526</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(8,104)</w:t>
            </w:r>
          </w:p>
        </w:tc>
        <w:tc>
          <w:tcPr>
            <w:tcW w:w="2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(2,338)</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(5,766)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(4,256)</w:t>
            </w:r>
          </w:p>
        </w:tc>
        <w:tc>
          <w:tcPr>
            <w:tcW w:w="2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(65,684)</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19,948</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62,154</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line="20" w:lineRule="exact"/>
              <w:rPr>
                <w:sz w:val="1"/>
                <w:szCs w:val="1"/>
                <w:color w:val="auto"/>
              </w:rPr>
            </w:pPr>
          </w:p>
        </w:tc>
      </w:tr>
      <w:tr>
        <w:trPr>
          <w:trHeight w:val="250"/>
        </w:trPr>
        <w:tc>
          <w:tcPr>
            <w:tcW w:w="570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80" w:type="dxa"/>
            <w:vAlign w:val="bottom"/>
            <w:tcBorders>
              <w:right w:val="single" w:sz="8" w:color="CCEEFF"/>
            </w:tcBorders>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320" w:type="dxa"/>
            <w:vAlign w:val="bottom"/>
            <w:tcBorders>
              <w:right w:val="single" w:sz="8" w:color="CCEEFF"/>
            </w:tcBorders>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62,154</w:t>
            </w:r>
          </w:p>
        </w:tc>
        <w:tc>
          <w:tcPr>
            <w:tcW w:w="13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is not meaningful.</w:t>
      </w:r>
    </w:p>
    <w:p>
      <w:pPr>
        <w:spacing w:after="0" w:line="225" w:lineRule="exact"/>
        <w:rPr>
          <w:sz w:val="20"/>
          <w:szCs w:val="20"/>
          <w:color w:val="auto"/>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issuance costs to related party of $1.8 million and $1.5 million in the thirteen-weeks ended September 28, 2025 and September 29, 2024,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left="340" w:hanging="332"/>
        <w:spacing w:after="0" w:line="210"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loss of $3.0 million on issuance of derivative liability with a related party in the thirteen week period ended September 29, 2024. Includes expense of $0.3 million and $22.8 million due to the change in the fair value of derivative liabilities with related parties in the thirteen weeks ended September 28, 2025 and September 29, 2024, respectively. Refer to Note 9 – Borrowings and Derivative Liabilities for details.</w:t>
      </w:r>
    </w:p>
    <w:p>
      <w:pPr>
        <w:spacing w:after="0" w:line="20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Other expense, net includes related party transactions of $2.8 million of income due to the change in the fair value of a forward purchase agreement, and $0.9 million of expense related to the change in fair value of a SAFE Agreement in the thirteen week period ended September 29,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types of services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27,116</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4,310</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64,469</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revenue increase is primarily attributed to the SunPower Acquisition in the fourth quarter of fiscal 2024. As a result, installations increased compared to the same period in the prior year by approximately 1,290 and 757 for Residential Solar Installation and New Homes Business reportable segments, respectively.</w:t>
      </w:r>
    </w:p>
    <w:p>
      <w:pPr>
        <w:sectPr>
          <w:pgSz w:w="11900" w:h="16838" w:orient="portrait"/>
          <w:cols w:equalWidth="0" w:num="1">
            <w:col w:w="11240"/>
          </w:cols>
          <w:pgMar w:left="320" w:top="877" w:right="33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Solar Installation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Homes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change is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20" w:type="dxa"/>
            <w:vAlign w:val="bottom"/>
          </w:tcPr>
          <w:p>
            <w:pPr>
              <w:spacing w:after="0"/>
              <w:rPr>
                <w:sz w:val="21"/>
                <w:szCs w:val="21"/>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20,984</w:t>
            </w:r>
          </w:p>
        </w:tc>
        <w:tc>
          <w:tcPr>
            <w:tcW w:w="280" w:type="dxa"/>
            <w:vAlign w:val="bottom"/>
          </w:tcPr>
          <w:p>
            <w:pPr>
              <w:spacing w:after="0"/>
              <w:rPr>
                <w:sz w:val="17"/>
                <w:szCs w:val="17"/>
                <w:color w:val="auto"/>
              </w:rPr>
            </w:pPr>
          </w:p>
        </w:tc>
        <w:tc>
          <w:tcPr>
            <w:tcW w:w="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8,693</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12,291</w:t>
            </w:r>
          </w:p>
        </w:tc>
        <w:tc>
          <w:tcPr>
            <w:tcW w:w="220" w:type="dxa"/>
            <w:vAlign w:val="bottom"/>
            <w:gridSpan w:val="2"/>
          </w:tcPr>
          <w:p>
            <w:pPr>
              <w:spacing w:after="0"/>
              <w:rPr>
                <w:sz w:val="17"/>
                <w:szCs w:val="17"/>
                <w:color w:val="auto"/>
              </w:rPr>
            </w:pPr>
          </w:p>
        </w:tc>
        <w:tc>
          <w:tcPr>
            <w:tcW w:w="1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13,329</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13,329</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3,652</w:t>
            </w:r>
          </w:p>
        </w:tc>
        <w:tc>
          <w:tcPr>
            <w:tcW w:w="22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3,652</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29,272</w:t>
            </w: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-916940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-633730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-299720</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5120" w:space="720"/>
            <w:col w:w="5400"/>
          </w:cols>
          <w:pgMar w:left="320" w:top="877" w:right="339" w:bottom="1440" w:gutter="0" w:footer="0" w:header="0"/>
          <w:type w:val="continuous"/>
        </w:sectPr>
      </w:pPr>
    </w:p>
    <w:p>
      <w:pPr>
        <w:spacing w:after="0" w:line="3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increased attributed to the SunPower Acquisition as installations increased the over the same period in the prior year period by approximately 1,290 and 757 for Residential Solar Installation and New Homes Business reportable segments,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commissions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4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sales commissions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ind w:left="120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Residential Solar Installation and New Homes Business reportable segments increased due to the increase in revenue arising from the SunPower Acquisition in the fourth quarter of fiscal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sales and marketing</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5,374</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Residential Solar Installation reportable segment increased due to the SunPower Acquisition in the fourth quarter of fiscal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2"/>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594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9,243</w:t>
            </w:r>
          </w:p>
        </w:tc>
        <w:tc>
          <w:tcPr>
            <w:tcW w:w="20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Residential Solar Installation and New Homes Business reportable segments increased due to the SunPower Acquisition in the fourth quarter of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$8.1 million in the thirteen-weeks ended September 28, 2025. Interest expense and amortization of debt issuance costs primarily consisted of $2.5 million attributable to the July 2024 Notes, $5.2 million attributable to the September 2024 Notes, and the remainder attributable to interest expense on our other obligations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$2.3 million in the thirteen weeks ended September 29, 2024, and consisted of $1.3 million of interest expense relating to our July 2024 Notes and $0.5 million relating to the September 2024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for the thirteen weeks ended September 28, 2025, was $4.3 million. The main drivers consist of $2.0 million expense due to the remeasurement of the fair value of derivative liabilities associated with our 12% and 7% senior unsecured convertible notes and $2.4 million expense associated with the change in the fair value of our forward purchase agreements.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net in the thirteen-weeks ended September 29, 2024 was expense of $65.7 million and was comprised of $62.6 million related to the recognition of a derivative liability and subsequent change in fair value, $6.0 million of expense arising from changes in the fair value of warrants issued for our common stock, $3.8 million of other financing costs, $0.9 million expense arising from the change in the fair value of a SAFE Agreement and $0.1 million of other expenses, partially offset by $7.7 million of income related to changes in the fair value of our forward purchase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thirteen-weeks ended September 28, 2025 was $15.8 million, a $62.2 million decrease in our net loss as compared to a net loss from continuing operations of $78.0 million for the thirteen weeks ended September 29,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September 28, 2025 compared to the thirty-nine weeks ended September 29, 2024</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from continuing operations for the thirty-nine weeks ended September 28, 2025, and the thirty-nine weeks ended September 29,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126,970</w:t>
            </w:r>
          </w:p>
        </w:tc>
        <w:tc>
          <w:tcPr>
            <w:tcW w:w="24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21,834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105,136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24,273</w:t>
            </w:r>
          </w:p>
        </w:tc>
        <w:tc>
          <w:tcPr>
            <w:tcW w:w="24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11,691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12,582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21,764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18,002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52,382</w:t>
            </w:r>
          </w:p>
        </w:tc>
        <w:tc>
          <w:tcPr>
            <w:tcW w:w="24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29,789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22,593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(47,008</w:t>
            </w:r>
          </w:p>
        </w:tc>
        <w:tc>
          <w:tcPr>
            <w:tcW w:w="340" w:type="dxa"/>
            <w:vAlign w:val="bottom"/>
            <w:tcBorders>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(41,888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(23,258)</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(8,230)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(15,028)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56"/>
        </w:trPr>
        <w:tc>
          <w:tcPr>
            <w:tcW w:w="57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(66,234)</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64,510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19,948</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71,323</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line="20" w:lineRule="exact"/>
              <w:rPr>
                <w:sz w:val="1"/>
                <w:szCs w:val="1"/>
                <w:color w:val="auto"/>
              </w:rPr>
            </w:pPr>
          </w:p>
        </w:tc>
      </w:tr>
      <w:tr>
        <w:trPr>
          <w:trHeight w:val="250"/>
        </w:trPr>
        <w:tc>
          <w:tcPr>
            <w:tcW w:w="57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3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71,334</w:t>
            </w:r>
          </w:p>
        </w:tc>
        <w:tc>
          <w:tcPr>
            <w:tcW w:w="13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is not meaningful.</w:t>
      </w:r>
    </w:p>
    <w:p>
      <w:pPr>
        <w:spacing w:after="0" w:line="225" w:lineRule="exact"/>
        <w:rPr>
          <w:sz w:val="20"/>
          <w:szCs w:val="20"/>
          <w:color w:val="auto"/>
        </w:rPr>
      </w:pPr>
    </w:p>
    <w:p>
      <w:pPr>
        <w:ind w:left="34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issuance costs to related parties of $5.4 million and $5.6 million in the thirty-nine week periods ended September 28, 2025 and September 29, 2024, respectively.</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loss of $3.0 million on issuance of derivative liability with a related party in the thirty-nine week period ended September 29, 2024. Includes a gain of $1.8 million and a loss of $22.8 million due to the change in the fair value of derivative liabilities with related parties in the thirty-nine week periods ended September 28, 2025 and September 29, 2024, respectively. Refer to Note 9 – Borrowings and Derivative Liabilities for details.</w:t>
      </w:r>
    </w:p>
    <w:p>
      <w:pPr>
        <w:spacing w:after="0" w:line="199" w:lineRule="exact"/>
        <w:rPr>
          <w:rFonts w:ascii="Times New Roman" w:cs="Times New Roman" w:eastAsia="Times New Roman" w:hAnsi="Times New Roman"/>
          <w:sz w:val="30"/>
          <w:szCs w:val="30"/>
          <w:color w:val="auto"/>
          <w:vertAlign w:val="superscript"/>
        </w:rPr>
      </w:pPr>
    </w:p>
    <w:p>
      <w:pPr>
        <w:ind w:left="340" w:right="20"/>
        <w:spacing w:after="0" w:line="2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Also includes $0.1 million of other income, net due to a change in the fair value of a forward purchase agreement with a related party in the thirty-nine week period ended September 28, 2025.</w:t>
      </w:r>
    </w:p>
    <w:p>
      <w:pPr>
        <w:spacing w:after="0" w:line="161" w:lineRule="exact"/>
        <w:rPr>
          <w:rFonts w:ascii="Times New Roman" w:cs="Times New Roman" w:eastAsia="Times New Roman" w:hAnsi="Times New Roman"/>
          <w:sz w:val="30"/>
          <w:szCs w:val="30"/>
          <w:color w:val="auto"/>
          <w:vertAlign w:val="superscript"/>
        </w:rPr>
      </w:pPr>
    </w:p>
    <w:p>
      <w:pPr>
        <w:jc w:val="both"/>
        <w:ind w:left="340"/>
        <w:spacing w:after="0" w:line="266"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expense, net includes related party transactions of $1.0 million of income due to the change in the fair value of a forward purchase agreement, $1.3 million loss on the conversion of SAFE Agreements, $0.9 million of expense related to the change in fair value of a SAFE Agreement and a $2.9 million gain due to the change in the fair value of the Carlyle warrants in the thirty-nine week period ended September 29,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types of services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94,029</w:t>
            </w:r>
          </w:p>
        </w:tc>
        <w:tc>
          <w:tcPr>
            <w:tcW w:w="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101,862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101,862</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4,310</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220,269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200,201</w:t>
            </w:r>
          </w:p>
        </w:tc>
        <w:tc>
          <w:tcPr>
            <w:tcW w:w="2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revenues is primarily attributed to the SunPower Acquisition. As a result, installations increased compared to the same period in the prior year by 3,067 and 4,859 for Residential Solar Installation and New Homes Business reportable segments, respectively.</w:t>
      </w:r>
    </w:p>
    <w:p>
      <w:pPr>
        <w:sectPr>
          <w:pgSz w:w="11900" w:h="16838" w:orient="portrait"/>
          <w:cols w:equalWidth="0" w:num="1">
            <w:col w:w="11240"/>
          </w:cols>
          <w:pgMar w:left="320" w:top="875" w:right="3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Solar Installation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Homes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change is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26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67,388</w:t>
            </w:r>
          </w:p>
        </w:tc>
        <w:tc>
          <w:tcPr>
            <w:tcW w:w="280" w:type="dxa"/>
            <w:vAlign w:val="bottom"/>
          </w:tcPr>
          <w:p>
            <w:pPr>
              <w:spacing w:after="0"/>
              <w:rPr>
                <w:sz w:val="17"/>
                <w:szCs w:val="17"/>
                <w:color w:val="auto"/>
              </w:rPr>
            </w:pPr>
          </w:p>
        </w:tc>
        <w:tc>
          <w:tcPr>
            <w:tcW w:w="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21,834</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45,554</w:t>
            </w:r>
          </w:p>
        </w:tc>
        <w:tc>
          <w:tcPr>
            <w:tcW w:w="220" w:type="dxa"/>
            <w:vAlign w:val="bottom"/>
            <w:gridSpan w:val="2"/>
          </w:tcPr>
          <w:p>
            <w:pPr>
              <w:spacing w:after="0"/>
              <w:rPr>
                <w:sz w:val="17"/>
                <w:szCs w:val="17"/>
                <w:color w:val="auto"/>
              </w:rPr>
            </w:pPr>
          </w:p>
        </w:tc>
        <w:tc>
          <w:tcPr>
            <w:tcW w:w="1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55,930</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55,930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3,652</w:t>
            </w:r>
          </w:p>
        </w:tc>
        <w:tc>
          <w:tcPr>
            <w:tcW w:w="22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3,652</w:t>
            </w: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126,970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105,136</w:t>
            </w:r>
          </w:p>
        </w:tc>
        <w:tc>
          <w:tcPr>
            <w:tcW w:w="2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-916305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-633730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-299720</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5120" w:space="720"/>
            <w:col w:w="5400"/>
          </w:cols>
          <w:pgMar w:left="320" w:top="875" w:right="339" w:bottom="1440" w:gutter="0" w:footer="0" w:header="0"/>
          <w:type w:val="continuous"/>
        </w:sectPr>
      </w:pPr>
    </w:p>
    <w:p>
      <w:pPr>
        <w:spacing w:after="0" w:line="3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increased primarily attributed to the SunPower Acquisition. As a result, installations increased compared to the same period in the prior year by approximately 3,067 and 4,859 for Residential Solar Installation and New Homes Business reportable segments,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commissions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sales commissions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24,273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12,582</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Residential Solar Installation and New Homes Business reportable segments increased due to the increase in revenue arising from the SunPower Acquisition in the fourth quarter of fiscal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2,173</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sales and marketing</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21,764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18,002</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Residential Solar Installation reportable segment increased due to the SunPower Acquisition in the fourth quarter of fiscal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19,600</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52,382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22,593</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Residential Solar Installation and New Homes Business reportable segments increased due to the SunPower Acquisition in the fourth quarter of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$23.3 million in the thirty-nine weeks ended September 28, 2025. Interest expense and amortization of debt issuance costs primarily consisted of $7.2 million attributable to the July 2024 Notes and $15.3 million attributable to the September 2024 Notes, with the remainder attributable to interest expense on our other obligations.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$8.2 million in the thirty-nine weeks ended September 29, 2024, and consisted of $1.8 million of interest expense relating to our July 2024 Notes, $0.5 million relating to our September 2024 Notes, $3.9 million relating to our obligation to Carlyle, $1.0 million relating to our secured credit line, $0.7 million related to our 2018 Bridge Loan and $0.3 million attributable to the $5.0 million revolver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net for the thirty-nine weeks ended September 28, 2025, was $1.7 million. The main drivers consisted of $3.1 million of expense associated with the change in the fair value of our public, private placement and working capital warrants which are accounted for as liabilities and $0.8 million arising from the change in the fair value of our forward purchase agreements. These expenses were partially offset by $1.6 of gains from changes in the fair value of derivative liabilities associated with our 12% and 7% senior unsecured convertible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other expense, net of $66.2 million, in the thirty-nine weeks ended September 29, 2024, which was comprised of $62.6 million related to the recognition of a derivative liability and subsequent change in fair value, $3.8 million of other financing costs, $2.1 million of expense incurred on the conversion and changes in the fair value our SAFE Agreements, $2.1 million of expense arising from changes in the fair value of warrants issued for our common stock and $0.5 million of other expenses partially offset by income of $4.9 million related to changes in the fair value of our forward purchase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thirty-nine weeks ended September 28, 2025 was $30.1 million, as compared to a net loss from continuing operations of $101.4 million in the thirty-nine week period ended September 29,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losses and negative cash flows from operations. We had a net loss from continuing operations of $30.1 million in the thirty-nine week period ended September 28, 2025. As of September 28, 2025, we had an accumulated deficit of $442.6 million, total debt, including derivative liabilities of $204.3 million, and cash and cash equivalents (excluding restricted cash) of $5.1 million which was held for working capital expenditures. We believe our operating losses and negative operating cash flows will continue into the foreseeable future.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cash required to fund our operations, to meet our working capital requirements and to fund our capital expenditures.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equity securities, debt, issuance of convertible notes, cash generated from operations and the proceeds from the Mergers. As a result of not timely filing our Annual Report on Form 10-K for the fiscal year ended December 29, 2024,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may significantly impair our ability to raise the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warrants for shares of our common stock. The aggregate amount of proceeds could be up to $257.2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 Warrants may only be exercised for cash provided there is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of 1933, as amended (“Securities Act”). We expect to use any such proceeds for general corporate and working capital purposes, which would increase our liquidity. As of December 18, 2025, the price of our common stock was $1.74 per share. The weighted average exercise price of the warrants was $10.02 as of September 28, 2025.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12.0% unsecured convertible senior notes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2024, we issued $46.0 million of senior unsecured convertible notes (“July 2024 Notes”) to various lenders in connection with the exchange agreement transactions summarized below. Of the July 2024 Notes, $18.0 million were issued in exchange for the cancellation of existing indebtedness, which amount included $10.0 million issued to CRSEF Solis Holdings, LLC and its affiliates (“Carlyle”), identified by us as a related party at the transaction date. During the thirteen week period ended June 29, 2025, Carlyle ceased to be a significant shareholder and therefore is no longer deemed a related party with the Company. The July 2024 Notes also include $18.0 million initially issued to a related party affiliated with the Company’s CEO, Rodgers Massey Revocable Living Trust (“Rodgers Revocable Trust”). The July 2024 Notes bear interest at 12.0% per annum and mature on July 1, 2029. The interest rate increases by 3% in the event of default. Interest is payable semiannually in arrears on January 1 and July 1. The July 2024 Notes are convertible into shares of our common stock at the option of the holder at a conversion rate initially equal to 595.2381 shares of common stock per $1,000 principal amount of the July notes. The July 2024 Notes may be declared due and payable at the option of the holder upon an event of default and upon a qualifying change of control event.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10, 2025, the Company issued a convertible promissory note (the “July 2025 Note”) to the Rodgers Revocable Trust in exchange for $5.0 million of proceeds received by the Company. The July 2025 Note bears the same features as the July 2024 Notes except for the conversion rate which is initially equal to 558.6592 shares of common stock per $1,000 principal amount due under the July 2025 Note. The conversion rate is subject to adjustment from time to time pursuant to the terms of the July 2025 Note. The July 2025 Note matures on July 1, 2029.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 unsecured convertible senior notes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2024, we issued $66.8 million of senior unsecured convertible notes to various lenders (the “September 2024 Notes”), $8.0 million of which were issued to a related party. In December 2024, we issued additional September 2024 Notes for cash proceeds of $13.0 million, and we issued an additional $0.2 million of the September 2024 Notes in the thirteen week period ended March 30, 2025. The September 2024 Notes bear interest at 7.0% per annum and mature on July 1, 2029. Interest is payable semiannually in arrears on January 1 and July 1.The September 2024 Notes are initially convertible into 467.8363 shares of common stock per $1,000 principal amount of September 2024 Notes. The September 2024 Notes may be declared due and payable at the option of the holder upon an event of default and upon a qualifying change of control event.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September 2025, we issued an additional $22.0 million of the 7.0% unsecured senior convertible notes to various creditors (“September 2025 Notes”) for net proceeds of $19.6 million which was used to fund our acquisition of Sunder.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Seller Note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September 2025 Notes to finance the acquisition of Sunder, we also issued a note to the seller of Sunder (“Seller Note”) on September 24, 2025. 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our failure to pay the Seller Note when due,</w:t>
      </w:r>
    </w:p>
    <w:p>
      <w:pPr>
        <w:spacing w:after="0" w:line="5" w:lineRule="exact"/>
        <w:rPr>
          <w:sz w:val="20"/>
          <w:szCs w:val="20"/>
          <w:color w:val="auto"/>
        </w:rPr>
      </w:pPr>
    </w:p>
    <w:p>
      <w:pPr>
        <w:jc w:val="both"/>
        <w:ind w:firstLine="8"/>
        <w:spacing w:after="0" w:line="255" w:lineRule="auto"/>
        <w:tabs>
          <w:tab w:leader="none" w:pos="2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voluntary or involuntary bankruptcy, (c) our liquidation or dissolution, (d) a change of control of the Company, (e) our material breach of the covenants applicable to us under the Seller Note, subject to applicable cure periods, and (f) if any of our representations or warranties made in the Seller Note were untrue in any material respect when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with related party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fixed principal balance of $1.5 million outstanding as of September 28, 2025, due to the Rodgers Revocable Trust, a related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Special Opportunity Fund I, LP (“MSOF”), Meteora Capital Partners, LP (“MCP”) and Meteora Select Trading Opportunities Master, LP (“MSTO”) (with MSOF, MCP, and MSTO collectively as “Meteora”); (ii) Sandia Investment Management LP (“Sandia”) , and (iii) Polar Multi-Strategy Master Fund (“Polar”) (each individually, a “Seller”, and together, the “FPA Sellers”).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18, 2023, we and the FPA Sellers entered into separate amendments to the FPA (the “Amendments”). The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we entered into and executed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14, 2024, we entered into and executed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17, 2024, we entered into an amendment to the FPA with Polar pursuant to which we and Polar agreed that Section 2 (Most Favored Nation) of the FPA is applicable to all 2,450,000 shares subject to the FPA.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15, 2025, we and Meteora entered into an amendment to the FPA between Meteora and us, on July 16, 2025, we and Sandia entered into an amendment to the FPA between Sandia and us, and on August 1, 2025, we and Polar entered in an amendment to the FPA between Polar and us (collectively, the “FPA Amendments”).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FPA Amendments extend the valuation date applicable to the Forward Purchase Agreements (the “Valuation Date”) to the earliest to occur of</w:t>
      </w:r>
    </w:p>
    <w:p>
      <w:pPr>
        <w:spacing w:after="0" w:line="27" w:lineRule="exact"/>
        <w:rPr>
          <w:sz w:val="20"/>
          <w:szCs w:val="20"/>
          <w:color w:val="auto"/>
        </w:rPr>
      </w:pPr>
    </w:p>
    <w:p>
      <w:pPr>
        <w:jc w:val="both"/>
        <w:ind w:firstLine="8"/>
        <w:spacing w:after="0" w:line="253"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our option, in cash or shares of the our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we may owe to the applicable seller via the Settlement Amount Adjustment, and notwithstanding anything to the contrary, the applicable seller shall not be required to remit the Settlement Amount to us or return any portion of the Prepayment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 for future equity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2024, we entered into a SAFE (“First SAFE”) with the Rodgers Massey Freedom and Free Markets Charitable Trust (the “Purchaser”) in connection with the Purchaser investing $1.5 million in the Company. The First SAFE is convertible into shares of our common stock, par value $0.0001 per share, upon the initial closing of a bona fide transaction or series of transactions with the principal purpose of raising capital, pursuant to which we issue and sell common stock at a fixed valuation (an “Equity Financing”), at a per share conversion price which is equal to the lower of (i) (a) $53.54 million divided by (b) our capitalization immediately prior to such Equity Financing (such conversion price, the “SAFE Price”), and (ii) 80% of the price per share of our common stock sold in an Equity Financing transaction. If we consummate a change of control prior to the termination of the First SAFE, the Purchaser will be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(“First SAFE Amendment”) that converted the First SAFE investment of $1.5 million into 4,166,667 shares of our common stock based on a conversion price of $0.36 per share, defined in the First SAFE Amendment as the product of (i) $0.45, the closing price of our common stock on April 19, 2024, multiplied by (ii) 80%. Upon conversion, we recorded a debit to SAFE Agreement of $1.5 million, a credit to Additional paid-in-capital of $1.9 million and recognized expense of $0.4 million within Other expense, net in our results of operations for that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2024, we entered into a second SAFE (the “Second SAFE”) with the Purchaser, in connection with the Purchaser investing $3.5 million in the Company. The Second SAFE did not accrue interest. The Second SAFE was initially convertible into shares of our common stock upon the initial closing of an Equity Financing transaction at a per share conversion price which was equal to the lower of (i) the Second SAFE Price, and (ii) 80% of the price per share of our common stock sold in such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per share price of our common stock on February 15, 2024, (ii) 80%.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(“Second SAFE Amendment”) that converted the Second SAFE investment of $3.5 million into 9,722,222 shares of our common stock based on a conversion price of $0.36 per share, defined in the Second SAFE Amendment as the product of (i) $0.45, the closing price of our common stock on April 19, 2024, multiplied by (ii) 80%. Upon conversion, we recorded a debit to SAFE Agreement of $3.5 million, a credit to Additional paid-in-capital of $4.4 million and recognized expense of $0.9 million within Other expense, net in our results of operations for that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13, 2024, we entered into a third SAFE (the “Third SAFE”) with the Purchaser, in connection with the Purchaser investing $1.0 million in the Company. The Third SAFE is convertible into shares of our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our common stock sold in such Equity Financing transaction.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 Given that the SAFE could be settled in cash or a variable number of shares, we have accounted for the instrument as a liability at its fair value.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September 28, 2025, we estimated the fair value of the Third SAFE at $0.5 million based upon the assumptions disclosed in Note 4 – Fair Value Measurements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thirty-nine weeks ended September 28, 2025 and September 29,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thirty-nine week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September 28, 2025 and September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94"/>
        </w:trPr>
        <w:tc>
          <w:tcPr>
            <w:tcW w:w="52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Pr>
          <w:p>
            <w:pPr>
              <w:spacing w:after="0"/>
              <w:rPr>
                <w:sz w:val="16"/>
                <w:szCs w:val="16"/>
                <w:color w:val="auto"/>
              </w:rPr>
            </w:pPr>
          </w:p>
        </w:tc>
      </w:tr>
      <w:tr>
        <w:trPr>
          <w:trHeight w:val="245"/>
        </w:trPr>
        <w:tc>
          <w:tcPr>
            <w:tcW w:w="524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107,060</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76,927</w:t>
            </w:r>
          </w:p>
        </w:tc>
      </w:tr>
      <w:tr>
        <w:trPr>
          <w:trHeight w:val="637"/>
        </w:trPr>
        <w:tc>
          <w:tcPr>
            <w:tcW w:w="5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$13.4 million in the thirty-nine weeks ended September 28, 2025 was due to net loss from continuing operations of $30.1 million offset by $33.8 million of favorable noncash adjustments and $17.1 million of cash outflows from changes in operating assets and liabilities. Significant movement in non-cash adjustments consisted of favorable non-cash adjustments of $14.3 million of amortization of debt issuance costs, $8.2 million of stock-based compensation, $4.3 million of depreciation and amortization, $3.1 million for the change in the fair value of warrant liabilities, $4.2 million for the provision of credit losses, $0.8 million of non-cash lease expense and $0.8 million change in the fair value of forward purchase agreements, partially offset by $1.6 million net gain on the change in the fair value of derivative liabilities and $0.3 million of other items. Significant movement attributable to net cash outflows from changes in operating assets of $17.1 million consisted of a $32.7 million increase in accounts receivable, a $12.3 million increase in prepaid expenses and other current assets and noncurrent assets, a $6.4 million decrease in accrued expenses and other liabilities, a $10.6 million decrease in contract liabilities, and a $0.9 million decrease in operating lease obligations, partially offset by a $34.1 million decrease in inventories and a $11.7 million increase in accounts payable.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$29.1 million for the thirty-nine weeks ended September 29, 2024 was primarily due to the net loss from continuing operations, net of tax of $101.4 million, partially offset by non-cash adjustments of $70.8 million and net cash inflows of $1.5 million from changes in our operating assets and liabilities. Non-cash adjustments in our operating results consisted of $62.6 million arising from the issuance and subsequent change in fair value of derivative liabilities in connection with our convertible notes issued and outstanding, $5.4 million of expense in connection with warrants issued for vendor services, $3.1 million of expense related to changes in provision for credit losses, $4.1 million of stock-based compensation expense, $3.7 million of loss on impairment of assets, $3.9 million of expense in accretion of interest attributable to the CS Solis debt, $3.8 million of other noncash financing costs, $1.9 million of non-cash interest expense, $1.3 million of loss arising from the conversion of two SAFE Agreements to shares of our common stock, $1.0 million of depreciation and amortization, $0.9 million of expense related to changes in the fair value of the SAFE Agreements, $2.1 million of loss from the changes in the fair value of our warrant liabilities, $1.4 million amortization of debt issuance costs, $0.5 million of lease expense and $0.1 million provision for excess and obsolete inventory. These adjustments were partially offset by a $19.9 million gain on extinguishment of debt, $4.9 million of income related to changes in fair value of our forward purchase agreements. The main drivers of net cash inflows derived from the changes in operating assets and liabilities were related to a decrease in accounts receivable, net of $14.7 million and a decrease in inventories of $2.4 million, partially offset by a decrease in accounts payable of $8.5 million, an increase in prepaid and other current assets of $3.2 million, a decrease in contract liabilities of $1.4 million, a decrease in accrued expenses and other liabilities of $1.6 million, and a decrease in operating lease liabilities of $0.9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of $20.7 million in the thirty-nine week period is attributable to the cash paid for the acquisition of Sunder. Net cash used of $1.0 million for the thirty-nine September 29, 2024 is attributable to additions to internal-use-software.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$25.8 million for the thirty-nine weeks ended September 28, 2025 and consisted of $1.7 million in proceeds from the issuance of shares of our common stock, $5.0 million received from the Rodgers Revocable Trust, a related party in exchange for the July 2025 Note, $19.8 million received in exchange for 7% senior unsecured convertible notes, and $0.8 million in proceeds from the exercise of stock options and warrants in exchange for the issuance of shares of our common stock, partially offset by $1.5 million of finance leases payments.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$107.1 million for the thirty-nine weeks ended September 29, 2024 was primarily due to $94.7 million in net proceeds from the issuance of convertible notes, inclusive of $26.0 million from a related party, $6.1 million in net proceeds from the issuance of shares of our common stock from White Lion and $6.0 million in net proceeds from the issuance of SAFE Agreements, and $0.6 million of proceeds from the exercise of common stock options, partially offset by $0.3 million repayment of notes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conducted an evaluation, under the supervision and with the participation of our Chief Executive Officer and Principal Financial Officer, of the effectiveness of the design and operation of our disclosure controls and procedures as defined in Rule 13a-15(e) and 15d-15(e) under the Securities Exchange Act of 1934 (the “Exchange Act”). Based on this evaluation, our Chief Executive Officer and Principal Financial Officer concluded that, as of September 28, 2025, such disclosure controls and procedures were not effective as a result of previously reported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24, 2025, we completed the Sunder acquisition. We are currently integrating Sunder into our overall internal control over the financial reporting process and, consistent with interpretive guidance issued by the staff of the Securities and Exchange Commission, we are excluding the business from our evaluation of disclosure controls and procedures as of September 28, 2025. In accordance with such guidance, an assessment recent business combinations may be omitted from management’s assessment of internal control over financial reporting for one year following the acquisition. This acquisition constituted approximately 3% of our consolidated total assets and approximately 2% of our consolidated revenues were generated from the operations acquired from Sunder as of and for the thirty-nine week period ended September 28, 2025.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there were no changes to previously issued financial statements. Our Chief Executive Officer and Principal Financial Officer believe that the interim unaudited condensed consolidated financial statements included in this Quarterly Report on Form 10-Q fairly present, in all material respects, our financial condition, results of operations and cash flows as of and for the periods presented in accordance with U.S. GAAP.</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are as follows: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maintain controls to execute the criteria established in the COSO Framework for (i) the control environment, (ii) risk assessment, (iii) control activities, (iv) information and communication, and (v) monitoring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material weaknesses, either individually or in the aggregate.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The Company did not maintain an effective control environment and identified the following material weakness: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has developed and commenced a remediation plan to address the material weakness and strengthen the Company’s control environment. The plan includes implementing comprehensive internal control policies and formal IT governance procedures, including change management protocols for financially relevant IT systems and deploying tools to automate control activities and track IT changes impacting financial reporting.</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is committed to completing these remediation efforts as promptly as possible. Until these measures are fully implemented and operating effectively, the material weakness will remain. The Company will continue to evaluate the effectiveness of its internal controls and provide updates in future filings as required under SEC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This control environment material weakness also contributed to the other material weaknesses identified below.</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The Company did not design and implement an effective risk assessment and identified a material weakness relating to: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identifying, assessing, and communicating appropriate objectives, (ii) identifying and analyzing risks to achieve these objectives, and (iii) identifying and assessing changes in the business that could impact the system of internal controls.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The Company did not design and implement effective control activities and identified the following material weakness:</w:t>
      </w:r>
    </w:p>
    <w:p>
      <w:pPr>
        <w:spacing w:after="0" w:line="227" w:lineRule="exact"/>
        <w:rPr>
          <w:sz w:val="20"/>
          <w:szCs w:val="20"/>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2024. Control deficiencies, which aggregate to a material weakness, occurred within substantially all areas of financial reporting.</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The Company did not design and implement effective information and communication activities and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material weaknesses: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adequate processes and controls for communicating information among the accounting, finance, operations, and legal departments, necessary to support the proper functioning of internal controls.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design and maintain effective general information technology controls over logical access and program change management for key information systems supporting the financial reporting process. Specifically, management did not maintain effective controls to ensure proper segregation of duties related to user administration and other privileged access functions, and in implementing program changes in information systems. The Company also lacked adequate processes and controls for communication among the accounting, finance, operations, and legal departments necessary to support the proper functioning of internal controls.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address these issues, management has established a dedicated cross-functional remediation team comprising members from IT, Finance, and Internal Audit. This team has been tasked with strengthening information technology general controls, improving segregation of duties, and implementing structured communication protocols between departments. The team is also developing enhanced management procedures and monitoring mechanisms to ensure sustainable compliance and effective internal control over financial reporting.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The Company did not design and implement effective monitoring activities and identified the following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the Company’s financial statements. If we fail to adequately remediate these material weaknesses, there could be material misstatements that may not be prevented or detected.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Remediation Plan and Status. </w:t>
      </w:r>
      <w:r>
        <w:rPr>
          <w:rFonts w:ascii="Times New Roman" w:cs="Times New Roman" w:eastAsia="Times New Roman" w:hAnsi="Times New Roman"/>
          <w:sz w:val="18"/>
          <w:szCs w:val="18"/>
          <w:color w:val="auto"/>
        </w:rPr>
        <w:t>As previously described in Part II, Item 9A of our Annual Report on Form 10-K for the fiscal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2024, management is in the process of implementing its remediation plan. The Company is committed to remediating the material weaknesses identified above, fostering continuous improvement in internal controls and enhancing its overall internal control environment. Since identifying the above material weaknesses, the Company has begun the process of implementing the remediation activities described below. The Company believes that these activities, when fully implemented, should remediate the identified material weaknesses and strengthen its internal control over financial reporting. These remediation efforts remain ongoing, and additional remediation initiatives may be necessary.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as management continues to monitor the effectiveness of our internal control over financial reporting, the Company will continue to perform additional procedures prescribed by management, including the use of certain manual mitigating control procedures and the employment of additional tools and resources deemed necessary, to ensure that our future consolidated financial statements are fairly stated in all material respects. The following planned remediation activities highlight the Company’s commitment to remediating the identified material weaknesses:</w:t>
      </w:r>
    </w:p>
    <w:p>
      <w:pPr>
        <w:spacing w:after="0" w:line="180" w:lineRule="exact"/>
        <w:rPr>
          <w:sz w:val="20"/>
          <w:szCs w:val="20"/>
          <w:color w:val="auto"/>
        </w:rPr>
      </w:pPr>
    </w:p>
    <w:p>
      <w:pPr>
        <w:jc w:val="both"/>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finance and accounting professionals with the appropriate level of experience and training necessary to develop, maintain and improve our accounting policies, procedures and internal controls, utilize third-party consultants and internal audit professionals to enhance the control environment, and continue to hire other qualified finance and accounting professionals.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continue to provide, training for employees regarding their responsibilities related to the performance or oversight of internal controls.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the importance of communication between the operations, accounting, and legal departments regarding key terms of, and changes or modifications to, customer, debt, equity, legal and other contracts by establishing controls requiring finance department approval of certain non-standard terms and agreements.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the implementation of a process to reevaluate, revise and improve our Sarbanes-Oxley compliance program, including governance, risk assessment, testing methodologies and corrective action. The Company plans to enhance our risk assessment procedures and conduct a comprehensive risk assessment.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continue to develop, internal control documentation over financial processes and related disclosures. The Company plans to continue to design and implement control activities to mitigate risks identified and test the operating effectiveness of such controls.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credit facilities and other agreements, or other material adverse effects on our business, reputation, results of operations, financial condition or liquidity.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weaknesses will not be considered remediated, however, until the applicable controls operate for a sufficient period of time, and management has concluded, through testing, that these controls are operating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the thirty-nine week period ended September 28, 2025, we integrated the internal control systems of SunPower Acquisition which we acquired in the fourth quarter of our prior fiscal year. This integration included the alignment of revenue recognition and expenses, consolidation, financial reporting and IT system controls.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Exchange Act Rule 13a-15(f)) that have occurred during the thirty-nine week period ended September 28, 2025, that have materially impacted, or are reasonably likely to materially impact,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expect that our Disclosure Controls will prevent all errors and all instances of fraud. Disclosure Controls, no matter how well conceived and operated, can provide only reasonable, not absolute, assurance that the objectives of the Disclosure Controls are met. Further, the design of Disclosure Controls must reflect the fact that there are resource constraints, and the benefits must be considered relative to their costs. Because of the inherent limitations in all Disclosure Controls, no evaluation of Disclosure Controls can provide absolute assurance that we have detected all our control deficiencies and instances of fraud, if any. The design of Disclosure Controls also is based partly 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with respect to legal proceedings is set forth under Note 12 – Commitments and Contingencies, in the accompanying unaudited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number of risks that if realized could adversely affect our business, strategies, prospects, financial condition, results of operations and cash flows. The full set of risk factors are set forth in Item 1A. “Risk Factors” in our Annual Report on Form 10-K filed on April 30, 2025 and in our Quarterly Report on Form 10-Q for the period ended March 30, 2025 filed on May 19, 2025. Please carefully consider all of the information in this Quarterly Report, our Annual Report on Form 10-K filed on April 30, 2025 and our Quarterly Report on Form 10-Q filed on May 19, 2025 (including, without limitation, the full set of risks set forth in Item 1A. “Risk Factors” of our Annual Report on Form 10-K filed on April 30, 2025, and the disclosures in this Quarterly Report included in Note 1(b) – Liquidity and going concern – of the notes to the financial statements contained in this Quarterly Report and “Management’s Discussion and Analysis of Financial Condition and Results of Operations – Liquidity and capital resources” section of this Quarterly Report) and in our other filings with the Securities and Exchange Commission before making an investment decision regarding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agreed to pay Siemens $9.5 million spread across four payments to be made at the end of each calendar quarter during fiscal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64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17"/>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5320" w:type="dxa"/>
            <w:vAlign w:val="bottom"/>
            <w:tcBorders>
              <w:top w:val="single" w:sz="8" w:color="auto"/>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Business Combination Agreement, dated as of</w:t>
              </w:r>
            </w:hyperlink>
          </w:p>
        </w:tc>
        <w:tc>
          <w:tcPr>
            <w:tcW w:w="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31, 2023</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May 26, 2023, by and among Freedom Acquisition I Corp., Jupiter</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Merger Sub I Corp., Jupiter Merger Sub II LLC, Complete Solar</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Holding Corporation, and The Solaria Corporation</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Agreement and Plan of Merger, dated as of October 3, 2022, by and</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10, 2023</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between Complete Solar Holding Corporation, Complete Solar Midco,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LLC, Complete Solar Merger Sub, Inc., The Solaria Corporation, and</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Fortis Advisors LLC</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5"/>
                <w:szCs w:val="15"/>
                <w:color w:val="auto"/>
              </w:rPr>
            </w:pPr>
          </w:p>
        </w:tc>
        <w:tc>
          <w:tcPr>
            <w:tcW w:w="53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Asset Purchase Agreement dated September 19, 2023, by and among</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2023-09-21</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Complete Solaria, Inc., SolarCA, LLC, and Maxeon Solar Technologies,</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Ltd.</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Incorporation of Complete Solaria</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53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Bylaws of Complete Solaria</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Replacement Warrant</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Form of First Amendment to Replacement Warrant</w:t>
              </w:r>
            </w:hyperlink>
          </w:p>
        </w:tc>
        <w:tc>
          <w:tcPr>
            <w:tcW w:w="1700" w:type="dxa"/>
            <w:vAlign w:val="bottom"/>
            <w:tcBorders>
              <w:bottom w:val="single" w:sz="8" w:color="CCEEFF"/>
            </w:tcBorders>
            <w:gridSpan w:val="9"/>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526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Registration Rights Agreement, dated July 18,</w:t>
              </w:r>
            </w:hyperlink>
          </w:p>
        </w:tc>
        <w:tc>
          <w:tcPr>
            <w:tcW w:w="120" w:type="dxa"/>
            <w:vAlign w:val="bottom"/>
            <w:gridSpan w:val="2"/>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2023, by and among the Company and certain other stockholders party</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thereto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Warrant Agreement, dated February 25, 2021, by and between the</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2021-03-2</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Company and Continental Stock Transfer &amp; Trust Company, as warrant</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agent</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Indenture, dated September 16, 2024, between the Company and U.S.</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Bank Trust Company, National Association</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of 7.0% Convertible Senior Note due 2029</w:t>
              </w:r>
            </w:hyperlink>
          </w:p>
        </w:tc>
        <w:tc>
          <w:tcPr>
            <w:tcW w:w="1860" w:type="dxa"/>
            <w:vAlign w:val="bottom"/>
            <w:tcBorders>
              <w:bottom w:val="single" w:sz="8" w:color="CCEEFF"/>
            </w:tcBorders>
            <w:gridSpan w:val="12"/>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Exchange Agreement, dated July 1, 2024, among the Company and the</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2024-07-08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purchasers party thereto</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5"/>
                <w:szCs w:val="15"/>
                <w:color w:val="auto"/>
              </w:rPr>
            </w:pPr>
          </w:p>
        </w:tc>
        <w:tc>
          <w:tcPr>
            <w:tcW w:w="53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SAFE (2024)</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2024-02-16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Convertible Promissory Note dated July 10, 2025</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2025-07-16</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53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Amendment to OTC Equity Prepaid Forward Transaction</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2025-07-21</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tcPr>
          <w:p>
            <w:pPr>
              <w:spacing w:after="0"/>
              <w:rPr>
                <w:sz w:val="15"/>
                <w:szCs w:val="15"/>
                <w:color w:val="auto"/>
              </w:rPr>
            </w:pPr>
          </w:p>
        </w:tc>
        <w:tc>
          <w:tcPr>
            <w:tcW w:w="4760" w:type="dxa"/>
            <w:vAlign w:val="bottom"/>
            <w:tcBorders>
              <w:top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Fourth Amendment to OTC Equity Prepaid Forward Transaction</w:t>
              </w:r>
            </w:hyperlink>
          </w:p>
        </w:tc>
        <w:tc>
          <w:tcPr>
            <w:tcW w:w="620" w:type="dxa"/>
            <w:vAlign w:val="bottom"/>
            <w:tcBorders>
              <w:top w:val="single" w:sz="8" w:color="CCEEFF"/>
            </w:tcBorders>
            <w:gridSpan w:val="5"/>
          </w:tcPr>
          <w:p>
            <w:pPr>
              <w:spacing w:after="0"/>
              <w:rPr>
                <w:sz w:val="15"/>
                <w:szCs w:val="15"/>
                <w:color w:val="auto"/>
              </w:rPr>
            </w:pPr>
          </w:p>
        </w:tc>
        <w:tc>
          <w:tcPr>
            <w:tcW w:w="122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2025-07-21</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53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Fifth Amendment to OTC Equity Prepaid Forward Transaction</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2025-08-04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Membership Interest Purchase Agreement, dated September 21, 2025, by</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2025-09-22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900" w:type="dxa"/>
            <w:vAlign w:val="bottom"/>
            <w:gridSpan w:val="9"/>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and among the Company, Complete Solar, Inc., Sunder Energy LLC and</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Chicken Parm Pizza LLC</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Form of Seller Note</w:t>
              </w:r>
            </w:hyperlink>
          </w:p>
        </w:tc>
        <w:tc>
          <w:tcPr>
            <w:tcW w:w="3940" w:type="dxa"/>
            <w:vAlign w:val="bottom"/>
            <w:tcBorders>
              <w:bottom w:val="single" w:sz="8" w:color="CCEEFF"/>
            </w:tcBorders>
            <w:gridSpan w:val="21"/>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2025-09-22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September 2025 Note Purchase Agreement</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2025-09-22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920" w:type="dxa"/>
            <w:vAlign w:val="bottom"/>
            <w:tcBorders>
              <w:top w:val="single" w:sz="8" w:color="0000EE"/>
              <w:bottom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53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gridSpan w:val="2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5"/>
                <w:szCs w:val="15"/>
                <w:color w:val="auto"/>
              </w:rPr>
            </w:pPr>
          </w:p>
        </w:tc>
        <w:tc>
          <w:tcPr>
            <w:tcW w:w="53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1350,</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0000EE"/>
              <w:bottom w:val="single" w:sz="8" w:color="0000EE"/>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906 of the Sarbanes-Oxley Act of 2002.</w:t>
            </w: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526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1350,</w:t>
            </w:r>
          </w:p>
        </w:tc>
        <w:tc>
          <w:tcPr>
            <w:tcW w:w="12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8"/>
        </w:trPr>
        <w:tc>
          <w:tcPr>
            <w:tcW w:w="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5380" w:type="dxa"/>
            <w:vAlign w:val="bottom"/>
            <w:gridSpan w:val="2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unaudited condensed consolidated</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and  accompanying  notes  in  the  Condensed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4"/>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 and Supplemental Details</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5380" w:type="dxa"/>
            <w:vAlign w:val="bottom"/>
            <w:gridSpan w:val="25"/>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formatted in Inline XBRL and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included as Exhibit 101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19, 2025</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JEANNE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Jeanne Nguyen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Thurman J. Rodgers, certify that:</w:t>
      </w:r>
    </w:p>
    <w:p>
      <w:pPr>
        <w:spacing w:after="0" w:line="252"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SunPower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December 19, 2025</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8"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Jeanne Nguyen,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SunPower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December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JEANNE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Jeanne Nguyen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240"/>
          </w:cols>
          <w:pgMar w:left="320" w:top="10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SunPower Inc. (the “Company”) for the period ended September 28,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19, 2025</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OPERATING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SunPower Inc. (the “Company”) for the period ended September 28,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JEANNE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Jeanne Nguyen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Letter"/>
      <w:start w:val="25"/>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1)"/>
      <w:numFmt w:val="lowerRoman"/>
      <w:start w:val="2"/>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1)"/>
      <w:numFmt w:val="lowerRoman"/>
      <w:start w:val="1"/>
    </w:lvl>
  </w:abstractNum>
  <w:abstractNum w:abstractNumId="19">
    <w:nsid w:val="419AC241"/>
    <w:multiLevelType w:val="hybridMultilevel"/>
    <w:lvl w:ilvl="0">
      <w:lvlJc w:val="left"/>
      <w:lvlText w:val="(%1)"/>
      <w:numFmt w:val="lowerRoman"/>
      <w:start w:val="2"/>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2"/>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87" Type="http://schemas.openxmlformats.org/officeDocument/2006/relationships/hyperlink" Target="http://www.sec.gov/Archives/edgar/data/1838987/000119312523155921/d425844ds4a.htm#anxacov" TargetMode="External"/><Relationship Id="rId88" Type="http://schemas.openxmlformats.org/officeDocument/2006/relationships/hyperlink" Target="http://www.sec.gov/Archives/edgar/data/1838987/000119312523030704/d425844dex24.htm" TargetMode="External"/><Relationship Id="rId89" Type="http://schemas.openxmlformats.org/officeDocument/2006/relationships/hyperlink" Target="http://www.sec.gov/Archives/edgar/data/1838987/000119312523239699/d558159dex21.htm" TargetMode="External"/><Relationship Id="rId90" Type="http://schemas.openxmlformats.org/officeDocument/2006/relationships/hyperlink" Target="http://www.sec.gov/Archives/edgar/data/1838987/000119312523191334/d862117dex31.htm" TargetMode="External"/><Relationship Id="rId91" Type="http://schemas.openxmlformats.org/officeDocument/2006/relationships/hyperlink" Target="http://www.sec.gov/Archives/edgar/data/1838987/000119312523191334/d862117dex32.htm" TargetMode="External"/><Relationship Id="rId92" Type="http://schemas.openxmlformats.org/officeDocument/2006/relationships/hyperlink" Target="http://www.sec.gov/Archives/edgar/data/1838987/000119312523255093/d569645dex41.htm" TargetMode="External"/><Relationship Id="rId93" Type="http://schemas.openxmlformats.org/officeDocument/2006/relationships/hyperlink" Target="http://www.sec.gov/Archives/edgar/data/1838987/000119312523255093/d569645dex42.htm" TargetMode="External"/><Relationship Id="rId94" Type="http://schemas.openxmlformats.org/officeDocument/2006/relationships/hyperlink" Target="http://www.sec.gov/Archives/edgar/data/1838987/000119312523192359/d530739dex41.htm" TargetMode="External"/><Relationship Id="rId95" Type="http://schemas.openxmlformats.org/officeDocument/2006/relationships/hyperlink" Target="http://www.sec.gov/Archives/edgar/data/1838987/000095010321003441/dp147251_ex0401.htm" TargetMode="External"/><Relationship Id="rId96" Type="http://schemas.openxmlformats.org/officeDocument/2006/relationships/hyperlink" Target="http://www.sec.gov/Archives/edgar/data/1838987/000121390024082266/ea021574201ex4-1_complete.htm" TargetMode="External"/><Relationship Id="rId97" Type="http://schemas.openxmlformats.org/officeDocument/2006/relationships/hyperlink" Target="http://www.sec.gov/Archives/edgar/data/1838987/000121390024082266/ea021574201ex4-2_complete.htm" TargetMode="External"/><Relationship Id="rId98" Type="http://schemas.openxmlformats.org/officeDocument/2006/relationships/hyperlink" Target="http://www.sec.gov/Archives/edgar/data/1838987/000121390024059870/ea020910501ex10-1_complete.htm" TargetMode="External"/><Relationship Id="rId99" Type="http://schemas.openxmlformats.org/officeDocument/2006/relationships/hyperlink" Target="http://www.sec.gov/Archives/edgar/data/1838987/000121390024014892/ea193922ex10-1_complete.htm" TargetMode="External"/><Relationship Id="rId100" Type="http://schemas.openxmlformats.org/officeDocument/2006/relationships/hyperlink" Target="http://www.sec.gov/Archives/edgar/data/1838987/000121390025064680/ea024916501ex4-1_complete.htm" TargetMode="External"/><Relationship Id="rId101" Type="http://schemas.openxmlformats.org/officeDocument/2006/relationships/hyperlink" Target="http://www.sec.gov/Archives/edgar/data/1838987/000121390025066104/ea024964401ex10-1_comple.htm" TargetMode="External"/><Relationship Id="rId102" Type="http://schemas.openxmlformats.org/officeDocument/2006/relationships/hyperlink" Target="http://www.sec.gov/Archives/edgar/data/1838987/000121390025066104/ea024964401ex10-2_comple.htm" TargetMode="External"/><Relationship Id="rId103" Type="http://schemas.openxmlformats.org/officeDocument/2006/relationships/hyperlink" Target="http://www.sec.gov/Archives/edgar/data/1838987/000121390025071336/ea025156001ex10-1_complete.htm" TargetMode="External"/><Relationship Id="rId104" Type="http://schemas.openxmlformats.org/officeDocument/2006/relationships/hyperlink" Target="http://www.sec.gov/Archives/edgar/data/1838987/000121390025089842/ea025817301ex10-1_complete.htm" TargetMode="External"/><Relationship Id="rId105" Type="http://schemas.openxmlformats.org/officeDocument/2006/relationships/hyperlink" Target="http://www.sec.gov/Archives/edgar/data/1838987/000121390025089842/ea025817301ex10-2_complete.htm" TargetMode="External"/><Relationship Id="rId106" Type="http://schemas.openxmlformats.org/officeDocument/2006/relationships/hyperlink" Target="http://www.sec.gov/Archives/edgar/data/1838987/000121390025089842/ea025817301ex10-3_comple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2025-12-19T14:26:22Z</dcterms:created>
  <dcterms:modified xsi:type="dcterms:W3CDTF">2025-12-19T14:26:22Z</dcterms:modified>
</cp:coreProperties>
</file>