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333-296206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1</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dated June 1, 2026)</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39,534,884 Shares of Common Stock</w:t>
      </w:r>
    </w:p>
    <w:p>
      <w:pPr>
        <w:spacing w:after="0" w:line="225"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June 1, 2026 (as amended or supplemented,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which forms a part of our registration statement on Form S-1 (No. 333-296206). This prospectus supplement is being filed to update and supplement the information in the prospectus with the information contained in Item 1.01, Item 3.01 and Exhibit 10.1 of Item 9.01 (the “</w:t>
      </w:r>
      <w:r>
        <w:rPr>
          <w:rFonts w:ascii="Times New Roman" w:cs="Times New Roman" w:eastAsia="Times New Roman" w:hAnsi="Times New Roman"/>
          <w:sz w:val="18"/>
          <w:szCs w:val="18"/>
          <w:b w:val="1"/>
          <w:bCs w:val="1"/>
          <w:color w:val="auto"/>
        </w:rPr>
        <w:t>Supplemental Information</w:t>
      </w:r>
      <w:r>
        <w:rPr>
          <w:rFonts w:ascii="Times New Roman" w:cs="Times New Roman" w:eastAsia="Times New Roman" w:hAnsi="Times New Roman"/>
          <w:sz w:val="18"/>
          <w:szCs w:val="18"/>
          <w:color w:val="auto"/>
        </w:rPr>
        <w:t>”) of our Current Report on Form 8-K filed with the Securities and Exchange Commission on July 1, 2026 (the “</w:t>
      </w:r>
      <w:r>
        <w:rPr>
          <w:rFonts w:ascii="Times New Roman" w:cs="Times New Roman" w:eastAsia="Times New Roman" w:hAnsi="Times New Roman"/>
          <w:sz w:val="18"/>
          <w:szCs w:val="18"/>
          <w:b w:val="1"/>
          <w:bCs w:val="1"/>
          <w:color w:val="auto"/>
        </w:rPr>
        <w:t>Current Report</w:t>
      </w:r>
      <w:r>
        <w:rPr>
          <w:rFonts w:ascii="Times New Roman" w:cs="Times New Roman" w:eastAsia="Times New Roman" w:hAnsi="Times New Roman"/>
          <w:sz w:val="18"/>
          <w:szCs w:val="18"/>
          <w:color w:val="auto"/>
        </w:rPr>
        <w:t>”). Accordingly, we have attached the Current Report to this prospectus supplement with respect to the Supplemental Information, and the information contained in Item 7.01 of the Current Report is expressly excluded from this prospectus supplement and are not filed for any purposes under the prospectus or this prospectus supplement.</w:t>
      </w:r>
    </w:p>
    <w:p>
      <w:pPr>
        <w:spacing w:after="0" w:line="186"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registration of the resale or other disposition of up to 39,534,884 shares of our common stock by YA II PN, LTD (“</w:t>
      </w:r>
      <w:r>
        <w:rPr>
          <w:rFonts w:ascii="Times New Roman" w:cs="Times New Roman" w:eastAsia="Times New Roman" w:hAnsi="Times New Roman"/>
          <w:sz w:val="18"/>
          <w:szCs w:val="18"/>
          <w:b w:val="1"/>
          <w:bCs w:val="1"/>
          <w:color w:val="auto"/>
        </w:rPr>
        <w:t>Yorkville</w:t>
      </w:r>
      <w:r>
        <w:rPr>
          <w:rFonts w:ascii="Times New Roman" w:cs="Times New Roman" w:eastAsia="Times New Roman" w:hAnsi="Times New Roman"/>
          <w:sz w:val="18"/>
          <w:szCs w:val="18"/>
          <w:color w:val="auto"/>
        </w:rPr>
        <w:t>”). Yorkville is also referred to in the prospectus and this prospectus supplement as the Selling Securityholder. The shares of our common stock to which the prospectus and this prospectus supplement relate have been or may be issued by us to Yorkville (i) pursuant to a standby equity purchase agreement, dated as of January 27, 2026, by and between us and Yorkville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and (ii) upon conversion of a convertible debenture issued by us on March 6, 2026 to Yorkville (the “</w:t>
      </w:r>
      <w:r>
        <w:rPr>
          <w:rFonts w:ascii="Times New Roman" w:cs="Times New Roman" w:eastAsia="Times New Roman" w:hAnsi="Times New Roman"/>
          <w:sz w:val="18"/>
          <w:szCs w:val="18"/>
          <w:b w:val="1"/>
          <w:bCs w:val="1"/>
          <w:color w:val="auto"/>
        </w:rPr>
        <w:t>YA Debenture</w:t>
      </w:r>
      <w:r>
        <w:rPr>
          <w:rFonts w:ascii="Times New Roman" w:cs="Times New Roman" w:eastAsia="Times New Roman" w:hAnsi="Times New Roman"/>
          <w:sz w:val="18"/>
          <w:szCs w:val="18"/>
          <w:color w:val="auto"/>
        </w:rPr>
        <w:t>”). Such shares of common stock include (i) up to 25,000,000 shares of common stock that we may, at our discretion, elect to issue and sell to Yorkville from time to time after the date of the prospectus and this prospectus supplement pursuant to the SEPA (the “</w:t>
      </w:r>
      <w:r>
        <w:rPr>
          <w:rFonts w:ascii="Times New Roman" w:cs="Times New Roman" w:eastAsia="Times New Roman" w:hAnsi="Times New Roman"/>
          <w:sz w:val="18"/>
          <w:szCs w:val="18"/>
          <w:b w:val="1"/>
          <w:bCs w:val="1"/>
          <w:color w:val="auto"/>
        </w:rPr>
        <w:t>SEPA Shares</w:t>
      </w:r>
      <w:r>
        <w:rPr>
          <w:rFonts w:ascii="Times New Roman" w:cs="Times New Roman" w:eastAsia="Times New Roman" w:hAnsi="Times New Roman"/>
          <w:sz w:val="18"/>
          <w:szCs w:val="18"/>
          <w:color w:val="auto"/>
        </w:rPr>
        <w:t>”) and (ii) up to 14,534,884 shares of common stock that may be issued to Yorkville upon conversion by Yorkville of the YA Debenture (the “</w:t>
      </w:r>
      <w:r>
        <w:rPr>
          <w:rFonts w:ascii="Times New Roman" w:cs="Times New Roman" w:eastAsia="Times New Roman" w:hAnsi="Times New Roman"/>
          <w:sz w:val="18"/>
          <w:szCs w:val="18"/>
          <w:b w:val="1"/>
          <w:bCs w:val="1"/>
          <w:color w:val="auto"/>
        </w:rPr>
        <w:t>Debenture Shares</w:t>
      </w:r>
      <w:r>
        <w:rPr>
          <w:rFonts w:ascii="Times New Roman" w:cs="Times New Roman" w:eastAsia="Times New Roman" w:hAnsi="Times New Roman"/>
          <w:sz w:val="18"/>
          <w:szCs w:val="18"/>
          <w:color w:val="auto"/>
        </w:rPr>
        <w:t>” and, collectively with the Conversion Shares,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w:t>
      </w:r>
    </w:p>
    <w:p>
      <w:pPr>
        <w:spacing w:after="0" w:line="19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not selling any securities under the prospectus and this prospectus supplement and will not receive any of the proceeds from the sale of our common stock by the Selling Securityholder. Prior to the date of the prospectus and this prospectus supplement, we received (i) proceeds of $1,710,000 in connection with our sale and issuance to Yorkville on January 27, 2026 of a convertible promissory note in the aggregate principal amount of $1,900,000 as a pre-paid advance under the SEPA and (ii) proceeds of $9,000,000 from the issuance and sale by us to Yorkville of the YA Debenture; and we may receive proceeds from sales of common stock that we may elect to make to Yorkville pursuant to the SEPA, if any, from time to time after the date of the prospectus and this prospectus supplement. The net proceeds from sales, if any, under the SEPA, will depend on the frequency and prices at which we sell shares of common stock to Yorkville after the date of the prospectus and this prospectus supplement. See “PROSPECTUS SUMMARY - The Standby Equity Purchase Agreement” on page 4 of the prospectus for a description of the SEPA and YA Debenture and “SELLING SECURITYHOLDER” on page 109 of the prospectus for additional information regarding the Selling Securityholder.</w:t>
      </w:r>
    </w:p>
    <w:p>
      <w:pPr>
        <w:spacing w:after="0" w:line="188"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Securityholder may sell or otherwise dispose of the common stock described in the prospectus and this prospectus supplement in a number of different ways and at varying prices. Yorkville is an “underwriter” within the meaning of Section 2(a)(11)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only with respect to advances under the SEPA (“</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and any profits on the sales of shares of our common stock by Yorkville acquired under the SEPA and any discounts, commissions, or concessions received by Yorkville are deemed to be underwriting discounts and commissions under the Securities Act. If any underwriters, dealers, or agents are involved in the sale of any of the securities, their names and any applicable purchase price, fee, commission, or discount arrangement between or among them will be set forth, or will be calculable from the information set forth, in any applicable prospectus supplement. Yorkville is not an “underwriter” within the meaning of Section 2(a)(11) of the Securities Act with respect to the shares of our common stock issuable to Yorkville upon conversion by Yorkville of the YA Debenture. We will pay the expenses incurred in registering under the Securities Act the offer and sale of the shares of the common stock to which the prospectus and this prospectus supplement relate by the Selling Securityholder, including our legal and accounting fees. See “Plan of Distribution” on page 124 of the prospectus for more information. No securities may be sold without delivery of the prospectus and this prospectus supplement and any applicable prospectus supplement describing the method and terms of the offering of such securities. You should carefully read the prospectus and this prospectus supplement and any applicable prospectus supplement before you invest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We engaged Northland Capital Markets (“</w:t>
      </w:r>
      <w:r>
        <w:rPr>
          <w:rFonts w:ascii="Times New Roman" w:cs="Times New Roman" w:eastAsia="Times New Roman" w:hAnsi="Times New Roman"/>
          <w:sz w:val="18"/>
          <w:szCs w:val="18"/>
          <w:b w:val="1"/>
          <w:bCs w:val="1"/>
          <w:color w:val="auto"/>
        </w:rPr>
        <w:t>Northland</w:t>
      </w:r>
      <w:r>
        <w:rPr>
          <w:rFonts w:ascii="Times New Roman" w:cs="Times New Roman" w:eastAsia="Times New Roman" w:hAnsi="Times New Roman"/>
          <w:sz w:val="18"/>
          <w:szCs w:val="18"/>
          <w:color w:val="auto"/>
        </w:rPr>
        <w:t>”) as our placement agent in connection with the SEPA. We have agreed to pay Northland a cash fee of 5.0% based upon the aggregate gross proceeds received from the sales of convertible promissory notes and common stock that we elect to make to Yorkville pursuant to the SEPA. See “Plan of Distribution” on page 124 of the prospectus for additional information regarding this arrangement.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Shares of our common stock are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 “SPWR”. On May 29, 2026, the closing price of our common stock was $0.6873.</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review carefully the risks and uncertainties described in the section titled “Risk Factors” beginning on page 12 of the prospectus, and under similar headings in any amendments or supplements to the prospectus and this prospectus supplement.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dated July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29,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SunPower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9"/>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1403 N. Research Way, Orem, UT</w:t>
            </w:r>
          </w:p>
        </w:tc>
        <w:tc>
          <w:tcPr>
            <w:tcW w:w="11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84097</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(877) 299-4943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SPWR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SPWRW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June 29, 2026 and June 30, 2026, SunPower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separately- and privately- negotiated agreements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Agreements</w:t>
      </w:r>
      <w:r>
        <w:rPr>
          <w:rFonts w:ascii="Times New Roman" w:cs="Times New Roman" w:eastAsia="Times New Roman" w:hAnsi="Times New Roman"/>
          <w:sz w:val="18"/>
          <w:szCs w:val="18"/>
          <w:color w:val="auto"/>
        </w:rPr>
        <w:t>”) with certain holders of its 12.0% Convertible Senior Notes due 2029 (the “</w:t>
      </w:r>
      <w:r>
        <w:rPr>
          <w:rFonts w:ascii="Times New Roman" w:cs="Times New Roman" w:eastAsia="Times New Roman" w:hAnsi="Times New Roman"/>
          <w:sz w:val="18"/>
          <w:szCs w:val="18"/>
          <w:b w:val="1"/>
          <w:bCs w:val="1"/>
          <w:i w:val="1"/>
          <w:iCs w:val="1"/>
          <w:color w:val="auto"/>
        </w:rPr>
        <w:t>12.0% Notes</w:t>
      </w:r>
      <w:r>
        <w:rPr>
          <w:rFonts w:ascii="Times New Roman" w:cs="Times New Roman" w:eastAsia="Times New Roman" w:hAnsi="Times New Roman"/>
          <w:sz w:val="18"/>
          <w:szCs w:val="18"/>
          <w:color w:val="auto"/>
        </w:rPr>
        <w:t>”), 10.0% Convertible Senior Secured Notes due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2029 (the “</w:t>
      </w:r>
      <w:r>
        <w:rPr>
          <w:rFonts w:ascii="Times New Roman" w:cs="Times New Roman" w:eastAsia="Times New Roman" w:hAnsi="Times New Roman"/>
          <w:sz w:val="18"/>
          <w:szCs w:val="18"/>
          <w:b w:val="1"/>
          <w:bCs w:val="1"/>
          <w:i w:val="1"/>
          <w:iCs w:val="1"/>
          <w:color w:val="auto"/>
        </w:rPr>
        <w:t>10.0% Notes</w:t>
      </w:r>
      <w:r>
        <w:rPr>
          <w:rFonts w:ascii="Times New Roman" w:cs="Times New Roman" w:eastAsia="Times New Roman" w:hAnsi="Times New Roman"/>
          <w:sz w:val="18"/>
          <w:szCs w:val="18"/>
          <w:color w:val="auto"/>
        </w:rPr>
        <w:t>”) and 7.0% Convertible Senior Notes due 2029 (the “</w:t>
      </w:r>
      <w:r>
        <w:rPr>
          <w:rFonts w:ascii="Times New Roman" w:cs="Times New Roman" w:eastAsia="Times New Roman" w:hAnsi="Times New Roman"/>
          <w:sz w:val="18"/>
          <w:szCs w:val="18"/>
          <w:b w:val="1"/>
          <w:bCs w:val="1"/>
          <w:i w:val="1"/>
          <w:iCs w:val="1"/>
          <w:color w:val="auto"/>
        </w:rPr>
        <w:t>7.0% Notes</w:t>
      </w:r>
      <w:r>
        <w:rPr>
          <w:rFonts w:ascii="Times New Roman" w:cs="Times New Roman" w:eastAsia="Times New Roman" w:hAnsi="Times New Roman"/>
          <w:sz w:val="18"/>
          <w:szCs w:val="18"/>
          <w:color w:val="auto"/>
        </w:rPr>
        <w:t>” and together with the 12.0% Notes and the 10.0% Notes, collectively, the “</w:t>
      </w:r>
      <w:r>
        <w:rPr>
          <w:rFonts w:ascii="Times New Roman" w:cs="Times New Roman" w:eastAsia="Times New Roman" w:hAnsi="Times New Roman"/>
          <w:sz w:val="18"/>
          <w:szCs w:val="18"/>
          <w:b w:val="1"/>
          <w:bCs w:val="1"/>
          <w:i w:val="1"/>
          <w:i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Exchange Agreements, the applicable holders of Notes agreed to exchange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approximately $10.7 million of cash interest otherwise payable on July 1, 2026, October 1, 2026 and January 1, 2027 (the “</w:t>
      </w:r>
      <w:r>
        <w:rPr>
          <w:rFonts w:ascii="Times New Roman" w:cs="Times New Roman" w:eastAsia="Times New Roman" w:hAnsi="Times New Roman"/>
          <w:sz w:val="18"/>
          <w:szCs w:val="18"/>
          <w:b w:val="1"/>
          <w:bCs w:val="1"/>
          <w:i w:val="1"/>
          <w:iCs w:val="1"/>
          <w:color w:val="auto"/>
        </w:rPr>
        <w:t>Exchanged Interest Amounts</w:t>
      </w:r>
      <w:r>
        <w:rPr>
          <w:rFonts w:ascii="Times New Roman" w:cs="Times New Roman" w:eastAsia="Times New Roman" w:hAnsi="Times New Roman"/>
          <w:sz w:val="18"/>
          <w:szCs w:val="18"/>
          <w:color w:val="auto"/>
        </w:rPr>
        <w:t>”) for 19,300,991 shares (the “</w:t>
      </w:r>
      <w:r>
        <w:rPr>
          <w:rFonts w:ascii="Times New Roman" w:cs="Times New Roman" w:eastAsia="Times New Roman" w:hAnsi="Times New Roman"/>
          <w:sz w:val="18"/>
          <w:szCs w:val="18"/>
          <w:b w:val="1"/>
          <w:bCs w:val="1"/>
          <w:i w:val="1"/>
          <w:i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transactions under the Exchange Agreements closed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and the Exchange Shares were issued on, July 1, 2026. As a result of the Exchange, the Exchanged Interest Amounts will not be payable in cash by the Company on the applicable payment dates under the Notes. The Exchange Agreements include registration rights, representations and warranties and other covenants that are customary for such exchange transactions.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Exchange Agreements is qualified in its entirety by reference to the copy of the form of Exchange Agreement attached as Exhibit 10.1 to this Current Report on Form 8-K, and such Exhibit 10.1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herein by reference.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issued the Exchange Shares in reliance upon the exemption from registration provided by Section 4(a)(2)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Exchange Shares have not been registered under the Securities Act and may not be offered or sold in the United States absent registration or an applicable exemption from registration requirements. This Current Report on Form 8-K shall not constitute an offer to sell or the solicitation of an offer to buy, nor shall such securities be offered or sold in the United States absent registration or an applicable exemption from the registration requirements and certificates evidencing such shares contain a legend stating the same.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 2026, the Company issued a press release announcing the Exchange. A copy of the press release is furnished as Exhibit 99.1 to this Current Report on Form 8-K.</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shall not be incorporated by reference into any filing of the Company, whether made before or after the date hereof, regardless of any general incorporation language in such filing, unless expressly incorporated by specific reference to such filing. The information in this Item 7.01 and the accompanying Exhibit 99.1 shall not be deemed to be “filed” for purposes of Section 18 of the Securities Exchange Act of 1934, as amended, or otherwise subject to the liabilities of that section or Sections 11 and 12(a)(2) of the Securities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340" w:type="dxa"/>
            <w:vAlign w:val="bottom"/>
          </w:tcPr>
          <w:p>
            <w:pPr>
              <w:spacing w:after="0"/>
              <w:rPr>
                <w:sz w:val="20"/>
                <w:szCs w:val="20"/>
                <w:color w:val="auto"/>
              </w:rPr>
            </w:pPr>
          </w:p>
        </w:tc>
      </w:tr>
      <w:tr>
        <w:trPr>
          <w:trHeight w:val="410"/>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245"/>
        </w:trPr>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10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3740" w:type="dxa"/>
            <w:vAlign w:val="bottom"/>
            <w:tcBorders>
              <w:top w:val="single" w:sz="8" w:color="auto"/>
              <w:bottom w:val="single" w:sz="8" w:color="0000EE"/>
            </w:tcBorders>
            <w:gridSpan w:val="2"/>
            <w:shd w:val="clear" w:color="auto" w:fill="CCEEFF"/>
          </w:tcPr>
          <w:p>
            <w:pPr>
              <w:spacing w:after="0" w:line="17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Form of Equity for Interest Exchange Agreement+*</w:t>
              </w:r>
            </w:hyperlink>
          </w:p>
        </w:tc>
        <w:tc>
          <w:tcPr>
            <w:tcW w:w="634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6"/>
        </w:trPr>
        <w:tc>
          <w:tcPr>
            <w:tcW w:w="1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3"/>
          </w:tcPr>
          <w:p>
            <w:pPr>
              <w:spacing w:after="0" w:line="176" w:lineRule="exact"/>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color w:val="0000EE"/>
                </w:rPr>
                <w:t>Press Release, dated July 1, 2026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r>
    </w:tbl>
    <w:p>
      <w:pPr>
        <w:spacing w:after="0" w:line="9" w:lineRule="exact"/>
        <w:rPr>
          <w:sz w:val="20"/>
          <w:szCs w:val="20"/>
          <w:color w:val="auto"/>
        </w:rPr>
      </w:pPr>
    </w:p>
    <w:p>
      <w:pPr>
        <w:ind w:left="1160" w:hanging="1139"/>
        <w:spacing w:after="0"/>
        <w:tabs>
          <w:tab w:leader="none" w:pos="11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and schedules to this exhibit have been omitted in accordance with Item 601(a)(5) of Regulation S-K. The registrant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-570865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42" w:lineRule="exact"/>
        <w:rPr>
          <w:sz w:val="20"/>
          <w:szCs w:val="20"/>
          <w:color w:val="auto"/>
        </w:rPr>
      </w:pPr>
    </w:p>
    <w:p>
      <w:pPr>
        <w:ind w:left="5580" w:right="4080" w:hanging="5572"/>
        <w:spacing w:after="0" w:line="783" w:lineRule="auto"/>
        <w:tabs>
          <w:tab w:leader="none" w:pos="33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are redacted in accordance with Item 601(b)(10)(iv) of Regulation S-K.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un</w:t>
      </w: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ower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Dated: July 1, 2026</w:t>
      </w:r>
      <w:r>
        <w:rPr>
          <w:sz w:val="20"/>
          <w:szCs w:val="20"/>
          <w:color w:val="auto"/>
        </w:rPr>
        <w:tab/>
      </w:r>
      <w:r>
        <w:rPr>
          <w:rFonts w:ascii="Times New Roman" w:cs="Times New Roman" w:eastAsia="Times New Roman" w:hAnsi="Times New Roman"/>
          <w:sz w:val="18"/>
          <w:szCs w:val="18"/>
          <w:color w:val="auto"/>
        </w:rPr>
        <w:t>By: /s/ Thurman J.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Thurman J. Rodgers</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2"/>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5" Type="http://schemas.openxmlformats.org/officeDocument/2006/relationships/hyperlink" Target="https://www.sec.gov/Archives/edgar/data/1838987/000121390026073995/ea029660301ex10-1.htm" TargetMode="External"/><Relationship Id="rId16" Type="http://schemas.openxmlformats.org/officeDocument/2006/relationships/hyperlink" Target="https://www.sec.gov/Archives/edgar/data/1838987/000121390026073995/ea029660301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2026-07-01T07:11:15Z</dcterms:created>
  <dcterms:modified xsi:type="dcterms:W3CDTF">2026-07-01T07:11:15Z</dcterms:modified>
</cp:coreProperties>
</file>