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Kowalczuk Tom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SUNPOWER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1403 N. RESEARCH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OREM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06/30/2026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SunPower Inc.</w:t>
              </w:r>
            </w:hyperlink>
            <w:r>
              <w:rPr/>
              <w:t xml:space="preserve"> [ </w:t>
            </w:r>
            <w:r>
              <w:rPr>
                <w:rFonts w:ascii="Times;serif" w:hAnsi="Times;serif"/>
                <w:color w:val="0000FF"/>
                <w:sz w:val="24"/>
                <w:shd w:fill="FFFFFF" w:val="clear"/>
              </w:rPr>
              <w:t>SPWR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Penney,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29785701ex24.htm"/>
      <w:bookmarkStart w:id="3" w:name="ksea029785701ex24"/>
      <w:bookmarkEnd w:id="2"/>
      <w:bookmarkEnd w:id="3"/>
      <w:r>
        <w:rPr>
          <w:b/>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Nicolas Wenker of SunPower Inc., a Delaware corporation (the “Company”), and Michael Penney, Brady Randall and Erica Fallon of Arnold &amp; Porter Kaye Scholer LLP, or any of them signing singly, and with full power of substitution,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5" w:type="dxa"/>
            <w:tcBorders/>
            <w:vAlign w:val="center"/>
          </w:tcPr>
          <w:p>
            <w:pPr>
              <w:pStyle w:val="TableContents"/>
              <w:bidi w:val="0"/>
              <w:spacing w:before="0" w:after="283"/>
              <w:jc w:val="left"/>
              <w:rPr/>
            </w:pPr>
            <w:r>
              <w:rPr/>
              <w:t>prepare, execute in the undersigned’s name and on the undersigned’s behalf, and submit to the U.S. Securities and Exchange Commission (the “SEC”) any documents necessary or appropriate to obtain codes and passwords enabling the undersigned to make electronic filings with the SEC of reports required by Section 16(a) of the Securities Exchange Act of 1934 or any rule or regulation of the SEC, including, without limitation, a Form ID;</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2.</w:t>
            </w:r>
          </w:p>
        </w:tc>
        <w:tc>
          <w:tcPr>
            <w:tcW w:w="10004" w:type="dxa"/>
            <w:tcBorders/>
            <w:vAlign w:val="center"/>
          </w:tcPr>
          <w:p>
            <w:pPr>
              <w:pStyle w:val="TableContents"/>
              <w:bidi w:val="0"/>
              <w:spacing w:before="0" w:after="283"/>
              <w:jc w:val="left"/>
              <w:rPr/>
            </w:pPr>
            <w:r>
              <w:rPr/>
              <w:t>execute for and on behalf of the undersigned, in the undersigned’s capacity as an officer and/or director of the Company, Forms 3, 4 and 5 in accordance with Section 16(a) of the Securities Exchange Act of 1934 and the rules thereunder;</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left"/>
              <w:rPr/>
            </w:pPr>
            <w:r>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4.</w:t>
            </w:r>
          </w:p>
        </w:tc>
        <w:tc>
          <w:tcPr>
            <w:tcW w:w="10017" w:type="dxa"/>
            <w:tcBorders/>
            <w:vAlign w:val="center"/>
          </w:tcPr>
          <w:p>
            <w:pPr>
              <w:pStyle w:val="TableContents"/>
              <w:bidi w:val="0"/>
              <w:spacing w:before="0" w:after="283"/>
              <w:jc w:val="left"/>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IN WITNESS WHEREOF, the undersigned has caused this Power of Attorney to be executed as of this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June, 2026.</w:t>
      </w:r>
    </w:p>
    <w:p>
      <w:pPr>
        <w:pStyle w:val="TextBody"/>
        <w:bidi w:val="0"/>
        <w:spacing w:before="0" w:after="0"/>
        <w:ind w:left="0" w:right="0" w:firstLine="72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650"/>
        <w:gridCol w:w="1640"/>
      </w:tblGrid>
      <w:tr>
        <w:trPr/>
        <w:tc>
          <w:tcPr>
            <w:tcW w:w="75" w:type="dxa"/>
            <w:tcBorders/>
            <w:vAlign w:val="center"/>
          </w:tcPr>
          <w:p>
            <w:pPr>
              <w:pStyle w:val="TableContents"/>
              <w:bidi w:val="0"/>
              <w:spacing w:before="0" w:after="283"/>
              <w:jc w:val="left"/>
              <w:rPr/>
            </w:pPr>
            <w:r>
              <w:rPr/>
              <w:t> </w:t>
            </w:r>
          </w:p>
        </w:tc>
        <w:tc>
          <w:tcPr>
            <w:tcW w:w="2290" w:type="dxa"/>
            <w:gridSpan w:val="2"/>
            <w:tcBorders>
              <w:bottom w:val="single" w:sz="12" w:space="0" w:color="000000"/>
            </w:tcBorders>
            <w:tcMar>
              <w:bottom w:w="28" w:type="dxa"/>
            </w:tcM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/s/ Tom Kowalczuk</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640" w:type="dxa"/>
            <w:tcBorders/>
            <w:vAlign w:val="center"/>
          </w:tcPr>
          <w:p>
            <w:pPr>
              <w:pStyle w:val="TableContents"/>
              <w:bidi w:val="0"/>
              <w:spacing w:before="0" w:after="283"/>
              <w:jc w:val="left"/>
              <w:rPr/>
            </w:pPr>
            <w:r>
              <w:rPr/>
              <w:t>Tom Kowalczuk</w:t>
            </w:r>
          </w:p>
        </w:tc>
      </w:tr>
    </w:tbl>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661" TargetMode="External"/><Relationship Id="rId3" Type="http://schemas.openxmlformats.org/officeDocument/2006/relationships/hyperlink" Target="http://www.sec.gov/cgi-bin/browse-edgar?action=getcompany&amp;CIK=000183898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931</Words>
  <Characters>4942</Characters>
  <CharactersWithSpaces>5834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