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Kowalczuk Tom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1403 N. RESEARCH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SunPower Inc.</w:t>
              </w:r>
            </w:hyperlink>
            <w:r>
              <w:rPr/>
              <w:t xml:space="preserve"> [ </w:t>
            </w:r>
            <w:r>
              <w:rPr>
                <w:rFonts w:ascii="Times;serif" w:hAnsi="Times;serif"/>
                <w:color w:val="0000FF"/>
                <w:sz w:val="24"/>
                <w:shd w:fill="FFFFFF" w:val="clear"/>
              </w:rPr>
              <w:t>SPWR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182"/>
        <w:gridCol w:w="435"/>
        <w:gridCol w:w="654"/>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1,000,000</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pursuant to an employment offer letter as an inducement grant to a new hire outside of the Issuer's equity incentive plan and is subject to vesting as follows: 20% of the RSUs vest one year after grant, and the remainder vest ratably on an annual basis over the course of the following four years, subject to the Reporting Person's continuous service through each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Penney, Attorney-in-Fact for Tom Kowalczuk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3661" TargetMode="External"/><Relationship Id="rId5" Type="http://schemas.openxmlformats.org/officeDocument/2006/relationships/hyperlink" Target="http://www.sec.gov/cgi-bin/browse-edgar?action=getcompany&amp;CIK=00018389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3434</Characters>
  <CharactersWithSpaces>4013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