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As confidentially submitted to the U.S. Securities and Exchange Commission on January 8, 2021. This draft registration statement has not been publicly filed with the Securities and Exchange Commission and all information herein remains strictly confidential.</w:t>
      </w:r>
    </w:p>
    <w:p>
      <w:pPr>
        <w:spacing w:after="0" w:line="19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Freedom Acquisition I Corp.</w:t>
      </w:r>
    </w:p>
    <w:tbl>
      <w:tblPr>
        <w:tblLayout w:type="fixed"/>
        <w:tblInd w:w="820" w:type="dxa"/>
        <w:tblCellMar>
          <w:top w:w="0" w:type="dxa"/>
          <w:left w:w="0" w:type="dxa"/>
          <w:bottom w:w="0" w:type="dxa"/>
          <w:right w:w="0" w:type="dxa"/>
        </w:tblCellMar>
      </w:tblPr>
      <w:tr>
        <w:trPr>
          <w:trHeight w:val="195"/>
        </w:trPr>
        <w:tc>
          <w:tcPr>
            <w:tcW w:w="2540" w:type="dxa"/>
            <w:vAlign w:val="bottom"/>
          </w:tcPr>
          <w:p>
            <w:pPr>
              <w:spacing w:after="0"/>
              <w:rPr>
                <w:sz w:val="16"/>
                <w:szCs w:val="16"/>
                <w:color w:val="auto"/>
              </w:rPr>
            </w:pPr>
          </w:p>
        </w:tc>
        <w:tc>
          <w:tcPr>
            <w:tcW w:w="470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160" w:type="dxa"/>
            <w:vAlign w:val="bottom"/>
          </w:tcPr>
          <w:p>
            <w:pPr>
              <w:spacing w:after="0"/>
              <w:rPr>
                <w:sz w:val="16"/>
                <w:szCs w:val="16"/>
                <w:color w:val="auto"/>
              </w:rPr>
            </w:pPr>
          </w:p>
        </w:tc>
      </w:tr>
      <w:tr>
        <w:trPr>
          <w:trHeight w:val="220"/>
        </w:trPr>
        <w:tc>
          <w:tcPr>
            <w:tcW w:w="25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1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216"/>
        </w:trPr>
        <w:tc>
          <w:tcPr>
            <w:tcW w:w="25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1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5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1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jc w:val="center"/>
        <w:ind w:right="-79"/>
        <w:spacing w:after="0" w:line="185" w:lineRule="auto"/>
        <w:rPr>
          <w:sz w:val="20"/>
          <w:szCs w:val="20"/>
          <w:color w:val="auto"/>
        </w:rPr>
      </w:pPr>
      <w:r>
        <w:rPr>
          <w:rFonts w:ascii="Times New Roman" w:cs="Times New Roman" w:eastAsia="Times New Roman" w:hAnsi="Times New Roman"/>
          <w:sz w:val="18"/>
          <w:szCs w:val="18"/>
          <w:b w:val="1"/>
          <w:bCs w:val="1"/>
          <w:color w:val="auto"/>
        </w:rPr>
        <w:t>14 Wall Street, 20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New York, NY 10005</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 (212) 618-1798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22860</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Adam Gishen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ind w:right="-119"/>
        <w:spacing w:after="0" w:line="192" w:lineRule="auto"/>
        <w:rPr>
          <w:sz w:val="20"/>
          <w:szCs w:val="20"/>
          <w:color w:val="auto"/>
        </w:rPr>
      </w:pPr>
      <w:r>
        <w:rPr>
          <w:rFonts w:ascii="Times New Roman" w:cs="Times New Roman" w:eastAsia="Times New Roman" w:hAnsi="Times New Roman"/>
          <w:sz w:val="18"/>
          <w:szCs w:val="18"/>
          <w:b w:val="1"/>
          <w:bCs w:val="1"/>
          <w:color w:val="auto"/>
        </w:rPr>
        <w:t>14 Wall Street, 20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NY 10005</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 (212) 618-1798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3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3880" w:type="dxa"/>
            <w:vAlign w:val="bottom"/>
          </w:tcPr>
          <w:p>
            <w:pPr>
              <w:spacing w:after="0"/>
              <w:rPr>
                <w:sz w:val="18"/>
                <w:szCs w:val="18"/>
                <w:color w:val="auto"/>
              </w:rPr>
            </w:pPr>
          </w:p>
        </w:tc>
      </w:tr>
      <w:tr>
        <w:trPr>
          <w:trHeight w:val="216"/>
        </w:trPr>
        <w:tc>
          <w:tcPr>
            <w:tcW w:w="30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Deanna L. Kirkpatrick</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Suzanne Correy</w:t>
            </w:r>
          </w:p>
        </w:tc>
        <w:tc>
          <w:tcPr>
            <w:tcW w:w="38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Gregg A. Noel</w:t>
            </w:r>
          </w:p>
        </w:tc>
      </w:tr>
      <w:tr>
        <w:trPr>
          <w:trHeight w:val="216"/>
        </w:trPr>
        <w:tc>
          <w:tcPr>
            <w:tcW w:w="30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Pedro J. Bermeo</w:t>
            </w:r>
          </w:p>
        </w:tc>
        <w:tc>
          <w:tcPr>
            <w:tcW w:w="3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Maples and Calder</w:t>
            </w:r>
          </w:p>
        </w:tc>
        <w:tc>
          <w:tcPr>
            <w:tcW w:w="38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P. Michelle Gasaway</w:t>
            </w:r>
          </w:p>
        </w:tc>
      </w:tr>
      <w:tr>
        <w:trPr>
          <w:trHeight w:val="216"/>
        </w:trPr>
        <w:tc>
          <w:tcPr>
            <w:tcW w:w="30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P.O. Box 309, Ugland House</w:t>
            </w:r>
          </w:p>
        </w:tc>
        <w:tc>
          <w:tcPr>
            <w:tcW w:w="38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r>
      <w:tr>
        <w:trPr>
          <w:trHeight w:val="216"/>
        </w:trPr>
        <w:tc>
          <w:tcPr>
            <w:tcW w:w="30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450 Lexington Avenue</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Grand Cayman</w:t>
            </w:r>
          </w:p>
        </w:tc>
        <w:tc>
          <w:tcPr>
            <w:tcW w:w="38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300 South Grand Avenue, Suite 3400</w:t>
            </w:r>
          </w:p>
        </w:tc>
      </w:tr>
      <w:tr>
        <w:trPr>
          <w:trHeight w:val="216"/>
        </w:trPr>
        <w:tc>
          <w:tcPr>
            <w:tcW w:w="30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New York, NY 10017</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KY1-1104</w:t>
            </w:r>
          </w:p>
        </w:tc>
        <w:tc>
          <w:tcPr>
            <w:tcW w:w="38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Los Angeles, CA 90071</w:t>
            </w:r>
          </w:p>
        </w:tc>
      </w:tr>
      <w:tr>
        <w:trPr>
          <w:trHeight w:val="216"/>
        </w:trPr>
        <w:tc>
          <w:tcPr>
            <w:tcW w:w="30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Tel: (212) 450-4000</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8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Tel: (213) 687-5000</w:t>
            </w:r>
          </w:p>
        </w:tc>
      </w:tr>
      <w:tr>
        <w:trPr>
          <w:trHeight w:val="238"/>
        </w:trPr>
        <w:tc>
          <w:tcPr>
            <w:tcW w:w="3000" w:type="dxa"/>
            <w:vAlign w:val="bottom"/>
          </w:tcPr>
          <w:p>
            <w:pPr>
              <w:spacing w:after="0"/>
              <w:rPr>
                <w:sz w:val="20"/>
                <w:szCs w:val="20"/>
                <w:color w:val="auto"/>
              </w:rPr>
            </w:pPr>
          </w:p>
        </w:tc>
        <w:tc>
          <w:tcPr>
            <w:tcW w:w="3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Tel: (345) 949-8066</w:t>
            </w:r>
          </w:p>
        </w:tc>
        <w:tc>
          <w:tcPr>
            <w:tcW w:w="3880" w:type="dxa"/>
            <w:vAlign w:val="bottom"/>
          </w:tcPr>
          <w:p>
            <w:pPr>
              <w:spacing w:after="0"/>
              <w:rPr>
                <w:sz w:val="20"/>
                <w:szCs w:val="20"/>
                <w:color w:val="auto"/>
              </w:rPr>
            </w:pPr>
          </w:p>
        </w:tc>
      </w:tr>
    </w:tbl>
    <w:p>
      <w:pPr>
        <w:ind w:left="340" w:right="40"/>
        <w:spacing w:after="0" w:line="262" w:lineRule="auto"/>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w:t>
      </w:r>
      <w:r>
        <w:rPr>
          <w:rFonts w:ascii="Times New Roman" w:cs="Times New Roman" w:eastAsia="Times New Roman" w:hAnsi="Times New Roman"/>
          <w:sz w:val="17"/>
          <w:szCs w:val="17"/>
          <w:color w:val="auto"/>
        </w:rPr>
        <w:t>: As soon as practicable after the effective date of this Registration Statement.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any of the securities being registered on this form are to be offered on a delayed or continuous basis pursuant to Rule 415 under the Securities Act of</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1933, check the following box. </w:t>
      </w:r>
      <w:r>
        <w:rPr>
          <w:rFonts w:ascii="MS PGothic" w:cs="MS PGothic" w:eastAsia="MS PGothic" w:hAnsi="MS PGothic"/>
          <w:sz w:val="18"/>
          <w:szCs w:val="18"/>
          <w:color w:val="auto"/>
        </w:rPr>
        <w:t>☐</w:t>
      </w:r>
    </w:p>
    <w:p>
      <w:pPr>
        <w:spacing w:after="0" w:line="16" w:lineRule="exact"/>
        <w:rPr>
          <w:sz w:val="24"/>
          <w:szCs w:val="24"/>
          <w:color w:val="auto"/>
        </w:rPr>
      </w:pPr>
    </w:p>
    <w:p>
      <w:pPr>
        <w:ind w:right="20"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__________</w:t>
      </w:r>
    </w:p>
    <w:p>
      <w:pPr>
        <w:spacing w:after="0" w:line="1" w:lineRule="exact"/>
        <w:rPr>
          <w:sz w:val="24"/>
          <w:szCs w:val="24"/>
          <w:color w:val="auto"/>
        </w:rPr>
      </w:pPr>
    </w:p>
    <w:p>
      <w:pPr>
        <w:ind w:right="260"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__________</w:t>
      </w:r>
    </w:p>
    <w:p>
      <w:pPr>
        <w:spacing w:after="0" w:line="1" w:lineRule="exact"/>
        <w:rPr>
          <w:sz w:val="24"/>
          <w:szCs w:val="24"/>
          <w:color w:val="auto"/>
        </w:rPr>
      </w:pPr>
    </w:p>
    <w:p>
      <w:pPr>
        <w:ind w:right="240"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__________</w:t>
      </w:r>
    </w:p>
    <w:p>
      <w:pPr>
        <w:spacing w:after="0" w:line="1" w:lineRule="exact"/>
        <w:rPr>
          <w:sz w:val="24"/>
          <w:szCs w:val="24"/>
          <w:color w:val="auto"/>
        </w:rPr>
      </w:pPr>
    </w:p>
    <w:p>
      <w:pPr>
        <w:ind w:right="20" w:firstLine="324"/>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70"/>
        </w:trPr>
        <w:tc>
          <w:tcPr>
            <w:tcW w:w="488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company” in Rule 12b-2 of the Exchange Act.</w:t>
            </w:r>
          </w:p>
        </w:tc>
        <w:tc>
          <w:tcPr>
            <w:tcW w:w="3760" w:type="dxa"/>
            <w:vAlign w:val="bottom"/>
            <w:vMerge w:val="restart"/>
          </w:tcPr>
          <w:p>
            <w:pPr>
              <w:ind w:left="15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Large accelerated filer</w:t>
            </w:r>
          </w:p>
        </w:tc>
        <w:tc>
          <w:tcPr>
            <w:tcW w:w="29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54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5"/>
        </w:trPr>
        <w:tc>
          <w:tcPr>
            <w:tcW w:w="19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3760" w:type="dxa"/>
            <w:vAlign w:val="bottom"/>
          </w:tcPr>
          <w:p>
            <w:pPr>
              <w:ind w:left="15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right="180" w:firstLine="324"/>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-3175</wp:posOffset>
            </wp:positionV>
            <wp:extent cx="2194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566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Proposed</w:t>
            </w:r>
          </w:p>
        </w:tc>
        <w:tc>
          <w:tcPr>
            <w:tcW w:w="146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6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To Be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70"/>
        </w:trPr>
        <w:tc>
          <w:tcPr>
            <w:tcW w:w="5660" w:type="dxa"/>
            <w:vAlign w:val="bottom"/>
            <w:tcBorders>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Of Securities To Be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34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Per Security</w:t>
            </w:r>
            <w:r>
              <w:rPr>
                <w:rFonts w:ascii="Times New Roman" w:cs="Times New Roman" w:eastAsia="Times New Roman" w:hAnsi="Times New Roman"/>
                <w:sz w:val="29"/>
                <w:szCs w:val="29"/>
                <w:b w:val="1"/>
                <w:bCs w:val="1"/>
                <w:color w:val="auto"/>
                <w:w w:val="96"/>
                <w:vertAlign w:val="superscript"/>
              </w:rPr>
              <w:t>(1)</w:t>
            </w:r>
          </w:p>
        </w:tc>
        <w:tc>
          <w:tcPr>
            <w:tcW w:w="146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Offering Price</w:t>
            </w:r>
            <w:r>
              <w:rPr>
                <w:rFonts w:ascii="Times New Roman" w:cs="Times New Roman" w:eastAsia="Times New Roman" w:hAnsi="Times New Roman"/>
                <w:sz w:val="29"/>
                <w:szCs w:val="29"/>
                <w:b w:val="1"/>
                <w:bCs w:val="1"/>
                <w:color w:val="auto"/>
                <w:w w:val="96"/>
                <w:vertAlign w:val="superscript"/>
              </w:rPr>
              <w:t>(1)</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Fee</w:t>
            </w:r>
          </w:p>
        </w:tc>
        <w:tc>
          <w:tcPr>
            <w:tcW w:w="0" w:type="dxa"/>
            <w:vAlign w:val="bottom"/>
          </w:tcPr>
          <w:p>
            <w:pPr>
              <w:spacing w:after="0"/>
              <w:rPr>
                <w:sz w:val="1"/>
                <w:szCs w:val="1"/>
                <w:color w:val="auto"/>
              </w:rPr>
            </w:pPr>
          </w:p>
        </w:tc>
      </w:tr>
      <w:tr>
        <w:trPr>
          <w:trHeight w:val="195"/>
        </w:trPr>
        <w:tc>
          <w:tcPr>
            <w:tcW w:w="566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Units, each consisting of one Class A ordinary share, $0.0001 par value, and</w:t>
            </w:r>
          </w:p>
        </w:tc>
        <w:tc>
          <w:tcPr>
            <w:tcW w:w="14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660" w:type="dxa"/>
            <w:vAlign w:val="bottom"/>
            <w:tcBorders>
              <w:bottom w:val="single" w:sz="8" w:color="auto"/>
              <w:right w:val="single" w:sz="8" w:color="auto"/>
            </w:tcBorders>
          </w:tcPr>
          <w:p>
            <w:pPr>
              <w:ind w:left="180"/>
              <w:spacing w:after="0" w:line="271" w:lineRule="exact"/>
              <w:rPr>
                <w:sz w:val="20"/>
                <w:szCs w:val="20"/>
                <w:color w:val="auto"/>
              </w:rPr>
            </w:pPr>
            <w:r>
              <w:rPr>
                <w:rFonts w:ascii="Times New Roman" w:cs="Times New Roman" w:eastAsia="Times New Roman" w:hAnsi="Times New Roman"/>
                <w:sz w:val="18"/>
                <w:szCs w:val="18"/>
                <w:color w:val="auto"/>
              </w:rPr>
              <w:t>one-third of one redeemable warrant</w:t>
            </w:r>
            <w:r>
              <w:rPr>
                <w:rFonts w:ascii="Times New Roman" w:cs="Times New Roman" w:eastAsia="Times New Roman" w:hAnsi="Times New Roman"/>
                <w:sz w:val="29"/>
                <w:szCs w:val="29"/>
                <w:color w:val="auto"/>
                <w:vertAlign w:val="superscript"/>
              </w:rPr>
              <w:t>(2)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28,750,000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$ 10.00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$ 287,500,000</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$ 31,366.25</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auto"/>
              <w:right w:val="single" w:sz="8" w:color="auto"/>
            </w:tcBorders>
          </w:tcPr>
          <w:p>
            <w:pPr>
              <w:spacing w:after="0" w:line="250" w:lineRule="exact"/>
              <w:rPr>
                <w:sz w:val="20"/>
                <w:szCs w:val="20"/>
                <w:color w:val="auto"/>
              </w:rPr>
            </w:pPr>
            <w:r>
              <w:rPr>
                <w:rFonts w:ascii="Times New Roman" w:cs="Times New Roman" w:eastAsia="Times New Roman" w:hAnsi="Times New Roman"/>
                <w:sz w:val="17"/>
                <w:szCs w:val="17"/>
                <w:color w:val="auto"/>
              </w:rPr>
              <w:t>Class A ordinary shares included as part of the units</w:t>
            </w:r>
            <w:r>
              <w:rPr>
                <w:rFonts w:ascii="Times New Roman" w:cs="Times New Roman" w:eastAsia="Times New Roman" w:hAnsi="Times New Roman"/>
                <w:sz w:val="28"/>
                <w:szCs w:val="28"/>
                <w:color w:val="auto"/>
                <w:vertAlign w:val="superscript"/>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28,750,000 Shares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3"/>
                <w:szCs w:val="13"/>
                <w:color w:val="auto"/>
              </w:rPr>
              <w:t xml:space="preserve"> (4)</w:t>
            </w:r>
          </w:p>
        </w:tc>
        <w:tc>
          <w:tcPr>
            <w:tcW w:w="0" w:type="dxa"/>
            <w:vAlign w:val="bottom"/>
          </w:tcPr>
          <w:p>
            <w:pPr>
              <w:spacing w:after="0"/>
              <w:rPr>
                <w:sz w:val="1"/>
                <w:szCs w:val="1"/>
                <w:color w:val="auto"/>
              </w:rPr>
            </w:pPr>
          </w:p>
        </w:tc>
      </w:tr>
      <w:tr>
        <w:trPr>
          <w:trHeight w:val="191"/>
        </w:trPr>
        <w:tc>
          <w:tcPr>
            <w:tcW w:w="5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Redeemable warrants included as part of the units</w:t>
            </w:r>
            <w:r>
              <w:rPr>
                <w:rFonts w:ascii="Times New Roman" w:cs="Times New Roman" w:eastAsia="Times New Roman" w:hAnsi="Times New Roman"/>
                <w:sz w:val="29"/>
                <w:szCs w:val="29"/>
                <w:color w:val="auto"/>
                <w:vertAlign w:val="superscript"/>
              </w:rPr>
              <w:t>(3)</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9,583,333</w:t>
            </w:r>
          </w:p>
        </w:tc>
        <w:tc>
          <w:tcPr>
            <w:tcW w:w="13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w w:val="89"/>
                <w:vertAlign w:val="subscript"/>
              </w:rPr>
              <w:t>―</w:t>
            </w:r>
            <w:r>
              <w:rPr>
                <w:rFonts w:ascii="Times New Roman" w:cs="Times New Roman" w:eastAsia="Times New Roman" w:hAnsi="Times New Roman"/>
                <w:sz w:val="15"/>
                <w:szCs w:val="15"/>
                <w:color w:val="auto"/>
                <w:w w:val="89"/>
              </w:rPr>
              <w:t xml:space="preserve"> (4)</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auto"/>
              <w:right w:val="single" w:sz="8" w:color="auto"/>
            </w:tcBorders>
            <w:vMerge w:val="continue"/>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$ 287,500,000</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$ 31,366.25</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457(o) under the Securities Act of 1933, as amended.</w:t>
      </w:r>
    </w:p>
    <w:p>
      <w:pPr>
        <w:spacing w:after="0" w:line="9"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3,750,000 units, consisting of 3,750,000 Class A ordinary shares and 1,250,000 redeemable warrants, which may be issued upon exercise of a 45-day option granted to the underwriters to cover over-allotments, if any.</w:t>
      </w:r>
    </w:p>
    <w:p>
      <w:pPr>
        <w:ind w:left="340" w:right="2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there are also being registered an indeterminable number of additional securities as may be issued to prevent dilution resulting from share sub-divisions, share dividends or similar transactions.</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pursuant to Rule 457(g) under the Securities Act of 1933, as amended.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 shall file a further amendment which specifically states that this Registration Statement shall thereafter become effective in accordance</w:t>
      </w:r>
    </w:p>
    <w:p>
      <w:pPr>
        <w:sectPr>
          <w:pgSz w:w="11900" w:h="16838" w:orient="portrait"/>
          <w:cols w:equalWidth="0" w:num="1">
            <w:col w:w="11240"/>
          </w:cols>
          <w:pgMar w:left="320" w:top="225" w:right="339" w:bottom="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1" w:lineRule="exact"/>
        <w:rPr>
          <w:sz w:val="20"/>
          <w:szCs w:val="20"/>
          <w:color w:val="auto"/>
        </w:rPr>
      </w:pPr>
    </w:p>
    <w:tbl>
      <w:tblPr>
        <w:tblLayout w:type="fixed"/>
        <w:tblInd w:w="334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rPr>
              <w:t>SUBJECT TO COMPLETION, DATED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rPr>
              <w:t>, 2021</w:t>
            </w:r>
          </w:p>
        </w:tc>
      </w:tr>
      <w:tr>
        <w:trPr>
          <w:trHeight w:val="238"/>
        </w:trPr>
        <w:tc>
          <w:tcPr>
            <w:tcW w:w="38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FF0000"/>
              </w:rPr>
              <w:t>PRELIMINARY PROSPECTUS</w:t>
            </w:r>
          </w:p>
        </w:tc>
        <w:tc>
          <w:tcPr>
            <w:tcW w:w="720" w:type="dxa"/>
            <w:vAlign w:val="bottom"/>
          </w:tcPr>
          <w:p>
            <w:pPr>
              <w:spacing w:after="0"/>
              <w:rPr>
                <w:sz w:val="20"/>
                <w:szCs w:val="20"/>
                <w:color w:val="auto"/>
              </w:rPr>
            </w:pPr>
          </w:p>
        </w:tc>
      </w:tr>
    </w:tbl>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Freedom Acquisition I Corp.</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$250,000,000</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25,000,000 Units</w:t>
      </w:r>
    </w:p>
    <w:p>
      <w:pPr>
        <w:spacing w:after="0" w:line="20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Freedom Acquisition I Corp. is a newly incorporated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This is an initial public offering of our securities. Each unit has an offering price of $10.00 and consists of one Class A ordinary share and one-third of one redeemable warrant. Each whole warrant entitles the holder thereof to purchase one Class A ordinary share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an additional 3,750,000 units to cover over-allotments, if any.</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calculated as of two business days prior to the consummation of our initial business combination, including interest earned on the funds held in the trust account and not previously released to us to pay our taxes, divided by the number of then outstanding Class A ordinary shares that were sold as part of the units in this offering, which we refer to collectively as our public shares, subject to the limitations and on the conditions described herein. If we have not completed our initial business combination within 24 months from the closing of this offering (as such period may be extended), we will redeem 100% of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subject to applicable law and certain conditions as further described herein.</w:t>
      </w:r>
    </w:p>
    <w:p>
      <w:pPr>
        <w:spacing w:after="0" w:line="18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sponsor, Freedom Acquisition I LLC, has committed to purchase an aggregate of 4,666,667 warrants (or 5,166,667 warrants if the underwriters’ over-allotment option is exercised in full), each exercisable to purchase one Class A ordinary share at $11.50 per share, subject to adjustment as described herein, at a price of $1.50 per warrant, or $7,000,000 in the aggregate (or $7,750,000 if the underwriters’ over-allotment option is exercised in full), in a private placement that will close simultaneously with the closing of this offering.</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initial shareholders, which include our sponsor, currently own an aggregate of 7,187,500 Class B ordinary shares, up to 937,500 of which may be surrendered to us for no consideration after the closing of this offering depending on the extent to which the underwriters’ over-allotment option is exercised. The Class B ordinary shares will automatically convert into Class A ordinary shares concurrently with or immediately following the consummation of our initial business combination on a one-for-one basis, subject to the adjustments described herein. Only holders of Class B ordinary shares will have the right to appoint and remove directors in any general meeting held prior to or in connection with the completion of our initial business combination. On any other matters submitted to a vote of our shareholders, holders of the Class B ordinary shares and holders of the Class A ordinary shares will vote together as a single class, except as required by law.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Currently, there is no public market for our units, Class A ordinary shares or warrants. We have applied to list our units on the New York Stock</w:t>
      </w:r>
    </w:p>
    <w:p>
      <w:pPr>
        <w:spacing w:after="0" w:line="27" w:lineRule="exact"/>
        <w:rPr>
          <w:sz w:val="20"/>
          <w:szCs w:val="20"/>
          <w:color w:val="auto"/>
        </w:rPr>
      </w:pPr>
    </w:p>
    <w:p>
      <w:pPr>
        <w:jc w:val="both"/>
        <w:ind w:right="660"/>
        <w:spacing w:after="0" w:line="255" w:lineRule="auto"/>
        <w:rPr>
          <w:sz w:val="20"/>
          <w:szCs w:val="20"/>
          <w:color w:val="auto"/>
        </w:rPr>
      </w:pPr>
      <w:r>
        <w:rPr>
          <w:rFonts w:ascii="Times New Roman" w:cs="Times New Roman" w:eastAsia="Times New Roman" w:hAnsi="Times New Roman"/>
          <w:sz w:val="18"/>
          <w:szCs w:val="18"/>
          <w:color w:val="auto"/>
        </w:rPr>
        <w:t>Exchange, or the NYSE, under the symbol “ .U”. We expect that our units will be listed on the NYSE on or promptly after the date of this prospectus. We cannot guarantee that our securities will be approved for listing on the NYSE. We expect the Class A ordinary shares and warrants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ind w:right="20"/>
        <w:spacing w:after="0" w:line="257" w:lineRule="auto"/>
        <w:rPr>
          <w:sz w:val="20"/>
          <w:szCs w:val="20"/>
          <w:color w:val="auto"/>
        </w:rPr>
      </w:pPr>
      <w:r>
        <w:rPr>
          <w:rFonts w:ascii="Times New Roman" w:cs="Times New Roman" w:eastAsia="Times New Roman" w:hAnsi="Times New Roman"/>
          <w:sz w:val="18"/>
          <w:szCs w:val="18"/>
          <w:color w:val="auto"/>
        </w:rPr>
        <w:t>to begin separate trading on the 52nd day following the date of this prospectus (or the immediately following business day if such 52nd day is not a business day) unless J.P. Morgan Securities LLC, the representative of the underwriters, informs us of its decision to allow earlier separate trading, subject to our satisfaction of certain conditions as described further herein. Once the securities comprising the units begin separate trading, we expect that the Class</w:t>
      </w:r>
    </w:p>
    <w:p>
      <w:pPr>
        <w:spacing w:after="0" w:line="1" w:lineRule="exact"/>
        <w:rPr>
          <w:sz w:val="20"/>
          <w:szCs w:val="20"/>
          <w:color w:val="auto"/>
        </w:rPr>
      </w:pPr>
    </w:p>
    <w:p>
      <w:pPr>
        <w:spacing w:after="0"/>
        <w:tabs>
          <w:tab w:leader="none" w:pos="6380" w:val="left"/>
          <w:tab w:leader="none" w:pos="7560" w:val="left"/>
        </w:tabs>
        <w:rPr>
          <w:sz w:val="20"/>
          <w:szCs w:val="20"/>
          <w:color w:val="auto"/>
        </w:rPr>
      </w:pPr>
      <w:r>
        <w:rPr>
          <w:rFonts w:ascii="Times New Roman" w:cs="Times New Roman" w:eastAsia="Times New Roman" w:hAnsi="Times New Roman"/>
          <w:sz w:val="18"/>
          <w:szCs w:val="18"/>
          <w:color w:val="auto"/>
        </w:rPr>
        <w:t>A ordinary shares and warrants will be listed on the NYSE under the symbols “</w:t>
      </w:r>
      <w:r>
        <w:rPr>
          <w:sz w:val="20"/>
          <w:szCs w:val="20"/>
          <w:color w:val="auto"/>
        </w:rPr>
        <w:tab/>
      </w:r>
      <w:r>
        <w:rPr>
          <w:rFonts w:ascii="Times New Roman" w:cs="Times New Roman" w:eastAsia="Times New Roman" w:hAnsi="Times New Roman"/>
          <w:sz w:val="18"/>
          <w:szCs w:val="18"/>
          <w:color w:val="auto"/>
        </w:rPr>
        <w:t>” and “</w:t>
      </w:r>
      <w:r>
        <w:rPr>
          <w:sz w:val="20"/>
          <w:szCs w:val="20"/>
          <w:color w:val="auto"/>
        </w:rPr>
        <w:tab/>
      </w:r>
      <w:r>
        <w:rPr>
          <w:rFonts w:ascii="Times New Roman" w:cs="Times New Roman" w:eastAsia="Times New Roman" w:hAnsi="Times New Roman"/>
          <w:sz w:val="17"/>
          <w:szCs w:val="17"/>
          <w:color w:val="auto"/>
        </w:rPr>
        <w:t>WS,” respectively.</w:t>
      </w:r>
    </w:p>
    <w:p>
      <w:pPr>
        <w:spacing w:after="0" w:line="203"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under applicable federal securities laws and will be subject to reduced public company reporting requirements. Investing in our securities involves a high degree of risk. See “Risk Factors” beginning on page 36 for a discussion of information that should be considered in connection with an investment in our securities. Investors will not be entitled to protections normally afforded to investors in Rule 419 blank check offerings.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 offer or invitation to subscribe for securities may be made to the public in the Cayman Islands.</w:t>
      </w:r>
    </w:p>
    <w:p>
      <w:pPr>
        <w:spacing w:after="0" w:line="225"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121285</wp:posOffset>
            </wp:positionV>
            <wp:extent cx="2846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D5EAEA"/>
            </w:tcBorders>
          </w:tcPr>
          <w:p>
            <w:pPr>
              <w:spacing w:after="0"/>
              <w:rPr>
                <w:sz w:val="20"/>
                <w:szCs w:val="20"/>
                <w:color w:val="auto"/>
              </w:rPr>
            </w:pPr>
          </w:p>
        </w:tc>
        <w:tc>
          <w:tcPr>
            <w:tcW w:w="2980" w:type="dxa"/>
            <w:vAlign w:val="bottom"/>
            <w:tcBorders>
              <w:bottom w:val="single" w:sz="8" w:color="D5EAEA"/>
            </w:tcBorders>
          </w:tcPr>
          <w:p>
            <w:pPr>
              <w:spacing w:after="0"/>
              <w:rPr>
                <w:sz w:val="20"/>
                <w:szCs w:val="20"/>
                <w:color w:val="auto"/>
              </w:rPr>
            </w:pPr>
          </w:p>
        </w:tc>
        <w:tc>
          <w:tcPr>
            <w:tcW w:w="264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0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8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640" w:type="dxa"/>
            <w:vAlign w:val="bottom"/>
            <w:shd w:val="clear" w:color="auto" w:fill="D5EAEA"/>
          </w:tcPr>
          <w:p>
            <w:pPr>
              <w:spacing w:after="0"/>
              <w:rPr>
                <w:sz w:val="18"/>
                <w:szCs w:val="18"/>
                <w:color w:val="auto"/>
              </w:rPr>
            </w:pPr>
          </w:p>
        </w:tc>
        <w:tc>
          <w:tcPr>
            <w:tcW w:w="22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250,000,000</w:t>
            </w:r>
          </w:p>
        </w:tc>
      </w:tr>
      <w:tr>
        <w:trPr>
          <w:trHeight w:val="256"/>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2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13,750,000</w:t>
            </w:r>
          </w:p>
        </w:tc>
      </w:tr>
      <w:tr>
        <w:trPr>
          <w:trHeight w:val="216"/>
        </w:trPr>
        <w:tc>
          <w:tcPr>
            <w:tcW w:w="58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6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c>
          <w:tcPr>
            <w:tcW w:w="3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236,250,000</w:t>
            </w:r>
          </w:p>
        </w:tc>
      </w:tr>
      <w:tr>
        <w:trPr>
          <w:trHeight w:val="81"/>
        </w:trPr>
        <w:tc>
          <w:tcPr>
            <w:tcW w:w="282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63" w:lineRule="exact"/>
        <w:rPr>
          <w:sz w:val="20"/>
          <w:szCs w:val="20"/>
          <w:color w:val="auto"/>
        </w:rPr>
      </w:pPr>
    </w:p>
    <w:p>
      <w:pPr>
        <w:ind w:left="340" w:right="16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$0.20 per unit, or $5,000,000 in the aggregate (or $5,750,000 if the underwriters’ over-allotment option is exercised in full), is payable upon the closing of this offering. Includes $0.35 per unit, or $8,750,000 in the aggregate (or up to $10,062,500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Of the proceeds we receive from this offering and the sale of the private placement warrants described in this prospectus, $250.0 million, or $287.5 million if the underwriters’ over-allotment option is exercised in full ($10.00 per unit in either case), will be deposited into a trust account located in the United States with Continental Stock Transfer &amp; Trust Company acting as trustee, after deducting $5,000,000 in underwriting discounts and commissions payable upon the closing of this offering (or $5,750,000 if the underwriters’ over-allotment option is exercised in full) and an aggregate of $2.0 million to pay fees and expenses in connection with the closing of this offering and for working capital following the closing of this offering.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underwriters are offering the units for sale on a firm commitment basis. The underwriters expect to deliver the units to the purchasers on or</w:t>
      </w:r>
    </w:p>
    <w:p>
      <w:pPr>
        <w:spacing w:after="0" w:line="2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151765</wp:posOffset>
            </wp:positionV>
            <wp:extent cx="2846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Book-Running Manager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J.P. Morgan</w:t>
      </w:r>
    </w:p>
    <w:p>
      <w:pPr>
        <w:spacing w:after="0" w:line="3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4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3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Summary</w:t>
              </w:r>
            </w:hyperlink>
          </w:p>
        </w:tc>
        <w:tc>
          <w:tcPr>
            <w:tcW w:w="3040" w:type="dxa"/>
            <w:vAlign w:val="bottom"/>
          </w:tcPr>
          <w:p>
            <w:pPr>
              <w:spacing w:after="0"/>
              <w:rPr>
                <w:sz w:val="24"/>
                <w:szCs w:val="24"/>
                <w:color w:val="auto"/>
              </w:rPr>
            </w:pPr>
          </w:p>
        </w:tc>
        <w:tc>
          <w:tcPr>
            <w:tcW w:w="340" w:type="dxa"/>
            <w:vAlign w:val="bottom"/>
            <w:tcBorders>
              <w:top w:val="single" w:sz="8" w:color="auto"/>
            </w:tcBorders>
          </w:tcPr>
          <w:p>
            <w:pPr>
              <w:jc w:val="right"/>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The Offering</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9</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Risks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32</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Summary Financial Data</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33</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Cautionary Note Regarding Forward-Looking Statements and Risk Factor Summary</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34</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Risk Factors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36</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Use of Proceeds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70</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Dividend Policy</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73</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Dilution</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74</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Capitalization</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76</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77</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Proposed Business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82</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Management</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108</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Principal Shareholders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116</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Certain Relationships and Related Party Transactions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119</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Description of Securities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121</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Taxation</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141</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Underwriting</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152</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Legal Matters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159</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Experts</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159</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Where You Can Find Additional Information</w:t>
              </w:r>
            </w:hyperlink>
          </w:p>
        </w:tc>
        <w:tc>
          <w:tcPr>
            <w:tcW w:w="338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159</w:t>
              </w:r>
            </w:hyperlink>
          </w:p>
        </w:tc>
        <w:tc>
          <w:tcPr>
            <w:tcW w:w="0" w:type="dxa"/>
            <w:vAlign w:val="bottom"/>
          </w:tcPr>
          <w:p>
            <w:pPr>
              <w:spacing w:after="0"/>
              <w:rPr>
                <w:sz w:val="1"/>
                <w:szCs w:val="1"/>
                <w:color w:val="auto"/>
              </w:rPr>
            </w:pPr>
          </w:p>
        </w:tc>
      </w:tr>
      <w:tr>
        <w:trPr>
          <w:trHeight w:val="234"/>
        </w:trPr>
        <w:tc>
          <w:tcPr>
            <w:tcW w:w="7860" w:type="dxa"/>
            <w:vAlign w:val="bottom"/>
            <w:gridSpan w:val="2"/>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Index To Financial Statements</w:t>
              </w:r>
            </w:hyperlink>
          </w:p>
        </w:tc>
        <w:tc>
          <w:tcPr>
            <w:tcW w:w="3040" w:type="dxa"/>
            <w:vAlign w:val="bottom"/>
          </w:tcPr>
          <w:p>
            <w:pPr>
              <w:spacing w:after="0"/>
              <w:rPr>
                <w:sz w:val="20"/>
                <w:szCs w:val="20"/>
                <w:color w:val="auto"/>
              </w:rPr>
            </w:pPr>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F-1</w:t>
              </w:r>
            </w:hyperlink>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have not, and the underwriters have not, authorized anyone to provide you with information that is different from or inconsistent with that contained in this prospectus.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 or any earlier date specified for such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This prospectus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6130" cy="6853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100"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740" w:hanging="31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 “company” or “our company” are to Freedom Acquisition I Corp., a Cayman Islands exempted company;</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Act” are to the Companies Act (2020 Revision) of the Cayman Islands as the same may be amended from time to time;</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are to our current directors and director nominees (if any);</w:t>
      </w:r>
    </w:p>
    <w:p>
      <w:pPr>
        <w:spacing w:after="0" w:line="225" w:lineRule="exact"/>
        <w:rPr>
          <w:rFonts w:ascii="Times New Roman" w:cs="Times New Roman" w:eastAsia="Times New Roman" w:hAnsi="Times New Roman"/>
          <w:sz w:val="18"/>
          <w:szCs w:val="18"/>
          <w:color w:val="auto"/>
        </w:rPr>
      </w:pPr>
    </w:p>
    <w:p>
      <w:pPr>
        <w:ind w:left="740" w:right="220" w:hanging="318"/>
        <w:spacing w:after="0" w:line="267"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are to our Class B ordinary shares initially purchased by our sponsor in a private placement prior to this offering and our Class A ordinary shares that will be issued upon the automatic conversion of the Class B ordinary shares at the time of our initial business combination as described herein;</w:t>
      </w:r>
    </w:p>
    <w:p>
      <w:pPr>
        <w:spacing w:after="0" w:line="173"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shareholders” are to holders of our founder shares prior to this offering;</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or our “management team” are to our officers and directors;</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“ordinary shares” are to our Class A ordinary shares and our Class B ordinary shares;</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“private placement warrants” are to the warrants issued to our sponsor in a private placement simultaneously with the closing of this offering;</w:t>
      </w:r>
    </w:p>
    <w:p>
      <w:pPr>
        <w:spacing w:after="0" w:line="236" w:lineRule="exact"/>
        <w:rPr>
          <w:rFonts w:ascii="Times New Roman" w:cs="Times New Roman" w:eastAsia="Times New Roman" w:hAnsi="Times New Roman"/>
          <w:sz w:val="17"/>
          <w:szCs w:val="17"/>
          <w:color w:val="auto"/>
        </w:rPr>
      </w:pPr>
    </w:p>
    <w:p>
      <w:pPr>
        <w:ind w:left="740" w:right="400" w:hanging="318"/>
        <w:spacing w:after="0" w:line="284"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shares” are to our Class A ordinary shares sold as part of the units in this offering (whether they are purchased in this offering or thereafter in the open market);</w:t>
      </w:r>
    </w:p>
    <w:p>
      <w:pPr>
        <w:spacing w:after="0" w:line="158" w:lineRule="exact"/>
        <w:rPr>
          <w:rFonts w:ascii="Times New Roman" w:cs="Times New Roman" w:eastAsia="Times New Roman" w:hAnsi="Times New Roman"/>
          <w:sz w:val="18"/>
          <w:szCs w:val="18"/>
          <w:color w:val="auto"/>
        </w:rPr>
      </w:pPr>
    </w:p>
    <w:p>
      <w:pPr>
        <w:ind w:left="740" w:right="20" w:hanging="318"/>
        <w:spacing w:after="0" w:line="267"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shareholders” are to the holders of our public shares, including our initial shareholders and management team to the extent our initial shareholders and/or members of our management team purchase public shares, provided that each initial shareholder’s and member of our management team’s status as a “public shareholder” will only exist with respect to such public shares;</w:t>
      </w:r>
    </w:p>
    <w:p>
      <w:pPr>
        <w:spacing w:after="0" w:line="173" w:lineRule="exact"/>
        <w:rPr>
          <w:rFonts w:ascii="Times New Roman" w:cs="Times New Roman" w:eastAsia="Times New Roman" w:hAnsi="Times New Roman"/>
          <w:sz w:val="18"/>
          <w:szCs w:val="18"/>
          <w:color w:val="auto"/>
        </w:rPr>
      </w:pPr>
    </w:p>
    <w:p>
      <w:pPr>
        <w:ind w:left="740" w:right="120" w:hanging="318"/>
        <w:spacing w:after="0" w:line="284"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warrants” are to the warrants sold as part of the units in this offering (whether they are purchased in this offering or thereafter in the open market);</w:t>
      </w:r>
    </w:p>
    <w:p>
      <w:pPr>
        <w:spacing w:after="0" w:line="158"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“sponsor” are to Freedom Acquisition I LLC, a Cayman Islands limited liability company; and</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“warrants” are to our public warrants and private placement warrants.</w:t>
      </w:r>
    </w:p>
    <w:p>
      <w:pPr>
        <w:spacing w:after="0" w:line="225" w:lineRule="exact"/>
        <w:rPr>
          <w:sz w:val="20"/>
          <w:szCs w:val="20"/>
          <w:color w:val="auto"/>
        </w:rPr>
      </w:pPr>
    </w:p>
    <w:p>
      <w:pPr>
        <w:ind w:left="100"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Any conversion of the Class B ordinary shares described in this prospectus will take effect as a redemption of Class B ordinary shares and an issuance of Class A ordinary shares as a matter of Cayman Islands law. Any forfeiture of shares, and all references to forfeiture of shares, described in this prospectus shall take effect as a surrender of shares for no consideration as a matter of Cayman Islands law. Any share dividend described in this prospectus will take effect as a share capitalization as a matter of Cayman Islands law.</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Unless we tell you otherwise, the information in this prospectus assumes that the underwriters will not exercise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232" w:right="499" w:bottom="1440" w:gutter="0" w:footer="0" w:header="0"/>
        </w:sectPr>
      </w:pPr>
    </w:p>
    <w:bookmarkStart w:id="6" w:name="page7"/>
    <w:bookmarkEnd w:id="6"/>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6130" cy="7247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247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00" w:right="20" w:firstLine="324"/>
        <w:spacing w:after="0" w:line="258" w:lineRule="auto"/>
        <w:rPr>
          <w:sz w:val="20"/>
          <w:szCs w:val="20"/>
          <w:color w:val="auto"/>
        </w:rPr>
      </w:pPr>
      <w:r>
        <w:rPr>
          <w:rFonts w:ascii="Times New Roman" w:cs="Times New Roman" w:eastAsia="Times New Roman" w:hAnsi="Times New Roman"/>
          <w:sz w:val="18"/>
          <w:szCs w:val="18"/>
          <w:color w:val="auto"/>
        </w:rPr>
        <w:t>Freedom Acquisition I Corp. is a newly incorporated blank check company, incorporated as a Cayman Islands exempted company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183" w:lineRule="exact"/>
        <w:rPr>
          <w:sz w:val="20"/>
          <w:szCs w:val="20"/>
          <w:color w:val="auto"/>
        </w:rPr>
      </w:pPr>
    </w:p>
    <w:p>
      <w:pPr>
        <w:ind w:left="100" w:right="320" w:firstLine="324"/>
        <w:spacing w:after="0" w:line="261" w:lineRule="auto"/>
        <w:rPr>
          <w:sz w:val="20"/>
          <w:szCs w:val="20"/>
          <w:color w:val="auto"/>
        </w:rPr>
      </w:pPr>
      <w:r>
        <w:rPr>
          <w:rFonts w:ascii="Times New Roman" w:cs="Times New Roman" w:eastAsia="Times New Roman" w:hAnsi="Times New Roman"/>
          <w:sz w:val="18"/>
          <w:szCs w:val="18"/>
          <w:color w:val="auto"/>
        </w:rPr>
        <w:t>While we may pursue an initial business combination with any target business and in any sector or geographical location, we intend to focus our search for an initial business combination in the area of Financial Services, in businesses that are technology-enabled and demonstrate growth and scalability potential. We anticipate that these target businesses may be located in developed markets, such as North America or Europe, or emerging markets, which may include Asia, Latin America and select countries in Africa.</w:t>
      </w:r>
    </w:p>
    <w:p>
      <w:pPr>
        <w:spacing w:after="0" w:line="180" w:lineRule="exact"/>
        <w:rPr>
          <w:sz w:val="20"/>
          <w:szCs w:val="20"/>
          <w:color w:val="auto"/>
        </w:rPr>
      </w:pPr>
    </w:p>
    <w:p>
      <w:pPr>
        <w:ind w:left="100" w:firstLine="324"/>
        <w:spacing w:after="0" w:line="255" w:lineRule="auto"/>
        <w:rPr>
          <w:sz w:val="20"/>
          <w:szCs w:val="20"/>
          <w:color w:val="auto"/>
        </w:rPr>
      </w:pPr>
      <w:r>
        <w:rPr>
          <w:rFonts w:ascii="Times New Roman" w:cs="Times New Roman" w:eastAsia="Times New Roman" w:hAnsi="Times New Roman"/>
          <w:sz w:val="18"/>
          <w:szCs w:val="18"/>
          <w:color w:val="auto"/>
        </w:rPr>
        <w:t>Freedom Acquisition I Corp. was established by Tidjane Thiam, Adam Gishen and Abhishek Bhatia to leverage their extensive experience in acquiring, building, operating and scaling global financial services businesses in constantly evolving environments. Mr. Thiam, with his more than 30 years of experience in financial services businesses, led global institutions like Credit Suisse and Prudential as CEO for 5 years and 6 years, respectively. Mr. Gishen has over 20 years of experience in financial services and has held senior leadership responsibilities in recent years at Credit Suisse running its Global Investor Relations and Corporate Communications functions. Mr. Bhatia has more than 20 years of global experience in life and general insurance and asset management and has created businesses from scratch, including a technology-enabled life insurer in Europe and a full-stack digital insurer in Asia for which he served as CEO.</w:t>
      </w:r>
    </w:p>
    <w:p>
      <w:pPr>
        <w:spacing w:after="0" w:line="189" w:lineRule="exact"/>
        <w:rPr>
          <w:sz w:val="20"/>
          <w:szCs w:val="20"/>
          <w:color w:val="auto"/>
        </w:rPr>
      </w:pPr>
    </w:p>
    <w:p>
      <w:pPr>
        <w:ind w:left="100" w:right="18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collective experience of our founders, in combination with their deep and broad global network of relationships across public and private sectors in both mature as well as emerging markets, provides us with a competitive advantage to identify, structure, finance and acquire the operations of a compelling target business. In pursuing our strategy of creating a global financial services group, we intend to add value to the target business through active engagement with its management team, and enabling that company to leverage the benefits of scale to grow and increase profitability.</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225" w:lineRule="exact"/>
        <w:rPr>
          <w:sz w:val="20"/>
          <w:szCs w:val="20"/>
          <w:color w:val="auto"/>
        </w:rPr>
      </w:pPr>
    </w:p>
    <w:p>
      <w:pPr>
        <w:ind w:left="100" w:right="1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Tidjane Thiam</w:t>
      </w:r>
      <w:r>
        <w:rPr>
          <w:rFonts w:ascii="Times New Roman" w:cs="Times New Roman" w:eastAsia="Times New Roman" w:hAnsi="Times New Roman"/>
          <w:sz w:val="18"/>
          <w:szCs w:val="18"/>
          <w:color w:val="auto"/>
        </w:rPr>
        <w:t>, our Executive Chairman, has over 30 years of experience in global financial services. Mr. Thiam was the CEO of Credit Suisse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AG from 2015 to 2020, where he successfully turned around the performance of Credit Suisse and delivered record-breaking profits in 2019, Credit Suisse’s most profitable year in over a decade. He was able to significantly restructure the bank’s trading and investment banking business, while simultaneously growing its wealth management activities with a focus on entrepreneurs and ultra-high net worth individuals. For these achievements, Mr. Thiam was awarded with the Banker of the Year - Euromoney award in 2018.</w:t>
      </w:r>
    </w:p>
    <w:p>
      <w:pPr>
        <w:spacing w:after="0" w:line="183" w:lineRule="exact"/>
        <w:rPr>
          <w:sz w:val="20"/>
          <w:szCs w:val="20"/>
          <w:color w:val="auto"/>
        </w:rPr>
      </w:pPr>
    </w:p>
    <w:p>
      <w:pPr>
        <w:ind w:left="100" w:right="20" w:firstLine="324"/>
        <w:spacing w:after="0" w:line="254" w:lineRule="auto"/>
        <w:rPr>
          <w:sz w:val="20"/>
          <w:szCs w:val="20"/>
          <w:color w:val="auto"/>
        </w:rPr>
      </w:pPr>
      <w:r>
        <w:rPr>
          <w:rFonts w:ascii="Times New Roman" w:cs="Times New Roman" w:eastAsia="Times New Roman" w:hAnsi="Times New Roman"/>
          <w:sz w:val="18"/>
          <w:szCs w:val="18"/>
          <w:color w:val="auto"/>
        </w:rPr>
        <w:t>Prior to joining Credit Suisse, Mr. Thiam served as the Group CEO of Prudential plc from 2009 to 2015, after being Group CFO from 2008 to 2009. While at the helm of Prudential, Mr. Thiam foresaw the latent potential of insurance markets in Asia and spearheaded the strategy of transforming Prudential’s Asia business into a best-in-class franchise across the region. Within six years, new business premiums from the region nearly doubled to £2.2bn, operating profit more than doubled and dividends to the group increased by 10x. Mr. Thiam also played a key role in navigating Jackson National Life through the 2008-2009 market dislocation. Jackson emerged from the 2008-2009 market dislocation a few years later as a leader in the US variable annuities market. Under Mr. Thiam’s leadership, Prudential created substantial shareholder value by increasing the group’s market capitalization by 3.3x from approximately £10.6 billion in 2009 to approximately £35.3 billion in 2014 (based on 12-month volume-weighted average price). Mr. Thiam also served as a Director of Prudential plc from 2008 to 2015.</w:t>
      </w:r>
    </w:p>
    <w:p>
      <w:pPr>
        <w:spacing w:after="0" w:line="192" w:lineRule="exact"/>
        <w:rPr>
          <w:sz w:val="20"/>
          <w:szCs w:val="20"/>
          <w:color w:val="auto"/>
        </w:rPr>
      </w:pPr>
    </w:p>
    <w:p>
      <w:pPr>
        <w:jc w:val="both"/>
        <w:ind w:left="100" w:right="60" w:firstLine="324"/>
        <w:spacing w:after="0" w:line="261" w:lineRule="auto"/>
        <w:rPr>
          <w:sz w:val="20"/>
          <w:szCs w:val="20"/>
          <w:color w:val="auto"/>
        </w:rPr>
      </w:pPr>
      <w:r>
        <w:rPr>
          <w:rFonts w:ascii="Times New Roman" w:cs="Times New Roman" w:eastAsia="Times New Roman" w:hAnsi="Times New Roman"/>
          <w:sz w:val="18"/>
          <w:szCs w:val="18"/>
          <w:color w:val="auto"/>
        </w:rPr>
        <w:t>Previously, Mr. Thiam served in a variety of leadership roles at Aviva from 2002 to 2007, holding successively the positions of Group Strategy and Development Director, Managing Director of Aviva International, Group Executive Director and Chief Executive Officer, Europe, and being appointed to the Aviva plc board in 2007. Mr. Thiam joined Aviva in 2002 from McKinsey &amp; Company, the consulting firm, where he was a partner. From 1994 to 1999, he was successively CEO of the National Bureau for Technical Studies and Development, and Secretary of</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32"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6973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973570"/>
                    </a:xfrm>
                    <a:prstGeom prst="rect">
                      <a:avLst/>
                    </a:prstGeom>
                    <a:noFill/>
                  </pic:spPr>
                </pic:pic>
              </a:graphicData>
            </a:graphic>
          </wp:anchor>
        </w:drawing>
      </w:r>
    </w:p>
    <w:p>
      <w:pPr>
        <w:spacing w:after="0" w:line="196" w:lineRule="exact"/>
        <w:rPr>
          <w:sz w:val="20"/>
          <w:szCs w:val="20"/>
          <w:color w:val="auto"/>
        </w:rPr>
      </w:pPr>
    </w:p>
    <w:p>
      <w:pPr>
        <w:ind w:left="100" w:right="40"/>
        <w:spacing w:after="0" w:line="258" w:lineRule="auto"/>
        <w:rPr>
          <w:sz w:val="20"/>
          <w:szCs w:val="20"/>
          <w:color w:val="auto"/>
        </w:rPr>
      </w:pPr>
      <w:r>
        <w:rPr>
          <w:rFonts w:ascii="Times New Roman" w:cs="Times New Roman" w:eastAsia="Times New Roman" w:hAnsi="Times New Roman"/>
          <w:sz w:val="18"/>
          <w:szCs w:val="18"/>
          <w:color w:val="auto"/>
        </w:rPr>
        <w:t>Development and Planning, Côte d’Ivoire. Mr. Thiam served as Chairman of the Board of the Association of British Insurers from 2012 to 2014. In addition, Mr. Thiam is a chevalier of the French Legion of Honor, a member of Group of 30, a member of the Board of Directors and the Chair of the Audit Committee of Kering S.A., a member of the International Olympic Committee and a member of its Finance Commission. Mr. Thiam is a graduate from the École Polytechnique in Paris and the École Nationale Supérieure des Mines de Paris (top of his class) and holds an MBA from INSEAD, with distinction.</w:t>
      </w:r>
    </w:p>
    <w:p>
      <w:pPr>
        <w:spacing w:after="0" w:line="179" w:lineRule="exact"/>
        <w:rPr>
          <w:sz w:val="20"/>
          <w:szCs w:val="20"/>
          <w:color w:val="auto"/>
        </w:rPr>
      </w:pPr>
    </w:p>
    <w:p>
      <w:pPr>
        <w:ind w:left="100"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Adam Gishen</w:t>
      </w:r>
      <w:r>
        <w:rPr>
          <w:rFonts w:ascii="Times New Roman" w:cs="Times New Roman" w:eastAsia="Times New Roman" w:hAnsi="Times New Roman"/>
          <w:sz w:val="18"/>
          <w:szCs w:val="18"/>
          <w:color w:val="auto"/>
        </w:rPr>
        <w:t>, our Chief Executive Officer, has over 20 years of experience in financial services. Mr. Gishen served in several senior roles at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Suisse from 2015 to 2020, including Head of Investor Relations, Corporate Communications, Marketing and Branding from 2019 to 2020 and Head of Investor Relations and Corporate Communications from 2017 to 2019. Prior to 2015, Mr. Gishen was a Partner at Ondra Partners, a financial advisory firm and prior to that a Managing Director at Nomura in London and Lehman Brothers from 1999 to 2008 where he specialized in the area of Equity Capital Markets. He graduated from University of Leeds.</w:t>
      </w:r>
    </w:p>
    <w:p>
      <w:pPr>
        <w:spacing w:after="0" w:line="179" w:lineRule="exact"/>
        <w:rPr>
          <w:sz w:val="20"/>
          <w:szCs w:val="20"/>
          <w:color w:val="auto"/>
        </w:rPr>
      </w:pPr>
    </w:p>
    <w:p>
      <w:pPr>
        <w:ind w:left="100"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Abhishek Bhatia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our board of directors, has over 20 years of experience across various geographies and industries. Mr. Bhatia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FWD group from 2015 to 2020 and served as Group Chief Officer of New Business Models in his last role. Prior to the group role, he served as the CEO of FWD’s business in Singapore and established it as an exemplar in digital insurance within four years.</w:t>
      </w:r>
    </w:p>
    <w:p>
      <w:pPr>
        <w:spacing w:after="0" w:line="175" w:lineRule="exact"/>
        <w:rPr>
          <w:sz w:val="20"/>
          <w:szCs w:val="20"/>
          <w:color w:val="auto"/>
        </w:rPr>
      </w:pPr>
    </w:p>
    <w:p>
      <w:pPr>
        <w:ind w:left="100" w:right="160" w:firstLine="324"/>
        <w:spacing w:after="0" w:line="258" w:lineRule="auto"/>
        <w:rPr>
          <w:sz w:val="20"/>
          <w:szCs w:val="20"/>
          <w:color w:val="auto"/>
        </w:rPr>
      </w:pPr>
      <w:r>
        <w:rPr>
          <w:rFonts w:ascii="Times New Roman" w:cs="Times New Roman" w:eastAsia="Times New Roman" w:hAnsi="Times New Roman"/>
          <w:sz w:val="18"/>
          <w:szCs w:val="18"/>
          <w:color w:val="auto"/>
        </w:rPr>
        <w:t>Before joining FWD, Mr. Bhatia spent 15 years with Prudential plc in senior roles across the globe. In his last job with the company, he was Chief Executive Officer, Prudential Poland, where he oversaw the establishment of the company and was instrumental in achieving Prudential’s leadership position in sales technology and product innovation. Prior to that, he was the Regional Director of Insurance based out of Hong Kong. He also held senior roles with Prudential in Malaysia and India. Mr. Bhatia is an Economics Graduate from SRCC, University of Delhi and holds a post-graduate in Management from IIM Kolkata.</w:t>
      </w:r>
    </w:p>
    <w:p>
      <w:pPr>
        <w:spacing w:after="0" w:line="183" w:lineRule="exact"/>
        <w:rPr>
          <w:sz w:val="20"/>
          <w:szCs w:val="20"/>
          <w:color w:val="auto"/>
        </w:rPr>
      </w:pPr>
    </w:p>
    <w:p>
      <w:pPr>
        <w:ind w:left="100" w:right="380" w:firstLine="324"/>
        <w:spacing w:after="0" w:line="266" w:lineRule="auto"/>
        <w:rPr>
          <w:sz w:val="20"/>
          <w:szCs w:val="20"/>
          <w:color w:val="auto"/>
        </w:rPr>
      </w:pPr>
      <w:r>
        <w:rPr>
          <w:rFonts w:ascii="Times New Roman" w:cs="Times New Roman" w:eastAsia="Times New Roman" w:hAnsi="Times New Roman"/>
          <w:sz w:val="18"/>
          <w:szCs w:val="18"/>
          <w:color w:val="auto"/>
        </w:rPr>
        <w:t>The past performance of our management team is not a guarantee (i) that we will be able to identify a suitable candidate for our initial business combination or (ii) of success with respect to any business combination we may consummate. You should not rely on the historical record of our management team’s or their respective affiliates’ performance as indicative of our future performance.</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left="100" w:firstLine="324"/>
        <w:spacing w:after="0" w:line="254" w:lineRule="auto"/>
        <w:rPr>
          <w:sz w:val="20"/>
          <w:szCs w:val="20"/>
          <w:color w:val="auto"/>
        </w:rPr>
      </w:pPr>
      <w:r>
        <w:rPr>
          <w:rFonts w:ascii="Times New Roman" w:cs="Times New Roman" w:eastAsia="Times New Roman" w:hAnsi="Times New Roman"/>
          <w:sz w:val="18"/>
          <w:szCs w:val="18"/>
          <w:color w:val="auto"/>
        </w:rPr>
        <w:t>We will seek to acquire one or more businesses which currently or may in the future have the potential to benefit from disruption caused by the convergence of financial services and technology, driven by the exponential increase in data generation, advances in artificial intelligence and robotics, rising processing power and/or ubiquitous global connectivity through smartphones, among other technologies. COVID-19 has accelerated many of these trends and introduced changes in consumer behavior that we believe are here to stay, such as: insurers’ relationship with policyholders shifting away from one that is merely transactional to that of a value-added service provider; increasing usage of telemedicine and digital channels in accessing healthcare; and banks responding to the demands for multi-product and multi-geography solutions and alternative payment methods. We believe that these trends are generating significant market opportunities, and we plan to focus (based on the principles outlined in Business Strategy section) on these technology-enabled challenger businesses demonstrating differentiated growth and high scalability potential and that are valued between approximately $ billion and $ billion.</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left="100" w:firstLine="324"/>
        <w:spacing w:after="0" w:line="261" w:lineRule="auto"/>
        <w:rPr>
          <w:sz w:val="20"/>
          <w:szCs w:val="20"/>
          <w:color w:val="auto"/>
        </w:rPr>
      </w:pPr>
      <w:r>
        <w:rPr>
          <w:rFonts w:ascii="Times New Roman" w:cs="Times New Roman" w:eastAsia="Times New Roman" w:hAnsi="Times New Roman"/>
          <w:sz w:val="18"/>
          <w:szCs w:val="18"/>
          <w:color w:val="auto"/>
        </w:rPr>
        <w:t>Our business strategy is to identify opportunities where a combination of capital, talent and network will improve the customer experience and drive value for all stakeholders. Our business strategy focuses on leveraging our proven management team, led by Mr. Thiam with over a decade of combined experience as CEO of Prudential and Credit Suisse, to execute our business strategy, improve profitability and demonstrate growth across mature and emerging markets.</w:t>
      </w:r>
    </w:p>
    <w:p>
      <w:pPr>
        <w:spacing w:after="0" w:line="180" w:lineRule="exact"/>
        <w:rPr>
          <w:sz w:val="20"/>
          <w:szCs w:val="20"/>
          <w:color w:val="auto"/>
        </w:rPr>
      </w:pPr>
    </w:p>
    <w:p>
      <w:pPr>
        <w:ind w:left="100" w:right="400" w:firstLine="324"/>
        <w:spacing w:after="0" w:line="282" w:lineRule="auto"/>
        <w:rPr>
          <w:sz w:val="20"/>
          <w:szCs w:val="20"/>
          <w:color w:val="auto"/>
        </w:rPr>
      </w:pPr>
      <w:r>
        <w:rPr>
          <w:rFonts w:ascii="Times New Roman" w:cs="Times New Roman" w:eastAsia="Times New Roman" w:hAnsi="Times New Roman"/>
          <w:sz w:val="18"/>
          <w:szCs w:val="18"/>
          <w:color w:val="auto"/>
        </w:rPr>
        <w:t>We have chosen our independent board members for the purposes of assisting our sponsors with sourcing and evaluating business combination opportunities and developing plans and strategies to optimize any business that we acquire.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independent board members are: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6562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196" w:lineRule="exact"/>
        <w:rPr>
          <w:sz w:val="20"/>
          <w:szCs w:val="20"/>
          <w:color w:val="auto"/>
        </w:rPr>
      </w:pPr>
    </w:p>
    <w:p>
      <w:pPr>
        <w:ind w:left="42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420"/>
        <w:spacing w:after="0"/>
        <w:tabs>
          <w:tab w:leader="none" w:pos="2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 w:right="80" w:firstLine="324"/>
        <w:spacing w:after="0" w:line="258" w:lineRule="auto"/>
        <w:rPr>
          <w:sz w:val="20"/>
          <w:szCs w:val="20"/>
          <w:color w:val="auto"/>
        </w:rPr>
      </w:pPr>
      <w:r>
        <w:rPr>
          <w:rFonts w:ascii="Times New Roman" w:cs="Times New Roman" w:eastAsia="Times New Roman" w:hAnsi="Times New Roman"/>
          <w:sz w:val="18"/>
          <w:szCs w:val="18"/>
          <w:color w:val="auto"/>
        </w:rPr>
        <w:t>Our independent board members have been selected for their extensive sector and geographic expertise, operating experience, access to proprietary deal flow, strong relationships with business leaders and entrepreneurs and their ability to source attractive targets and assist us in implementing our business combination strategy. They have held senior leadership positions with companies where they have a strong track record of creating shareholder value, organically and through transformational acquisitions or corporate restructurings, as well as extensive relationships with owners and operators of companies within their respective industries.</w:t>
      </w:r>
    </w:p>
    <w:p>
      <w:pPr>
        <w:spacing w:after="0" w:line="183" w:lineRule="exact"/>
        <w:rPr>
          <w:sz w:val="20"/>
          <w:szCs w:val="20"/>
          <w:color w:val="auto"/>
        </w:rPr>
      </w:pPr>
    </w:p>
    <w:p>
      <w:pPr>
        <w:ind w:left="100" w:right="62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networks and experience of our management team and independent board members provide us with specific competitive advantages over other blank check companies in sourcing attractive targets for the following reasons: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World-class leadership team fueled by the combination of proven management team and Board of Directors.</w:t>
      </w:r>
    </w:p>
    <w:p>
      <w:pPr>
        <w:spacing w:after="0" w:line="229" w:lineRule="exact"/>
        <w:rPr>
          <w:sz w:val="20"/>
          <w:szCs w:val="20"/>
          <w:color w:val="auto"/>
        </w:rPr>
      </w:pPr>
    </w:p>
    <w:p>
      <w:pPr>
        <w:ind w:left="100" w:right="60" w:firstLine="324"/>
        <w:spacing w:after="0" w:line="282" w:lineRule="auto"/>
        <w:rPr>
          <w:sz w:val="20"/>
          <w:szCs w:val="20"/>
          <w:color w:val="auto"/>
        </w:rPr>
      </w:pPr>
      <w:r>
        <w:rPr>
          <w:rFonts w:ascii="Times New Roman" w:cs="Times New Roman" w:eastAsia="Times New Roman" w:hAnsi="Times New Roman"/>
          <w:sz w:val="18"/>
          <w:szCs w:val="18"/>
          <w:color w:val="auto"/>
        </w:rPr>
        <w:t>Our leadership team has extensive expertise across the target regions and sectors, with private and public board experience as well as a proven track record of generating value for investors across macroeconomic and industry cycles.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Diverse global network drives sourcing of unique opportunities.</w:t>
      </w:r>
    </w:p>
    <w:p>
      <w:pPr>
        <w:spacing w:after="0" w:line="229" w:lineRule="exact"/>
        <w:rPr>
          <w:sz w:val="20"/>
          <w:szCs w:val="20"/>
          <w:color w:val="auto"/>
        </w:rPr>
      </w:pPr>
    </w:p>
    <w:p>
      <w:pPr>
        <w:ind w:left="100" w:right="240" w:firstLine="324"/>
        <w:spacing w:after="0" w:line="282" w:lineRule="auto"/>
        <w:rPr>
          <w:sz w:val="20"/>
          <w:szCs w:val="20"/>
          <w:color w:val="auto"/>
        </w:rPr>
      </w:pPr>
      <w:r>
        <w:rPr>
          <w:rFonts w:ascii="Times New Roman" w:cs="Times New Roman" w:eastAsia="Times New Roman" w:hAnsi="Times New Roman"/>
          <w:sz w:val="18"/>
          <w:szCs w:val="18"/>
          <w:color w:val="auto"/>
        </w:rPr>
        <w:t>The leadership team has a broad network of relationships in both the public and private sectors, with access to both mature (U.S. and Europe) and emerging markets (Asia, Latin America and Africa), which we believe will provide us with a range of attractive potential business combinations.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Proven track record of deploying technology in regulated businesses.</w:t>
      </w:r>
    </w:p>
    <w:p>
      <w:pPr>
        <w:spacing w:after="0" w:line="229" w:lineRule="exact"/>
        <w:rPr>
          <w:sz w:val="20"/>
          <w:szCs w:val="20"/>
          <w:color w:val="auto"/>
        </w:rPr>
      </w:pPr>
    </w:p>
    <w:p>
      <w:pPr>
        <w:ind w:left="100" w:right="140" w:firstLine="324"/>
        <w:spacing w:after="0" w:line="266" w:lineRule="auto"/>
        <w:rPr>
          <w:sz w:val="20"/>
          <w:szCs w:val="20"/>
          <w:color w:val="auto"/>
        </w:rPr>
      </w:pPr>
      <w:r>
        <w:rPr>
          <w:rFonts w:ascii="Times New Roman" w:cs="Times New Roman" w:eastAsia="Times New Roman" w:hAnsi="Times New Roman"/>
          <w:sz w:val="18"/>
          <w:szCs w:val="18"/>
          <w:color w:val="auto"/>
        </w:rPr>
        <w:t>Our management team has substantial experience in managing change and leveraging technology to drive improved business performance across a broad range of sectors, including insurance, banking and wealth/asset management. Their experience covers a diverse range of technology strategies, including both in-house development and joint-venture creation, and have a track-record of successfully deploying these strategies in the past.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Demonstrated track-record of attracting talent and business scale-up.</w:t>
      </w:r>
    </w:p>
    <w:p>
      <w:pPr>
        <w:spacing w:after="0" w:line="229" w:lineRule="exact"/>
        <w:rPr>
          <w:sz w:val="20"/>
          <w:szCs w:val="20"/>
          <w:color w:val="auto"/>
        </w:rPr>
      </w:pPr>
    </w:p>
    <w:p>
      <w:pPr>
        <w:ind w:left="100" w:right="200" w:firstLine="324"/>
        <w:spacing w:after="0" w:line="266" w:lineRule="auto"/>
        <w:rPr>
          <w:sz w:val="20"/>
          <w:szCs w:val="20"/>
          <w:color w:val="auto"/>
        </w:rPr>
      </w:pPr>
      <w:r>
        <w:rPr>
          <w:rFonts w:ascii="Times New Roman" w:cs="Times New Roman" w:eastAsia="Times New Roman" w:hAnsi="Times New Roman"/>
          <w:sz w:val="18"/>
          <w:szCs w:val="18"/>
          <w:color w:val="auto"/>
        </w:rPr>
        <w:t>Our vastly experienced leadership team has experience fostering a company culture which both attracts and retains talent. Our team has a strong track record of achieving sustained business growth as well as significant value creation for investors, with experience in leadership roles at prominent companies.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Extensive experience of disciplined M&amp;A.</w:t>
      </w:r>
    </w:p>
    <w:p>
      <w:pPr>
        <w:spacing w:after="0" w:line="229" w:lineRule="exact"/>
        <w:rPr>
          <w:sz w:val="20"/>
          <w:szCs w:val="20"/>
          <w:color w:val="auto"/>
        </w:rPr>
      </w:pPr>
    </w:p>
    <w:p>
      <w:pPr>
        <w:ind w:left="100" w:right="80" w:firstLine="324"/>
        <w:spacing w:after="0" w:line="289" w:lineRule="auto"/>
        <w:rPr>
          <w:sz w:val="20"/>
          <w:szCs w:val="20"/>
          <w:color w:val="auto"/>
        </w:rPr>
      </w:pPr>
      <w:r>
        <w:rPr>
          <w:rFonts w:ascii="Times New Roman" w:cs="Times New Roman" w:eastAsia="Times New Roman" w:hAnsi="Times New Roman"/>
          <w:sz w:val="17"/>
          <w:szCs w:val="17"/>
          <w:color w:val="auto"/>
        </w:rPr>
        <w:t>Our management team and independent board members have a significant background in executing competitive, sizeable and complex transactions. The rigorous and disciplined criteria we intend to use to assess potential acquisitions derives from our leadership team’s collective industry experience across a range of leading companies, which has provided them with a deep understanding of the market as well as expertise in scaling businesses.</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Business Combination Criteria</w:t>
      </w:r>
    </w:p>
    <w:p>
      <w:pPr>
        <w:spacing w:after="0" w:line="229" w:lineRule="exact"/>
        <w:rPr>
          <w:sz w:val="20"/>
          <w:szCs w:val="20"/>
          <w:color w:val="auto"/>
        </w:rPr>
      </w:pPr>
    </w:p>
    <w:p>
      <w:pPr>
        <w:ind w:left="100" w:firstLine="324"/>
        <w:spacing w:after="0" w:line="266" w:lineRule="auto"/>
        <w:rPr>
          <w:sz w:val="20"/>
          <w:szCs w:val="20"/>
          <w:color w:val="auto"/>
        </w:rPr>
      </w:pPr>
      <w:r>
        <w:rPr>
          <w:rFonts w:ascii="Times New Roman" w:cs="Times New Roman" w:eastAsia="Times New Roman" w:hAnsi="Times New Roman"/>
          <w:sz w:val="18"/>
          <w:szCs w:val="18"/>
          <w:color w:val="auto"/>
          <w:highlight w:val="white"/>
        </w:rPr>
        <w:t>Consistent with our business strategy, we have identified the following general criteria and guidelines that we believe are important in evaluating prospective target businesses. We intend to use these criteria and guidelines in evaluating business combination opportunities, although we may decide to enter into our initial business combination with a target business that does not meet these criteria and guidelines.</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6150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Large addressable market underpinning long term growth prospects.</w:t>
      </w:r>
    </w:p>
    <w:p>
      <w:pPr>
        <w:spacing w:after="0" w:line="229" w:lineRule="exact"/>
        <w:rPr>
          <w:sz w:val="20"/>
          <w:szCs w:val="20"/>
          <w:color w:val="auto"/>
        </w:rPr>
      </w:pPr>
    </w:p>
    <w:p>
      <w:pPr>
        <w:ind w:left="100" w:right="140" w:firstLine="324"/>
        <w:spacing w:after="0" w:line="266" w:lineRule="auto"/>
        <w:rPr>
          <w:sz w:val="20"/>
          <w:szCs w:val="20"/>
          <w:color w:val="auto"/>
        </w:rPr>
      </w:pPr>
      <w:r>
        <w:rPr>
          <w:rFonts w:ascii="Times New Roman" w:cs="Times New Roman" w:eastAsia="Times New Roman" w:hAnsi="Times New Roman"/>
          <w:sz w:val="18"/>
          <w:szCs w:val="18"/>
          <w:color w:val="auto"/>
        </w:rPr>
        <w:t>We will seek to acquire one or more businesses with significant runway to capture market share in a large addressable market, with attractive long-term growth prospects, favorable secular trends and superior unit economics that can be further enhanced through diverse revenue drivers. We will evaluate companies with significant potential to grow both organically and through strategic mergers and acquisitions.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with significant revenue and earnings growth potential.</w:t>
      </w:r>
    </w:p>
    <w:p>
      <w:pPr>
        <w:spacing w:after="0" w:line="229" w:lineRule="exact"/>
        <w:rPr>
          <w:sz w:val="20"/>
          <w:szCs w:val="20"/>
          <w:color w:val="auto"/>
        </w:rPr>
      </w:pPr>
    </w:p>
    <w:p>
      <w:pPr>
        <w:ind w:left="100" w:firstLine="324"/>
        <w:spacing w:after="0" w:line="261" w:lineRule="auto"/>
        <w:rPr>
          <w:sz w:val="20"/>
          <w:szCs w:val="20"/>
          <w:color w:val="auto"/>
        </w:rPr>
      </w:pPr>
      <w:r>
        <w:rPr>
          <w:rFonts w:ascii="Times New Roman" w:cs="Times New Roman" w:eastAsia="Times New Roman" w:hAnsi="Times New Roman"/>
          <w:sz w:val="18"/>
          <w:szCs w:val="18"/>
          <w:color w:val="auto"/>
        </w:rPr>
        <w:t>We will seek to acquire one or more businesses with a leading market position in an attractive industry, with a focus on the financial services sector. We believe scale and technological differentiation can provide a basis for superior competitive performance relative to industry peers. Our team’s deep understanding of the industry as well as our experience in managing businesses and achieving sustainable growth is unparalleled when compared to other sources of equity and growth capital.</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Distinct business strengths driving competitive differentiation and attractive unit economics.</w:t>
      </w:r>
    </w:p>
    <w:p>
      <w:pPr>
        <w:spacing w:after="0" w:line="229" w:lineRule="exact"/>
        <w:rPr>
          <w:sz w:val="20"/>
          <w:szCs w:val="20"/>
          <w:color w:val="auto"/>
        </w:rPr>
      </w:pPr>
    </w:p>
    <w:p>
      <w:pPr>
        <w:ind w:left="100" w:right="20" w:firstLine="324"/>
        <w:spacing w:after="0" w:line="282" w:lineRule="auto"/>
        <w:rPr>
          <w:sz w:val="20"/>
          <w:szCs w:val="20"/>
          <w:color w:val="auto"/>
        </w:rPr>
      </w:pPr>
      <w:r>
        <w:rPr>
          <w:rFonts w:ascii="Times New Roman" w:cs="Times New Roman" w:eastAsia="Times New Roman" w:hAnsi="Times New Roman"/>
          <w:sz w:val="18"/>
          <w:szCs w:val="18"/>
          <w:color w:val="auto"/>
        </w:rPr>
        <w:t>We will seek to acquire one or more businesses that has long-term, sustainable competitive differentiation coupled with superior unit economics. We are focused on companies with strong business models and favorable sector tailwinds which we believe can lead to durable and profitable growth.</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Scalable operations.</w:t>
      </w:r>
    </w:p>
    <w:p>
      <w:pPr>
        <w:spacing w:after="0" w:line="229" w:lineRule="exact"/>
        <w:rPr>
          <w:sz w:val="20"/>
          <w:szCs w:val="20"/>
          <w:color w:val="auto"/>
        </w:rPr>
      </w:pPr>
    </w:p>
    <w:p>
      <w:pPr>
        <w:ind w:left="100" w:right="40" w:firstLine="324"/>
        <w:spacing w:after="0" w:line="282" w:lineRule="auto"/>
        <w:rPr>
          <w:sz w:val="20"/>
          <w:szCs w:val="20"/>
          <w:color w:val="auto"/>
        </w:rPr>
      </w:pPr>
      <w:r>
        <w:rPr>
          <w:rFonts w:ascii="Times New Roman" w:cs="Times New Roman" w:eastAsia="Times New Roman" w:hAnsi="Times New Roman"/>
          <w:sz w:val="18"/>
          <w:szCs w:val="18"/>
          <w:color w:val="auto"/>
        </w:rPr>
        <w:t>We will seek to acquire one or more businesses that will be able to significantly scale its operations to take advantage of its opportunities. We intend to leverage our management team’s experience in scaling businesses in order to help accelerate growth.</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Uncorrelated returns with minimal cyclicality risk.</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will seek to acquire one or more businesses with limited susceptibility to cyclical risk and shifts in the macroeconomic environment.</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Reputable management team with well-defined vision and credible track record.</w:t>
      </w:r>
    </w:p>
    <w:p>
      <w:pPr>
        <w:spacing w:after="0" w:line="229" w:lineRule="exact"/>
        <w:rPr>
          <w:sz w:val="20"/>
          <w:szCs w:val="20"/>
          <w:color w:val="auto"/>
        </w:rPr>
      </w:pPr>
    </w:p>
    <w:p>
      <w:pPr>
        <w:ind w:left="100" w:right="20" w:firstLine="324"/>
        <w:spacing w:after="0" w:line="261" w:lineRule="auto"/>
        <w:rPr>
          <w:sz w:val="20"/>
          <w:szCs w:val="20"/>
          <w:color w:val="auto"/>
        </w:rPr>
      </w:pPr>
      <w:r>
        <w:rPr>
          <w:rFonts w:ascii="Times New Roman" w:cs="Times New Roman" w:eastAsia="Times New Roman" w:hAnsi="Times New Roman"/>
          <w:sz w:val="18"/>
          <w:szCs w:val="18"/>
          <w:color w:val="auto"/>
        </w:rPr>
        <w:t>We will seek to acquire one or more businesses with a professional management team which has a clear and compelling vision for the company, with skills that complement the expertise of our founders and whose interests are aligned with those of our investors. Where necessary, we may also look to complement and enhance the capabilities of the target business’ management team by recruiting additional talent through our deep network of contacts.</w:t>
      </w:r>
    </w:p>
    <w:p>
      <w:pPr>
        <w:spacing w:after="0" w:line="180" w:lineRule="exact"/>
        <w:rPr>
          <w:sz w:val="20"/>
          <w:szCs w:val="20"/>
          <w:color w:val="auto"/>
        </w:rPr>
      </w:pPr>
    </w:p>
    <w:p>
      <w:pPr>
        <w:ind w:left="100" w:right="20" w:firstLine="324"/>
        <w:spacing w:after="0" w:line="254" w:lineRule="auto"/>
        <w:rPr>
          <w:sz w:val="20"/>
          <w:szCs w:val="20"/>
          <w:color w:val="auto"/>
        </w:rPr>
      </w:pPr>
      <w:r>
        <w:rPr>
          <w:rFonts w:ascii="Times New Roman" w:cs="Times New Roman" w:eastAsia="Times New Roman" w:hAnsi="Times New Roman"/>
          <w:sz w:val="18"/>
          <w:szCs w:val="18"/>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materials or tender offer documents that we would file with the SEC. In addition to any potential business candidates we may identify on our own, we anticipate that other target business candidates will be brought to our attention from various unaffiliated sources, including investment market participants, private equity funds, and large business enterprises seeking to divest non-core assets or divisions.</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5327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327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229" w:lineRule="exact"/>
        <w:rPr>
          <w:sz w:val="20"/>
          <w:szCs w:val="20"/>
          <w:color w:val="auto"/>
        </w:rPr>
      </w:pPr>
    </w:p>
    <w:p>
      <w:pPr>
        <w:ind w:left="100" w:right="20" w:firstLine="324"/>
        <w:spacing w:after="0" w:line="253" w:lineRule="auto"/>
        <w:rPr>
          <w:sz w:val="20"/>
          <w:szCs w:val="20"/>
          <w:color w:val="auto"/>
        </w:rPr>
      </w:pPr>
      <w:r>
        <w:rPr>
          <w:rFonts w:ascii="Times New Roman" w:cs="Times New Roman" w:eastAsia="Times New Roman" w:hAnsi="Times New Roman"/>
          <w:sz w:val="18"/>
          <w:szCs w:val="18"/>
          <w:color w:val="auto"/>
        </w:rPr>
        <w:t>The rules of the NYSE require and our amended and restated memorandum and articles of association provide that we must consummate an initial business combination with one or more operating businesses or assets with a fair market value equal to at least 80% of the net assets held in the trust account (excluding the amount of any deferred underwriting commission held in trust) as determined at the time of our signing a definitive agreement in connection with our initial business combination. Our board of directors will make the determination as to the fair market value of our initial business combination upon standards generally accepted by the financial community. If our board of directors is not able to independently determine the fair market value of our initial business combination (including with the assistance of financial advisors), we will obtain an opinion from an independent investment banking firm that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94" w:lineRule="exact"/>
        <w:rPr>
          <w:sz w:val="20"/>
          <w:szCs w:val="20"/>
          <w:color w:val="auto"/>
        </w:rPr>
      </w:pPr>
    </w:p>
    <w:p>
      <w:pPr>
        <w:ind w:left="100" w:right="20" w:firstLine="324"/>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post-transaction company in which our public shareholders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 parties in connection with financing our initial business combination.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outstanding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95" w:lineRule="exact"/>
        <w:rPr>
          <w:sz w:val="20"/>
          <w:szCs w:val="20"/>
          <w:color w:val="auto"/>
        </w:rPr>
      </w:pPr>
    </w:p>
    <w:p>
      <w:pPr>
        <w:ind w:left="100" w:firstLine="324"/>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and disinterested directors, would obtain an opinion from an independent investment banking firm that is a member of FINRA or a valuation or appraisal firm that such an initial business combination is fair to our company from a financial point of view. We are not required to obtain such an opinion in any other context.</w:t>
      </w: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6150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0" w:right="220" w:firstLine="324"/>
        <w:spacing w:after="0" w:line="258" w:lineRule="auto"/>
        <w:rPr>
          <w:sz w:val="20"/>
          <w:szCs w:val="20"/>
          <w:color w:val="auto"/>
        </w:rPr>
      </w:pPr>
      <w:r>
        <w:rPr>
          <w:rFonts w:ascii="Times New Roman" w:cs="Times New Roman" w:eastAsia="Times New Roman" w:hAnsi="Times New Roman"/>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sz w:val="20"/>
          <w:szCs w:val="20"/>
          <w:color w:val="auto"/>
        </w:rPr>
      </w:pPr>
    </w:p>
    <w:p>
      <w:pPr>
        <w:ind w:left="100" w:firstLine="324"/>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the fiduciary duties or contractual obligations of our officers or directors will materially affect our ability to complete our initial business combination.</w:t>
      </w:r>
    </w:p>
    <w:p>
      <w:pPr>
        <w:spacing w:after="0" w:line="194" w:lineRule="exact"/>
        <w:rPr>
          <w:sz w:val="20"/>
          <w:szCs w:val="20"/>
          <w:color w:val="auto"/>
        </w:rPr>
      </w:pPr>
    </w:p>
    <w:p>
      <w:pPr>
        <w:ind w:left="100" w:right="120" w:firstLine="324"/>
        <w:spacing w:after="0" w:line="281" w:lineRule="auto"/>
        <w:rPr>
          <w:sz w:val="20"/>
          <w:szCs w:val="20"/>
          <w:color w:val="auto"/>
        </w:rPr>
      </w:pPr>
      <w:r>
        <w:rPr>
          <w:rFonts w:ascii="Times New Roman" w:cs="Times New Roman" w:eastAsia="Times New Roman" w:hAnsi="Times New Roman"/>
          <w:sz w:val="17"/>
          <w:szCs w:val="17"/>
          <w:color w:val="auto"/>
        </w:rPr>
        <w:t>In addition, our sponsor and our officers and directors may sponsor, form, invest in or otherwise become involved with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64" w:lineRule="exact"/>
        <w:rPr>
          <w:sz w:val="20"/>
          <w:szCs w:val="20"/>
          <w:color w:val="auto"/>
        </w:rPr>
      </w:pPr>
    </w:p>
    <w:p>
      <w:pPr>
        <w:ind w:left="100" w:right="40" w:firstLine="324"/>
        <w:spacing w:after="0" w:line="261" w:lineRule="auto"/>
        <w:rPr>
          <w:sz w:val="20"/>
          <w:szCs w:val="20"/>
          <w:color w:val="auto"/>
        </w:rPr>
      </w:pPr>
      <w:r>
        <w:rPr>
          <w:rFonts w:ascii="Times New Roman" w:cs="Times New Roman" w:eastAsia="Times New Roman" w:hAnsi="Times New Roman"/>
          <w:sz w:val="18"/>
          <w:szCs w:val="18"/>
          <w:color w:val="auto"/>
        </w:rPr>
        <w:t>Prior to the effectiveness of the registration statement of which this prospectus forms a part,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executive offices are located at 14 Wall Street, 20th Floor, New York, 10005, and our telephone number is (212) 618-1798. Upon completion of</w:t>
      </w:r>
    </w:p>
    <w:p>
      <w:pPr>
        <w:spacing w:after="0" w:line="27" w:lineRule="exact"/>
        <w:rPr>
          <w:sz w:val="20"/>
          <w:szCs w:val="20"/>
          <w:color w:val="auto"/>
        </w:rPr>
      </w:pPr>
    </w:p>
    <w:p>
      <w:pPr>
        <w:ind w:left="100" w:right="80"/>
        <w:spacing w:after="0" w:line="260" w:lineRule="auto"/>
        <w:rPr>
          <w:sz w:val="20"/>
          <w:szCs w:val="20"/>
          <w:color w:val="auto"/>
        </w:rPr>
      </w:pPr>
      <w:r>
        <w:rPr>
          <w:rFonts w:ascii="Times New Roman" w:cs="Times New Roman" w:eastAsia="Times New Roman" w:hAnsi="Times New Roman"/>
          <w:sz w:val="18"/>
          <w:szCs w:val="18"/>
          <w:color w:val="auto"/>
        </w:rPr>
        <w:t>this offering our corporate website address will be . Our website and the information contained on, or that can be accessed through, the website is not deemed to be incorporated by reference in, and is not considered part of, this prospectus or the registration statement of which this prospectus is a part.</w:t>
      </w:r>
    </w:p>
    <w:p>
      <w:pPr>
        <w:spacing w:after="0" w:line="397" w:lineRule="exact"/>
        <w:rPr>
          <w:sz w:val="20"/>
          <w:szCs w:val="20"/>
          <w:color w:val="auto"/>
        </w:rPr>
      </w:pPr>
    </w:p>
    <w:p>
      <w:pPr>
        <w:ind w:left="100" w:right="20" w:firstLine="324"/>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received a tax exemption undertaking from the Cayman Islands government that, in accordance with Section 6 of the Tax Concessions Act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381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381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0" w:right="8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left="100" w:right="240" w:firstLine="324"/>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100" w:right="40"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83" w:lineRule="exact"/>
        <w:rPr>
          <w:sz w:val="20"/>
          <w:szCs w:val="20"/>
          <w:color w:val="auto"/>
        </w:rPr>
      </w:pPr>
    </w:p>
    <w:p>
      <w:pPr>
        <w:ind w:left="100"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6167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100"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263" w:lineRule="exact"/>
        <w:rPr>
          <w:sz w:val="20"/>
          <w:szCs w:val="20"/>
          <w:color w:val="auto"/>
        </w:rPr>
      </w:pPr>
    </w:p>
    <w:p>
      <w:pPr>
        <w:ind w:left="100"/>
        <w:spacing w:after="0"/>
        <w:tabs>
          <w:tab w:leader="none" w:pos="560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7"/>
          <w:szCs w:val="17"/>
          <w:color w:val="auto"/>
        </w:rPr>
        <w:t>25,000,000 units (or 28,750,000 units if the underwriters’ over-allotment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option is exercised in full), at $10.00 per unit, each unit consisting of:</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one Class A ordinary share; and</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one-third of one redeemable warrant.</w:t>
      </w:r>
    </w:p>
    <w:p>
      <w:pPr>
        <w:spacing w:after="0" w:line="171" w:lineRule="exact"/>
        <w:rPr>
          <w:sz w:val="20"/>
          <w:szCs w:val="20"/>
          <w:color w:val="auto"/>
        </w:rPr>
      </w:pPr>
    </w:p>
    <w:p>
      <w:pPr>
        <w:ind w:left="100"/>
        <w:spacing w:after="0"/>
        <w:tabs>
          <w:tab w:leader="none" w:pos="5600" w:val="left"/>
          <w:tab w:leader="none" w:pos="6840" w:val="left"/>
        </w:tabs>
        <w:rPr>
          <w:sz w:val="20"/>
          <w:szCs w:val="20"/>
          <w:color w:val="auto"/>
        </w:rPr>
      </w:pPr>
      <w:r>
        <w:rPr>
          <w:rFonts w:ascii="Times New Roman" w:cs="Times New Roman" w:eastAsia="Times New Roman" w:hAnsi="Times New Roman"/>
          <w:sz w:val="18"/>
          <w:szCs w:val="18"/>
          <w:color w:val="auto"/>
        </w:rPr>
        <w:t>NYSE symbols:</w:t>
      </w:r>
      <w:r>
        <w:rPr>
          <w:sz w:val="20"/>
          <w:szCs w:val="20"/>
          <w:color w:val="auto"/>
        </w:rPr>
        <w:tab/>
      </w:r>
      <w:r>
        <w:rPr>
          <w:rFonts w:ascii="Times New Roman" w:cs="Times New Roman" w:eastAsia="Times New Roman" w:hAnsi="Times New Roman"/>
          <w:sz w:val="18"/>
          <w:szCs w:val="18"/>
          <w:color w:val="auto"/>
        </w:rPr>
        <w:t>Units: “</w:t>
      </w:r>
      <w:r>
        <w:rPr>
          <w:sz w:val="20"/>
          <w:szCs w:val="20"/>
          <w:color w:val="auto"/>
        </w:rPr>
        <w:tab/>
      </w:r>
      <w:r>
        <w:rPr>
          <w:rFonts w:ascii="Times New Roman" w:cs="Times New Roman" w:eastAsia="Times New Roman" w:hAnsi="Times New Roman"/>
          <w:sz w:val="18"/>
          <w:szCs w:val="18"/>
          <w:color w:val="auto"/>
        </w:rPr>
        <w:t>.U”</w:t>
      </w:r>
    </w:p>
    <w:p>
      <w:pPr>
        <w:spacing w:after="0" w:line="171" w:lineRule="exact"/>
        <w:rPr>
          <w:sz w:val="20"/>
          <w:szCs w:val="20"/>
          <w:color w:val="auto"/>
        </w:rPr>
      </w:pPr>
    </w:p>
    <w:p>
      <w:pPr>
        <w:ind w:left="5620"/>
        <w:spacing w:after="0"/>
        <w:tabs>
          <w:tab w:leader="none" w:pos="8240" w:val="left"/>
        </w:tabs>
        <w:rPr>
          <w:sz w:val="20"/>
          <w:szCs w:val="20"/>
          <w:color w:val="auto"/>
        </w:rPr>
      </w:pPr>
      <w:r>
        <w:rPr>
          <w:rFonts w:ascii="Times New Roman" w:cs="Times New Roman" w:eastAsia="Times New Roman" w:hAnsi="Times New Roman"/>
          <w:sz w:val="18"/>
          <w:szCs w:val="18"/>
          <w:color w:val="auto"/>
        </w:rPr>
        <w:t>Class A Ordinary Shares: “</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5620"/>
        <w:spacing w:after="0"/>
        <w:tabs>
          <w:tab w:leader="none" w:pos="7100" w:val="left"/>
        </w:tabs>
        <w:rPr>
          <w:sz w:val="20"/>
          <w:szCs w:val="20"/>
          <w:color w:val="auto"/>
        </w:rPr>
      </w:pPr>
      <w:r>
        <w:rPr>
          <w:rFonts w:ascii="Times New Roman" w:cs="Times New Roman" w:eastAsia="Times New Roman" w:hAnsi="Times New Roman"/>
          <w:sz w:val="18"/>
          <w:szCs w:val="18"/>
          <w:color w:val="auto"/>
        </w:rPr>
        <w:t>Warrants: “</w:t>
      </w:r>
      <w:r>
        <w:rPr>
          <w:sz w:val="20"/>
          <w:szCs w:val="20"/>
          <w:color w:val="auto"/>
        </w:rPr>
        <w:tab/>
      </w:r>
      <w:r>
        <w:rPr>
          <w:rFonts w:ascii="Times New Roman" w:cs="Times New Roman" w:eastAsia="Times New Roman" w:hAnsi="Times New Roman"/>
          <w:sz w:val="17"/>
          <w:szCs w:val="17"/>
          <w:color w:val="auto"/>
        </w:rPr>
        <w:t>WS”</w:t>
      </w:r>
    </w:p>
    <w:p>
      <w:pPr>
        <w:sectPr>
          <w:pgSz w:w="11900" w:h="16838" w:orient="portrait"/>
          <w:cols w:equalWidth="0" w:num="1">
            <w:col w:w="11120"/>
          </w:cols>
          <w:pgMar w:left="320" w:top="225" w:right="459" w:bottom="1440" w:gutter="0" w:footer="0" w:header="0"/>
        </w:sectPr>
      </w:pPr>
    </w:p>
    <w:p>
      <w:pPr>
        <w:spacing w:after="0" w:line="171" w:lineRule="exact"/>
        <w:rPr>
          <w:sz w:val="20"/>
          <w:szCs w:val="20"/>
          <w:color w:val="auto"/>
        </w:rPr>
      </w:pPr>
    </w:p>
    <w:p>
      <w:pPr>
        <w:ind w:left="100"/>
        <w:spacing w:after="0" w:line="282" w:lineRule="auto"/>
        <w:rPr>
          <w:sz w:val="20"/>
          <w:szCs w:val="20"/>
          <w:color w:val="auto"/>
        </w:rPr>
      </w:pPr>
      <w:r>
        <w:rPr>
          <w:rFonts w:ascii="Times New Roman" w:cs="Times New Roman" w:eastAsia="Times New Roman" w:hAnsi="Times New Roman"/>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left="100" w:right="580"/>
        <w:spacing w:after="0" w:line="312" w:lineRule="auto"/>
        <w:rPr>
          <w:sz w:val="20"/>
          <w:szCs w:val="20"/>
          <w:color w:val="auto"/>
        </w:rPr>
      </w:pPr>
      <w:r>
        <w:rPr>
          <w:rFonts w:ascii="Times New Roman" w:cs="Times New Roman" w:eastAsia="Times New Roman" w:hAnsi="Times New Roman"/>
          <w:sz w:val="17"/>
          <w:szCs w:val="17"/>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Class A ordinary shares and warrants comprising the units will begin separate trading on the 52nd day following the date of this prospectus (or the immediately following business day if such 52nd day is not a business day) unless J.P. Morgan Securities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three units, you will not be able to receive or trade a whole warrant.</w:t>
      </w:r>
    </w:p>
    <w:p>
      <w:pPr>
        <w:spacing w:after="0" w:line="19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Additionally, the units will automatically separate into their component parts and will not be traded after completion of our initial business combination.</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no event will the Class A ordinary shares and warrants be traded separately until we have filed with the SEC a Current Report on Form 8-K which</w:t>
      </w:r>
    </w:p>
    <w:p>
      <w:pPr>
        <w:spacing w:after="0" w:line="200" w:lineRule="exact"/>
        <w:rPr>
          <w:sz w:val="20"/>
          <w:szCs w:val="20"/>
          <w:color w:val="auto"/>
        </w:rPr>
      </w:pPr>
    </w:p>
    <w:p>
      <w:pPr>
        <w:sectPr>
          <w:pgSz w:w="11900" w:h="16838" w:orient="portrait"/>
          <w:cols w:equalWidth="0" w:num="2">
            <w:col w:w="5200" w:space="420"/>
            <w:col w:w="5500"/>
          </w:cols>
          <w:pgMar w:left="320" w:top="225" w:right="459" w:bottom="1440" w:gutter="0" w:footer="0" w:header="0"/>
          <w:type w:val="continuous"/>
        </w:sect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7393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includes an audited balance sheet reflecting our receipt of the gross proceeds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 the closing of this offering. We will file the Current Report on Form 8-K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promptly after the closing of this offering. If the underwriters’ over-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allotment option is exercised following the initial filing of such Current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Report on Form 8-K, a second or amended Current Report on Form 8-K will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 filed to provide updated financial information to reflect the exercise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underwriters’ over-allotment option.</w:t>
      </w:r>
    </w:p>
    <w:p>
      <w:pPr>
        <w:sectPr>
          <w:pgSz w:w="11900" w:h="16838" w:orient="portrait"/>
          <w:cols w:equalWidth="0" w:num="1">
            <w:col w:w="11240"/>
          </w:cols>
          <w:pgMar w:left="320" w:top="225" w:right="339" w:bottom="1440" w:gutter="0" w:footer="0" w:header="0"/>
        </w:sectPr>
      </w:pP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Units:</w:t>
      </w:r>
    </w:p>
    <w:p>
      <w:pPr>
        <w:spacing w:after="0" w:line="27" w:lineRule="exact"/>
        <w:rPr>
          <w:sz w:val="20"/>
          <w:szCs w:val="20"/>
          <w:color w:val="auto"/>
        </w:rPr>
      </w:pPr>
    </w:p>
    <w:p>
      <w:pPr>
        <w:ind w:left="420" w:right="1900"/>
        <w:spacing w:after="0" w:line="477" w:lineRule="auto"/>
        <w:rPr>
          <w:sz w:val="20"/>
          <w:szCs w:val="20"/>
          <w:color w:val="auto"/>
        </w:rPr>
      </w:pPr>
      <w:r>
        <w:rPr>
          <w:rFonts w:ascii="Times New Roman" w:cs="Times New Roman" w:eastAsia="Times New Roman" w:hAnsi="Times New Roman"/>
          <w:sz w:val="17"/>
          <w:szCs w:val="17"/>
          <w:color w:val="auto"/>
        </w:rPr>
        <w:t>Number outstanding before this offering Number outstanding after this offering</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Ordinary shares: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Number outstanding before this offering</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Number outstanding after this offering</w:t>
      </w:r>
    </w:p>
    <w:p>
      <w:pPr>
        <w:spacing w:after="0" w:line="212" w:lineRule="exact"/>
        <w:rPr>
          <w:sz w:val="20"/>
          <w:szCs w:val="20"/>
          <w:color w:val="auto"/>
        </w:rPr>
      </w:pPr>
    </w:p>
    <w:p>
      <w:pPr>
        <w:ind w:left="260" w:hanging="161"/>
        <w:spacing w:after="0" w:line="282" w:lineRule="auto"/>
        <w:rPr>
          <w:sz w:val="20"/>
          <w:szCs w:val="20"/>
          <w:color w:val="auto"/>
        </w:rPr>
      </w:pPr>
      <w:r>
        <w:rPr>
          <w:rFonts w:ascii="Times New Roman" w:cs="Times New Roman" w:eastAsia="Times New Roman" w:hAnsi="Times New Roman"/>
          <w:sz w:val="18"/>
          <w:szCs w:val="18"/>
          <w:color w:val="auto"/>
        </w:rPr>
        <w:t>Warrants: Number of private placement warrants to be sold in a private placement simultaneously with this offering</w:t>
      </w:r>
    </w:p>
    <w:p>
      <w:pPr>
        <w:spacing w:after="0" w:line="108" w:lineRule="exact"/>
        <w:rPr>
          <w:sz w:val="20"/>
          <w:szCs w:val="20"/>
          <w:color w:val="auto"/>
        </w:rPr>
      </w:pPr>
    </w:p>
    <w:p>
      <w:pPr>
        <w:ind w:left="260" w:right="520" w:hanging="161"/>
        <w:spacing w:after="0" w:line="282" w:lineRule="auto"/>
        <w:rPr>
          <w:sz w:val="20"/>
          <w:szCs w:val="20"/>
          <w:color w:val="auto"/>
        </w:rPr>
      </w:pPr>
      <w:r>
        <w:rPr>
          <w:rFonts w:ascii="Times New Roman" w:cs="Times New Roman" w:eastAsia="Times New Roman" w:hAnsi="Times New Roman"/>
          <w:sz w:val="18"/>
          <w:szCs w:val="18"/>
          <w:color w:val="auto"/>
        </w:rPr>
        <w:t>Number of warrants to be outstanding after this offering and the private placement</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w:t>
      </w:r>
      <w:r>
        <w:rPr>
          <w:rFonts w:ascii="Times New Roman" w:cs="Times New Roman" w:eastAsia="Times New Roman" w:hAnsi="Times New Roman"/>
          <w:sz w:val="29"/>
          <w:szCs w:val="29"/>
          <w:color w:val="auto"/>
          <w:vertAlign w:val="superscript"/>
        </w:rPr>
        <w:t>(1)</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7,187,500</w:t>
      </w:r>
      <w:r>
        <w:rPr>
          <w:rFonts w:ascii="Times New Roman" w:cs="Times New Roman" w:eastAsia="Times New Roman" w:hAnsi="Times New Roman"/>
          <w:sz w:val="29"/>
          <w:szCs w:val="29"/>
          <w:color w:val="auto"/>
          <w:vertAlign w:val="superscript"/>
        </w:rPr>
        <w:t>(2)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31,250,000</w:t>
      </w:r>
      <w:r>
        <w:rPr>
          <w:rFonts w:ascii="Times New Roman" w:cs="Times New Roman" w:eastAsia="Times New Roman" w:hAnsi="Times New Roman"/>
          <w:sz w:val="26"/>
          <w:szCs w:val="26"/>
          <w:color w:val="auto"/>
          <w:vertAlign w:val="superscript"/>
        </w:rPr>
        <w:t>(1)(3)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4,666,667</w:t>
      </w:r>
      <w:r>
        <w:rPr>
          <w:rFonts w:ascii="Times New Roman" w:cs="Times New Roman" w:eastAsia="Times New Roman" w:hAnsi="Times New Roman"/>
          <w:sz w:val="29"/>
          <w:szCs w:val="29"/>
          <w:color w:val="auto"/>
          <w:vertAlign w:val="superscript"/>
        </w:rPr>
        <w:t>(1)</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13,000,000</w:t>
      </w:r>
      <w:r>
        <w:rPr>
          <w:rFonts w:ascii="Times New Roman" w:cs="Times New Roman" w:eastAsia="Times New Roman" w:hAnsi="Times New Roman"/>
          <w:sz w:val="26"/>
          <w:szCs w:val="26"/>
          <w:color w:val="auto"/>
          <w:vertAlign w:val="superscript"/>
        </w:rPr>
        <w:t>(1)(4)</w:t>
      </w:r>
    </w:p>
    <w:p>
      <w:pPr>
        <w:spacing w:after="0" w:line="291" w:lineRule="exact"/>
        <w:rPr>
          <w:sz w:val="20"/>
          <w:szCs w:val="20"/>
          <w:color w:val="auto"/>
        </w:rPr>
      </w:pPr>
    </w:p>
    <w:p>
      <w:pPr>
        <w:sectPr>
          <w:pgSz w:w="11900" w:h="16838" w:orient="portrait"/>
          <w:cols w:equalWidth="0" w:num="2">
            <w:col w:w="5220" w:space="400"/>
            <w:col w:w="5620"/>
          </w:cols>
          <w:pgMar w:left="320" w:top="225"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480" w:hanging="38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the surrender of 937,500 founder shares to us for no consideration.</w:t>
      </w:r>
    </w:p>
    <w:p>
      <w:pPr>
        <w:spacing w:after="0" w:line="206" w:lineRule="exact"/>
        <w:rPr>
          <w:rFonts w:ascii="Times New Roman" w:cs="Times New Roman" w:eastAsia="Times New Roman" w:hAnsi="Times New Roman"/>
          <w:sz w:val="18"/>
          <w:szCs w:val="18"/>
          <w:color w:val="auto"/>
        </w:rPr>
      </w:pPr>
    </w:p>
    <w:p>
      <w:pPr>
        <w:ind w:left="420" w:right="220" w:hanging="322"/>
        <w:spacing w:after="0" w:line="282" w:lineRule="auto"/>
        <w:tabs>
          <w:tab w:leader="none" w:pos="4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937,500 founder shares that may be surrendered to us for no consideration depending on the extent to which the underwriters’ over-allotment option is exercised.</w:t>
      </w:r>
    </w:p>
    <w:p>
      <w:pPr>
        <w:spacing w:after="0" w:line="161" w:lineRule="exact"/>
        <w:rPr>
          <w:rFonts w:ascii="Times New Roman" w:cs="Times New Roman" w:eastAsia="Times New Roman" w:hAnsi="Times New Roman"/>
          <w:sz w:val="18"/>
          <w:szCs w:val="18"/>
          <w:color w:val="auto"/>
        </w:rPr>
      </w:pPr>
    </w:p>
    <w:p>
      <w:pPr>
        <w:ind w:left="420" w:right="120" w:hanging="322"/>
        <w:spacing w:after="0" w:line="261" w:lineRule="auto"/>
        <w:tabs>
          <w:tab w:leader="none" w:pos="4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25,000,000 Class A ordinary shares included in the units to be sold in this offering and 6,250,000 Class B ordinary shares (or founder shares). Founder shares are currently classified as Class B ordinary shares, which shares will automatically convert into Class A ordinary shares concurrently with or immediately following the consummation of our initial business combination on a one-for-one basis, subject to adjustment as described below adjacent to the caption “Founder shares conversion and anti-dilution rights.”</w:t>
      </w:r>
    </w:p>
    <w:p>
      <w:pPr>
        <w:spacing w:after="0" w:line="179" w:lineRule="exact"/>
        <w:rPr>
          <w:rFonts w:ascii="Times New Roman" w:cs="Times New Roman" w:eastAsia="Times New Roman" w:hAnsi="Times New Roman"/>
          <w:sz w:val="18"/>
          <w:szCs w:val="18"/>
          <w:color w:val="auto"/>
        </w:rPr>
      </w:pPr>
    </w:p>
    <w:p>
      <w:pPr>
        <w:ind w:left="420" w:right="220" w:hanging="322"/>
        <w:spacing w:after="0" w:line="282" w:lineRule="auto"/>
        <w:tabs>
          <w:tab w:leader="none" w:pos="4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8,333,333 public warrants included in the units to be sold in this offering and 4,666,667 private placement warrants to be sold in the private placement.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Exercisability</w:t>
            </w: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Each whole warrant offered in this offering is exercisable to purchase one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Class A ordinary share, subject to adjustments as described herein. Only</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whole warrants are exercisable. No fractional warrants will be issued upon</w:t>
            </w:r>
          </w:p>
        </w:tc>
      </w:tr>
      <w:tr>
        <w:trPr>
          <w:trHeight w:val="234"/>
        </w:trPr>
        <w:tc>
          <w:tcPr>
            <w:tcW w:w="3300" w:type="dxa"/>
            <w:vAlign w:val="bottom"/>
          </w:tcPr>
          <w:p>
            <w:pPr>
              <w:spacing w:after="0"/>
              <w:rPr>
                <w:sz w:val="20"/>
                <w:szCs w:val="20"/>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separation of the units and only whole warrants will trade.</w:t>
            </w:r>
          </w:p>
        </w:tc>
      </w:tr>
      <w:tr>
        <w:trPr>
          <w:trHeight w:val="360"/>
        </w:trPr>
        <w:tc>
          <w:tcPr>
            <w:tcW w:w="3300" w:type="dxa"/>
            <w:vAlign w:val="bottom"/>
          </w:tcPr>
          <w:p>
            <w:pPr>
              <w:spacing w:after="0"/>
              <w:rPr>
                <w:sz w:val="24"/>
                <w:szCs w:val="24"/>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We structured each unit to contain one-third of one redeemable warrant,</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with each whole warrant exercisable for one Class A ordinary share, as</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compared to units issued by some other similar special purpose acquisition</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companies which contain whole warrants exercisable for one whole share,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in order to reduce the dilutive effect of the warrants upon completion of a</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business combination as compared to units that each contain a whole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warrant to purchase one whole share, thus making us, we believe, a more</w:t>
            </w:r>
          </w:p>
        </w:tc>
      </w:tr>
      <w:tr>
        <w:trPr>
          <w:trHeight w:val="234"/>
        </w:trPr>
        <w:tc>
          <w:tcPr>
            <w:tcW w:w="3300" w:type="dxa"/>
            <w:vAlign w:val="bottom"/>
          </w:tcPr>
          <w:p>
            <w:pPr>
              <w:spacing w:after="0"/>
              <w:rPr>
                <w:sz w:val="20"/>
                <w:szCs w:val="20"/>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attractive business combination partner for target businesses.</w:t>
            </w:r>
          </w:p>
        </w:tc>
      </w:tr>
      <w:tr>
        <w:trPr>
          <w:trHeight w:val="361"/>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r>
        <w:trPr>
          <w:trHeight w:val="32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225"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592"/>
        </w:trPr>
        <w:tc>
          <w:tcPr>
            <w:tcW w:w="336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788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$11.50 per share, subject to adjustments as described herein. In addition, if</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(x) we issue additional Class A ordinary shares or equity-linked securities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for capital raising purposes in connection with the closing of our initial</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business combination at an issue price or effective issue price of less than</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$9.20 per Class A ordinary share (with such issue price or effective issue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price to be determined in good faith by our board of directors and, in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case of any such issuance to our initial shareholders or their affiliates,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without taking into account any founder shares held by our initial</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shareholders or such affiliates, as applicable, prior to such issuance)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“Newly Issued Price”), (y) the aggregate gross proceeds from such</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issuances represent more than 60% of the total equity proceeds, and interest</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thereon, available for the funding of our initial business combination (net of</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redemptions), and (z) the volume weighted average trading price of our</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Class A ordinary shares during the 20 trading day period starting on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trading day prior to the day on which we consummate our initial business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combination (such price, the “Market Value”) is below $9.20 per share, then</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the exercise price of the warrants will be adjusted (to the nearest cent) to be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equal to 115% of the higher of the Market Value and the Newly Issued</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Price, and the $10.00 and $18.00 per share redemption trigger prices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described below adjacent to the caption “Redemption of warrants when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price per Class A ordinary share equals or exceeds $10.00” and</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or exceeds $18.00” will be adjusted (to the nearest cent) to be equal to 100%</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and 180% of the higher of the Market Value and the Newly Issued Price,</w:t>
            </w:r>
          </w:p>
        </w:tc>
      </w:tr>
      <w:tr>
        <w:trPr>
          <w:trHeight w:val="234"/>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respectively.</w:t>
            </w:r>
          </w:p>
        </w:tc>
      </w:tr>
      <w:tr>
        <w:trPr>
          <w:trHeight w:val="378"/>
        </w:trPr>
        <w:tc>
          <w:tcPr>
            <w:tcW w:w="3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 period</w:t>
            </w: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The warrants will become exercisable on the later of:</w:t>
            </w:r>
          </w:p>
        </w:tc>
      </w:tr>
      <w:tr>
        <w:trPr>
          <w:trHeight w:val="378"/>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 30 days after the completion of our initial business combination, and</w:t>
            </w:r>
          </w:p>
        </w:tc>
      </w:tr>
      <w:tr>
        <w:trPr>
          <w:trHeight w:val="378"/>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 12 months from the closing of this offering;</w:t>
            </w:r>
          </w:p>
        </w:tc>
      </w:tr>
      <w:tr>
        <w:trPr>
          <w:trHeight w:val="360"/>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provided, in each case, that we have an effective registration statement</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under the Securities Act covering the issuance of the Class A ordinary</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shares issuable upon exercise of the warrants and a current prospectus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relating to them is available and such shares are registered, qualified or</w:t>
            </w:r>
          </w:p>
        </w:tc>
      </w:tr>
      <w:tr>
        <w:trPr>
          <w:trHeight w:val="234"/>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exempt from registration under the securities, or blue sky, laws of</w:t>
            </w:r>
          </w:p>
        </w:tc>
      </w:tr>
      <w:tr>
        <w:trPr>
          <w:trHeight w:val="361"/>
        </w:trPr>
        <w:tc>
          <w:tcPr>
            <w:tcW w:w="3360" w:type="dxa"/>
            <w:vAlign w:val="bottom"/>
            <w:tcBorders>
              <w:left w:val="single" w:sz="8" w:color="auto"/>
              <w:bottom w:val="single" w:sz="8" w:color="auto"/>
            </w:tcBorders>
          </w:tcPr>
          <w:p>
            <w:pPr>
              <w:spacing w:after="0"/>
              <w:rPr>
                <w:sz w:val="24"/>
                <w:szCs w:val="24"/>
                <w:color w:val="auto"/>
              </w:rPr>
            </w:pPr>
          </w:p>
        </w:tc>
        <w:tc>
          <w:tcPr>
            <w:tcW w:w="7880" w:type="dxa"/>
            <w:vAlign w:val="bottom"/>
            <w:tcBorders>
              <w:bottom w:val="single" w:sz="8" w:color="auto"/>
              <w:right w:val="single" w:sz="8" w:color="auto"/>
            </w:tcBorders>
          </w:tcPr>
          <w:p>
            <w:pPr>
              <w:spacing w:after="0"/>
              <w:rPr>
                <w:sz w:val="24"/>
                <w:szCs w:val="24"/>
                <w:color w:val="auto"/>
              </w:rPr>
            </w:pPr>
          </w:p>
        </w:tc>
      </w:tr>
      <w:tr>
        <w:trPr>
          <w:trHeight w:val="328"/>
        </w:trPr>
        <w:tc>
          <w:tcPr>
            <w:tcW w:w="33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22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5773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state of residence of the holder (or we permit holders to exercise their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warrants on a cashless basis under the circumstances specified in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warrant agreement). If and when the warrants become redeemable by us, we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exercise our redemption right even if we are unable to register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qualify the underlying securities for sale under all applicable state securities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laws.</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We are not registering the Class A ordinary shares issuable upon exercise of</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warrants at this time. However, we have agreed that as soon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practicable, but in no event later than 15 business days after the closing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our initial business combination, we will use our commercially reasonable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efforts to file with the SEC a registration statement covering the issuance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Class A ordinary shares issuable upon exercise of the warrants,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thereafter will use our commercially reasonable efforts to cause the same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become effective within 60 business days following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and to maintain a current prospectus relating to those Class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ordinary shares until the warrants expire or are redeemed, as specified in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warrant agreement. If a registration statement covering the issuance of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Class A ordinary shares issuable upon exercise of the warrants is not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effective by the 60th business day after the closing of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warrant holders may, until such time as there is an effective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registration statement and during any period when we will have failed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maintain an effective registration statement, exercise warrants on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“cashless basis” in accordance with Section 3(a)(9) of the Securities Act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another exemption. Notwithstanding the above, if our Class A ordinary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shares are at the time of any exercise of a warrant not listed on a national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securities exchange such that they satisfy the definition of a “covered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security” under Section 18(b)(1) of the Securities Act, we may, at 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option, require holders of public warrants who exercise their warrants to do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 on a “cashless basis” in accordance with Section 3(a)(9) of the Securities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Act and, in the event we so elect, we will not be required to file or maintain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 effect a registration statement, and in the event we do not so elect, we will</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use our commercially reasonable efforts to register or qualify the shares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under applicable blue sky laws to the extent an exemption is not available.</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warrants will expire at 5:00 p.m., New York City time, five years after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completion of our initial business combination or earlier upon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redemption or liquidation. On the exercise of any warrant, the warrant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exercise price will be paid directly to us and not placed in the trust account.</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36130" cy="5842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84200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60" w:hanging="161"/>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hanging="161"/>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 w:right="180"/>
        <w:spacing w:after="0" w:line="266"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w:t>
      </w:r>
    </w:p>
    <w:p>
      <w:pPr>
        <w:spacing w:after="0" w:line="122" w:lineRule="exact"/>
        <w:rPr>
          <w:sz w:val="20"/>
          <w:szCs w:val="20"/>
          <w:color w:val="auto"/>
        </w:rPr>
      </w:pPr>
    </w:p>
    <w:p>
      <w:pPr>
        <w:ind w:left="141" w:hanging="141"/>
        <w:spacing w:after="0"/>
        <w:tabs>
          <w:tab w:leader="none" w:pos="1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141" w:hanging="141"/>
        <w:spacing w:after="0"/>
        <w:tabs>
          <w:tab w:leader="none" w:pos="1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161" w:hanging="161"/>
        <w:spacing w:after="0" w:line="282" w:lineRule="auto"/>
        <w:tabs>
          <w:tab w:leader="none" w:pos="1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which we refer to as the 30-day redemption period; and</w:t>
      </w:r>
    </w:p>
    <w:p>
      <w:pPr>
        <w:spacing w:after="0" w:line="107" w:lineRule="exact"/>
        <w:rPr>
          <w:rFonts w:ascii="Times New Roman" w:cs="Times New Roman" w:eastAsia="Times New Roman" w:hAnsi="Times New Roman"/>
          <w:sz w:val="18"/>
          <w:szCs w:val="18"/>
          <w:color w:val="auto"/>
        </w:rPr>
      </w:pPr>
    </w:p>
    <w:p>
      <w:pPr>
        <w:ind w:left="161" w:right="20" w:hanging="161"/>
        <w:spacing w:after="0" w:line="255" w:lineRule="auto"/>
        <w:tabs>
          <w:tab w:leader="none" w:pos="1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sales price of our Class A ordinary shares equals or exceeds $18.00 per share (as adjusted for share sub-divisions, share capitalizations, reorganizations, recapitalizations and the like and as described above adjacent to the caption “Exercise Price”) for any 20 trading days within a 30-trading day period ending on the third trading day prior to the date on which we send the notice of redemption to the warrant holders (the “Reference Value”).</w:t>
      </w:r>
    </w:p>
    <w:p>
      <w:pPr>
        <w:spacing w:after="0" w:line="135" w:lineRule="exact"/>
        <w:rPr>
          <w:sz w:val="20"/>
          <w:szCs w:val="20"/>
          <w:color w:val="auto"/>
        </w:rPr>
      </w:pPr>
    </w:p>
    <w:p>
      <w:pPr>
        <w:ind w:left="1" w:right="40"/>
        <w:spacing w:after="0" w:line="254"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an effective registration statement under the Securities Act covering the issuance of the Class A ordinary shares issuable upon exercise of the warrants is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38" w:lineRule="exact"/>
        <w:rPr>
          <w:sz w:val="20"/>
          <w:szCs w:val="20"/>
          <w:color w:val="auto"/>
        </w:rPr>
      </w:pPr>
    </w:p>
    <w:p>
      <w:pPr>
        <w:ind w:left="1" w:right="180"/>
        <w:spacing w:after="0" w:line="266"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w:t>
      </w:r>
    </w:p>
    <w:p>
      <w:pPr>
        <w:spacing w:after="0" w:line="122" w:lineRule="exact"/>
        <w:rPr>
          <w:sz w:val="20"/>
          <w:szCs w:val="20"/>
          <w:color w:val="auto"/>
        </w:rPr>
      </w:pPr>
    </w:p>
    <w:p>
      <w:pPr>
        <w:ind w:left="141" w:hanging="141"/>
        <w:spacing w:after="0"/>
        <w:tabs>
          <w:tab w:leader="none" w:pos="1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161" w:right="140" w:hanging="161"/>
        <w:spacing w:after="0" w:line="255" w:lineRule="auto"/>
        <w:tabs>
          <w:tab w:leader="none" w:pos="1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the number of shares determined by reference to the table set forth under “Description of Securities – Warrants – Public Shareholders’ Warrants” based on the redemption date and the “fair market value” of our Class A ordinary shares (as defined below);</w:t>
      </w:r>
    </w:p>
    <w:p>
      <w:pPr>
        <w:spacing w:after="0" w:line="200" w:lineRule="exact"/>
        <w:rPr>
          <w:sz w:val="20"/>
          <w:szCs w:val="20"/>
          <w:color w:val="auto"/>
        </w:rPr>
      </w:pPr>
    </w:p>
    <w:p>
      <w:pPr>
        <w:sectPr>
          <w:pgSz w:w="11900" w:h="16838" w:orient="portrait"/>
          <w:cols w:equalWidth="0" w:num="2">
            <w:col w:w="4900" w:space="719"/>
            <w:col w:w="5501"/>
          </w:cols>
          <w:pgMar w:left="320" w:top="225" w:right="459" w:bottom="1440" w:gutter="0" w:footer="0" w:header="0"/>
          <w:type w:val="continuous"/>
        </w:sect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592"/>
        </w:trPr>
        <w:tc>
          <w:tcPr>
            <w:tcW w:w="3360" w:type="dxa"/>
            <w:vAlign w:val="bottom"/>
            <w:tcBorders>
              <w:top w:val="single" w:sz="8" w:color="auto"/>
              <w:left w:val="single" w:sz="8" w:color="auto"/>
            </w:tcBorders>
          </w:tcPr>
          <w:p>
            <w:pPr>
              <w:spacing w:after="0"/>
              <w:rPr>
                <w:sz w:val="24"/>
                <w:szCs w:val="24"/>
                <w:color w:val="auto"/>
              </w:rPr>
            </w:pPr>
          </w:p>
        </w:tc>
        <w:tc>
          <w:tcPr>
            <w:tcW w:w="2360" w:type="dxa"/>
            <w:vAlign w:val="bottom"/>
            <w:tcBorders>
              <w:top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if, and only if, the Reference Value (as defined above adjacent to the</w:t>
            </w:r>
          </w:p>
        </w:tc>
      </w:tr>
      <w:tr>
        <w:trPr>
          <w:trHeight w:val="216"/>
        </w:trPr>
        <w:tc>
          <w:tcPr>
            <w:tcW w:w="3360" w:type="dxa"/>
            <w:vAlign w:val="bottom"/>
            <w:tcBorders>
              <w:lef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55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caption “Redemption of warrants when the price per Class A ordinary</w:t>
            </w:r>
          </w:p>
        </w:tc>
      </w:tr>
      <w:tr>
        <w:trPr>
          <w:trHeight w:val="216"/>
        </w:trPr>
        <w:tc>
          <w:tcPr>
            <w:tcW w:w="3360" w:type="dxa"/>
            <w:vAlign w:val="bottom"/>
            <w:tcBorders>
              <w:lef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55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share equals or exceeds $18.00”) equals or exceeds $10.00 per share (as</w:t>
            </w:r>
          </w:p>
        </w:tc>
      </w:tr>
      <w:tr>
        <w:trPr>
          <w:trHeight w:val="216"/>
        </w:trPr>
        <w:tc>
          <w:tcPr>
            <w:tcW w:w="3360" w:type="dxa"/>
            <w:vAlign w:val="bottom"/>
            <w:tcBorders>
              <w:lef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55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adjusted for share sub-divisions, share capitalizations, reorganizations,</w:t>
            </w:r>
          </w:p>
        </w:tc>
      </w:tr>
      <w:tr>
        <w:trPr>
          <w:trHeight w:val="216"/>
        </w:trPr>
        <w:tc>
          <w:tcPr>
            <w:tcW w:w="3360" w:type="dxa"/>
            <w:vAlign w:val="bottom"/>
            <w:tcBorders>
              <w:lef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55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recapitalizations and the like and as described above adjacent to the</w:t>
            </w:r>
          </w:p>
        </w:tc>
      </w:tr>
      <w:tr>
        <w:trPr>
          <w:trHeight w:val="234"/>
        </w:trPr>
        <w:tc>
          <w:tcPr>
            <w:tcW w:w="3360" w:type="dxa"/>
            <w:vAlign w:val="bottom"/>
            <w:tcBorders>
              <w:lef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caption “Exercise Price”); and</w:t>
            </w:r>
          </w:p>
        </w:tc>
        <w:tc>
          <w:tcPr>
            <w:tcW w:w="2400" w:type="dxa"/>
            <w:vAlign w:val="bottom"/>
            <w:tcBorders>
              <w:right w:val="single" w:sz="8" w:color="auto"/>
            </w:tcBorders>
          </w:tcPr>
          <w:p>
            <w:pPr>
              <w:spacing w:after="0"/>
              <w:rPr>
                <w:sz w:val="20"/>
                <w:szCs w:val="20"/>
                <w:color w:val="auto"/>
              </w:rPr>
            </w:pPr>
          </w:p>
        </w:tc>
      </w:tr>
      <w:tr>
        <w:trPr>
          <w:trHeight w:val="360"/>
        </w:trPr>
        <w:tc>
          <w:tcPr>
            <w:tcW w:w="3360" w:type="dxa"/>
            <w:vAlign w:val="bottom"/>
            <w:tcBorders>
              <w:left w:val="single" w:sz="8" w:color="auto"/>
            </w:tcBorders>
          </w:tcPr>
          <w:p>
            <w:pPr>
              <w:spacing w:after="0"/>
              <w:rPr>
                <w:sz w:val="24"/>
                <w:szCs w:val="24"/>
                <w:color w:val="auto"/>
              </w:rPr>
            </w:pPr>
          </w:p>
        </w:tc>
        <w:tc>
          <w:tcPr>
            <w:tcW w:w="23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if the Reference Value is less than $18.00 per share (as adjusted for share</w:t>
            </w:r>
          </w:p>
        </w:tc>
      </w:tr>
      <w:tr>
        <w:trPr>
          <w:trHeight w:val="216"/>
        </w:trPr>
        <w:tc>
          <w:tcPr>
            <w:tcW w:w="3360" w:type="dxa"/>
            <w:vAlign w:val="bottom"/>
            <w:tcBorders>
              <w:lef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55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sub-divisions, share capitalizations, reorganizations, recapitalizations and</w:t>
            </w:r>
          </w:p>
        </w:tc>
      </w:tr>
      <w:tr>
        <w:trPr>
          <w:trHeight w:val="216"/>
        </w:trPr>
        <w:tc>
          <w:tcPr>
            <w:tcW w:w="3360" w:type="dxa"/>
            <w:vAlign w:val="bottom"/>
            <w:tcBorders>
              <w:lef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55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like and as described above adjacent to the caption “Exercise Price”),</w:t>
            </w:r>
          </w:p>
        </w:tc>
      </w:tr>
      <w:tr>
        <w:trPr>
          <w:trHeight w:val="216"/>
        </w:trPr>
        <w:tc>
          <w:tcPr>
            <w:tcW w:w="3360" w:type="dxa"/>
            <w:vAlign w:val="bottom"/>
            <w:tcBorders>
              <w:lef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55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private placement warrants must also concurrently be called for</w:t>
            </w:r>
          </w:p>
        </w:tc>
      </w:tr>
      <w:tr>
        <w:trPr>
          <w:trHeight w:val="216"/>
        </w:trPr>
        <w:tc>
          <w:tcPr>
            <w:tcW w:w="3360" w:type="dxa"/>
            <w:vAlign w:val="bottom"/>
            <w:tcBorders>
              <w:lef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55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redemption on the same terms as the outstanding public warrants, as</w:t>
            </w:r>
          </w:p>
        </w:tc>
      </w:tr>
      <w:tr>
        <w:trPr>
          <w:trHeight w:val="234"/>
        </w:trPr>
        <w:tc>
          <w:tcPr>
            <w:tcW w:w="3360" w:type="dxa"/>
            <w:vAlign w:val="bottom"/>
            <w:tcBorders>
              <w:lef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described above.</w:t>
            </w:r>
          </w:p>
        </w:tc>
        <w:tc>
          <w:tcPr>
            <w:tcW w:w="2400" w:type="dxa"/>
            <w:vAlign w:val="bottom"/>
            <w:tcBorders>
              <w:right w:val="single" w:sz="8" w:color="auto"/>
            </w:tcBorders>
          </w:tcPr>
          <w:p>
            <w:pPr>
              <w:spacing w:after="0"/>
              <w:rPr>
                <w:sz w:val="20"/>
                <w:szCs w:val="20"/>
                <w:color w:val="auto"/>
              </w:rPr>
            </w:pPr>
          </w:p>
        </w:tc>
      </w:tr>
      <w:tr>
        <w:trPr>
          <w:trHeight w:val="360"/>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The “fair market value” of our Class A ordinary shares for the above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purpose shall mean the volume-weighted average price of our Class A</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ordinary shares for the 10 trading days immediately following the date on</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which the notice of redemption is sent to the holders of warrants. We will</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provide our warrant holders with the final fair market value no later than</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one business day after the 10-day trading period described above ends. In no</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event will the warrants be exercisable in connection with this redemption</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feature for more than 0.361 Class A ordinary shares per warrant (subject to</w:t>
            </w:r>
          </w:p>
        </w:tc>
      </w:tr>
      <w:tr>
        <w:trPr>
          <w:trHeight w:val="234"/>
        </w:trPr>
        <w:tc>
          <w:tcPr>
            <w:tcW w:w="3360" w:type="dxa"/>
            <w:vAlign w:val="bottom"/>
            <w:tcBorders>
              <w:left w:val="single" w:sz="8" w:color="auto"/>
            </w:tcBorders>
          </w:tcPr>
          <w:p>
            <w:pPr>
              <w:spacing w:after="0"/>
              <w:rPr>
                <w:sz w:val="20"/>
                <w:szCs w:val="20"/>
                <w:color w:val="auto"/>
              </w:rPr>
            </w:pPr>
          </w:p>
        </w:tc>
        <w:tc>
          <w:tcPr>
            <w:tcW w:w="32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adjustment).</w:t>
            </w:r>
          </w:p>
        </w:tc>
        <w:tc>
          <w:tcPr>
            <w:tcW w:w="228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r>
      <w:tr>
        <w:trPr>
          <w:trHeight w:val="360"/>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No fractional Class A ordinary shares will be issued upon exercise. If, upon</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exercise, a holder would be entitled to receive a fractional interest in a share,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we will round down to the nearest whole number of the number of Class A</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ordinary shares to be issued to the holder. Please see the section entitled</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“Description of Securities—Warrants—Public Shareholders’ Warrants” for</w:t>
            </w:r>
          </w:p>
        </w:tc>
      </w:tr>
      <w:tr>
        <w:trPr>
          <w:trHeight w:val="234"/>
        </w:trPr>
        <w:tc>
          <w:tcPr>
            <w:tcW w:w="3360" w:type="dxa"/>
            <w:vAlign w:val="bottom"/>
            <w:tcBorders>
              <w:left w:val="single" w:sz="8" w:color="auto"/>
            </w:tcBorders>
          </w:tcPr>
          <w:p>
            <w:pPr>
              <w:spacing w:after="0"/>
              <w:rPr>
                <w:sz w:val="20"/>
                <w:szCs w:val="20"/>
                <w:color w:val="auto"/>
              </w:rPr>
            </w:pPr>
          </w:p>
        </w:tc>
        <w:tc>
          <w:tcPr>
            <w:tcW w:w="548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additional information.</w:t>
            </w:r>
          </w:p>
        </w:tc>
        <w:tc>
          <w:tcPr>
            <w:tcW w:w="2400" w:type="dxa"/>
            <w:vAlign w:val="bottom"/>
            <w:tcBorders>
              <w:right w:val="single" w:sz="8" w:color="auto"/>
            </w:tcBorders>
          </w:tcPr>
          <w:p>
            <w:pPr>
              <w:spacing w:after="0"/>
              <w:rPr>
                <w:sz w:val="20"/>
                <w:szCs w:val="20"/>
                <w:color w:val="auto"/>
              </w:rPr>
            </w:pPr>
          </w:p>
        </w:tc>
      </w:tr>
      <w:tr>
        <w:trPr>
          <w:trHeight w:val="360"/>
        </w:trPr>
        <w:tc>
          <w:tcPr>
            <w:tcW w:w="3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Founder shares</w:t>
            </w: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On December 30, 2020, we issued to our sponsor an aggregate of 7,187,500</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founder shares in exchange for a capital contribution of $25,000, or</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approximately $0.003 per share, to cover certain offering costs. Prior to this</w:t>
            </w:r>
          </w:p>
        </w:tc>
      </w:tr>
      <w:tr>
        <w:trPr>
          <w:trHeight w:val="216"/>
        </w:trPr>
        <w:tc>
          <w:tcPr>
            <w:tcW w:w="3360" w:type="dxa"/>
            <w:vAlign w:val="bottom"/>
            <w:tcBorders>
              <w:left w:val="single" w:sz="8" w:color="auto"/>
            </w:tcBorders>
          </w:tcPr>
          <w:p>
            <w:pPr>
              <w:spacing w:after="0"/>
              <w:rPr>
                <w:sz w:val="18"/>
                <w:szCs w:val="18"/>
                <w:color w:val="auto"/>
              </w:rPr>
            </w:pPr>
          </w:p>
        </w:tc>
        <w:tc>
          <w:tcPr>
            <w:tcW w:w="548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offering, our sponsor intends to transfer</w:t>
            </w:r>
          </w:p>
        </w:tc>
        <w:tc>
          <w:tcPr>
            <w:tcW w:w="24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our founder shares to each</w:t>
            </w:r>
          </w:p>
        </w:tc>
      </w:tr>
      <w:tr>
        <w:trPr>
          <w:trHeight w:val="216"/>
        </w:trPr>
        <w:tc>
          <w:tcPr>
            <w:tcW w:w="3360" w:type="dxa"/>
            <w:vAlign w:val="bottom"/>
            <w:tcBorders>
              <w:left w:val="single" w:sz="8" w:color="auto"/>
            </w:tcBorders>
          </w:tcPr>
          <w:p>
            <w:pPr>
              <w:spacing w:after="0"/>
              <w:rPr>
                <w:sz w:val="18"/>
                <w:szCs w:val="18"/>
                <w:color w:val="auto"/>
              </w:rPr>
            </w:pPr>
          </w:p>
        </w:tc>
        <w:tc>
          <w:tcPr>
            <w:tcW w:w="32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of our</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independent directors. These</w:t>
            </w:r>
          </w:p>
        </w:tc>
        <w:tc>
          <w:tcPr>
            <w:tcW w:w="240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shares will not be subject</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4"/>
          </w:tcPr>
          <w:p>
            <w:pPr>
              <w:ind w:left="2260"/>
              <w:spacing w:after="0"/>
              <w:rPr>
                <w:sz w:val="20"/>
                <w:szCs w:val="20"/>
                <w:color w:val="auto"/>
              </w:rPr>
            </w:pPr>
            <w:r>
              <w:rPr>
                <w:rFonts w:ascii="Times New Roman" w:cs="Times New Roman" w:eastAsia="Times New Roman" w:hAnsi="Times New Roman"/>
                <w:sz w:val="18"/>
                <w:szCs w:val="18"/>
                <w:color w:val="auto"/>
              </w:rPr>
              <w:t>to forfeiture in the event the underwriters’ over-allotment option is not</w:t>
            </w:r>
          </w:p>
        </w:tc>
      </w:tr>
      <w:tr>
        <w:trPr>
          <w:trHeight w:val="234"/>
        </w:trPr>
        <w:tc>
          <w:tcPr>
            <w:tcW w:w="3360" w:type="dxa"/>
            <w:vAlign w:val="bottom"/>
            <w:tcBorders>
              <w:left w:val="single" w:sz="8" w:color="auto"/>
            </w:tcBorders>
          </w:tcPr>
          <w:p>
            <w:pPr>
              <w:spacing w:after="0"/>
              <w:rPr>
                <w:sz w:val="20"/>
                <w:szCs w:val="20"/>
                <w:color w:val="auto"/>
              </w:rPr>
            </w:pPr>
          </w:p>
        </w:tc>
        <w:tc>
          <w:tcPr>
            <w:tcW w:w="32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exercised.</w:t>
            </w:r>
          </w:p>
        </w:tc>
        <w:tc>
          <w:tcPr>
            <w:tcW w:w="228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r>
      <w:tr>
        <w:trPr>
          <w:trHeight w:val="361"/>
        </w:trPr>
        <w:tc>
          <w:tcPr>
            <w:tcW w:w="3360" w:type="dxa"/>
            <w:vAlign w:val="bottom"/>
            <w:tcBorders>
              <w:left w:val="single" w:sz="8" w:color="auto"/>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r>
      <w:tr>
        <w:trPr>
          <w:trHeight w:val="328"/>
        </w:trPr>
        <w:tc>
          <w:tcPr>
            <w:tcW w:w="3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w w:val="99"/>
              </w:rPr>
              <w:t>14</w:t>
            </w:r>
          </w:p>
        </w:tc>
        <w:tc>
          <w:tcPr>
            <w:tcW w:w="8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6630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6306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Prior to the initial investment in the company of $25,000 by the sponsor, the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had no assets, tangible or intangible. The per-share price of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founder shares was determined by dividing the amount of cash contributed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the company by the number of founder shares issued. The number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founder shares outstanding was determined based on the expectation that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total size of this offering would be a maximum of 28,750,000 units if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and therefore that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such founder shares would represent 20% of the outstanding shares after this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offering. If we increase or decrease the size of this offering, we will effect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capitalization or share repurchase or redemption or other appropriate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mechanism, as applicable, with respect to our founder shares immediately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prior to the consummation of this offering in such amount as to maintain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number of founder shares at 20% of our issued and outstanding ordinary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shares upon the consummation of this offering. Up to 937,500 of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founder shares may be surrendered by our sponsor for no consideration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depending on the extent to which the underwriters’ over-allotment option 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 exercised.</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founder shares are identical to the Class A ordinary shares included 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units being sold in this offering, except that:</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only holders of Class B ordinary shares will have the right to appoint and</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remove directors in any general meeting held prior to or in connection</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with the completion of our initial business combination;</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the founder shares are subject to certain transfer restrictions, as described</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in more detail below;</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the founder shares are entitled to registration rights;</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our sponsor, officers and directors have entered into a letter agreement</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with us, pursuant to which they have agreed to (i) waive their redemption</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rights with respect to any founder shares and public shares held by them</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in connection with the completion of our initial business combination; (ii)</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waive their redemption rights with respect to any founder shares and</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public shares held by them in connection with a shareholder vote to</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amend our amended and restated memorandum and articles of association</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 to modify the substance or timing of our obligation to allow</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redemption in connection with our initial business combination or to</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redeem 100% of our public shares if we have not consummated an initial</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business combination within 24 months from the closing of this offering</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or (B) with respect to any other material provisions relating to</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shareholders’ rights or pre-initial business combination activity; (iii)</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waive their rights to liquidating distributions from the trust account with</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respect to any founder shares held by them if we fail to complete our</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initial business combination within</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592"/>
        </w:trPr>
        <w:tc>
          <w:tcPr>
            <w:tcW w:w="4200" w:type="dxa"/>
            <w:vAlign w:val="bottom"/>
            <w:tcBorders>
              <w:top w:val="single" w:sz="8" w:color="auto"/>
              <w:left w:val="single" w:sz="8" w:color="auto"/>
            </w:tcBorders>
          </w:tcPr>
          <w:p>
            <w:pPr>
              <w:spacing w:after="0"/>
              <w:rPr>
                <w:sz w:val="24"/>
                <w:szCs w:val="24"/>
                <w:color w:val="auto"/>
              </w:rPr>
            </w:pPr>
          </w:p>
        </w:tc>
        <w:tc>
          <w:tcPr>
            <w:tcW w:w="7040" w:type="dxa"/>
            <w:vAlign w:val="bottom"/>
            <w:tcBorders>
              <w:top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24 months from the closing of this offering or during any extended time</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that we have to consummate a business combination beyond 24 months as</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a result of a shareholder vote to amend our certificate of incorporation (an</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“Extension Period”), although they will be entitled to liquidating</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distributions from the trust account with respect to any public shares they</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hold if we fail to complete our initial business combination within the</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prescribed time frame; and (iv) vote any founder shares and public shares</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held by them in favor of our initial business combination. If we submit</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our initial business combination to our public shareholders for a vote, we</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will complete our initial business combination only if we receive an</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ordinary resolution under Cayman Islands law, which requires the</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affirmative vote of a majority of the shareholders who attend and vote at a</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general meeting of the company. As a result, in addition to our initial</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shareholders’ founder shares, we would need 9,375,001, or 37.5%, of the</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25,000,000 public shares sold in this offering to be voted in favor of an</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initial business combination in order to have our initial business</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combination approved (assuming all outstanding shares are voted and the</w:t>
            </w:r>
          </w:p>
        </w:tc>
      </w:tr>
      <w:tr>
        <w:trPr>
          <w:trHeight w:val="234"/>
        </w:trPr>
        <w:tc>
          <w:tcPr>
            <w:tcW w:w="420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over-allotment option is not exercised); and</w:t>
            </w:r>
          </w:p>
        </w:tc>
      </w:tr>
      <w:tr>
        <w:trPr>
          <w:trHeight w:val="360"/>
        </w:trPr>
        <w:tc>
          <w:tcPr>
            <w:tcW w:w="4200" w:type="dxa"/>
            <w:vAlign w:val="bottom"/>
            <w:tcBorders>
              <w:left w:val="single" w:sz="8" w:color="auto"/>
            </w:tcBorders>
          </w:tcPr>
          <w:p>
            <w:pPr>
              <w:spacing w:after="0"/>
              <w:rPr>
                <w:sz w:val="24"/>
                <w:szCs w:val="24"/>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 the founder shares are automatically convertible into our Class A ordinary</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shares concurrently with or immediately following the consummation of</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our initial business combination on a one-for-one basis, subject to</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adjustment pursuant to certain anti-dilution rights, as described below</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adjacent to the caption “Founder shares conversion and anti-dilution</w:t>
            </w:r>
          </w:p>
        </w:tc>
      </w:tr>
      <w:tr>
        <w:trPr>
          <w:trHeight w:val="234"/>
        </w:trPr>
        <w:tc>
          <w:tcPr>
            <w:tcW w:w="420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rights.”</w:t>
            </w:r>
          </w:p>
        </w:tc>
      </w:tr>
      <w:tr>
        <w:trPr>
          <w:trHeight w:val="360"/>
        </w:trPr>
        <w:tc>
          <w:tcPr>
            <w:tcW w:w="42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Transfer restrictions on founder shares</w:t>
            </w: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Our initial shareholders have agreed not to transfer, assign or sell any of</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their founder shares and any Class A ordinary shares issuable upon</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conversion thereof until the earlier to occur of: (i) one year after the</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completion of our initial business combination and (ii) the date on which we</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complete a liquidation, merger, share exchange or other similar transaction</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after our initial business combination that results in all of our shareholders</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having the right to exchange their Class A ordinary shares for cash,</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securities or other property; except to certain permitted transferees and</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under certain circumstances as described herein under “Principal</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Shareholders—Transfers of Founder Shares and Private Placement</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Warrants”. Any permitted transferees will be subject to the same restrictions</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and other agreements of our initial shareholders with respect to any founder</w:t>
            </w:r>
          </w:p>
        </w:tc>
      </w:tr>
      <w:tr>
        <w:trPr>
          <w:trHeight w:val="216"/>
        </w:trPr>
        <w:tc>
          <w:tcPr>
            <w:tcW w:w="420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shares. We refer to such transfer restrictions throughout this prospectus as</w:t>
            </w:r>
          </w:p>
        </w:tc>
      </w:tr>
      <w:tr>
        <w:trPr>
          <w:trHeight w:val="234"/>
        </w:trPr>
        <w:tc>
          <w:tcPr>
            <w:tcW w:w="420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lock-up.</w:t>
            </w:r>
          </w:p>
        </w:tc>
      </w:tr>
      <w:tr>
        <w:trPr>
          <w:trHeight w:val="361"/>
        </w:trPr>
        <w:tc>
          <w:tcPr>
            <w:tcW w:w="4200" w:type="dxa"/>
            <w:vAlign w:val="bottom"/>
            <w:tcBorders>
              <w:left w:val="single" w:sz="8" w:color="auto"/>
              <w:bottom w:val="single" w:sz="8" w:color="auto"/>
            </w:tcBorders>
          </w:tcPr>
          <w:p>
            <w:pPr>
              <w:spacing w:after="0"/>
              <w:rPr>
                <w:sz w:val="24"/>
                <w:szCs w:val="24"/>
                <w:color w:val="auto"/>
              </w:rPr>
            </w:pPr>
          </w:p>
        </w:tc>
        <w:tc>
          <w:tcPr>
            <w:tcW w:w="7040" w:type="dxa"/>
            <w:vAlign w:val="bottom"/>
            <w:tcBorders>
              <w:bottom w:val="single" w:sz="8" w:color="auto"/>
              <w:right w:val="single" w:sz="8" w:color="auto"/>
            </w:tcBorders>
          </w:tcPr>
          <w:p>
            <w:pPr>
              <w:spacing w:after="0"/>
              <w:rPr>
                <w:sz w:val="24"/>
                <w:szCs w:val="24"/>
                <w:color w:val="auto"/>
              </w:rPr>
            </w:pPr>
          </w:p>
        </w:tc>
      </w:tr>
      <w:tr>
        <w:trPr>
          <w:trHeight w:val="328"/>
        </w:trPr>
        <w:tc>
          <w:tcPr>
            <w:tcW w:w="42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22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592"/>
        </w:trPr>
        <w:tc>
          <w:tcPr>
            <w:tcW w:w="4620" w:type="dxa"/>
            <w:vAlign w:val="bottom"/>
            <w:tcBorders>
              <w:top w:val="single" w:sz="8" w:color="auto"/>
              <w:left w:val="single" w:sz="8" w:color="auto"/>
            </w:tcBorders>
          </w:tcPr>
          <w:p>
            <w:pPr>
              <w:spacing w:after="0"/>
              <w:rPr>
                <w:sz w:val="24"/>
                <w:szCs w:val="24"/>
                <w:color w:val="auto"/>
              </w:rPr>
            </w:pPr>
          </w:p>
        </w:tc>
        <w:tc>
          <w:tcPr>
            <w:tcW w:w="662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Notwithstanding the foregoing, if the closing price of our Class A ordinary</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shares equals or exceeds $12.00 per share (as adjusted for share sub-</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divisions, share capitalizations, reorganizations, recapitalizations and the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like) for any 20 trading days within any 30-trading day period commencing</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at least 150 days after our initial business combination, the founder shares</w:t>
            </w:r>
          </w:p>
        </w:tc>
      </w:tr>
      <w:tr>
        <w:trPr>
          <w:trHeight w:val="234"/>
        </w:trPr>
        <w:tc>
          <w:tcPr>
            <w:tcW w:w="4620" w:type="dxa"/>
            <w:vAlign w:val="bottom"/>
            <w:tcBorders>
              <w:left w:val="single" w:sz="8" w:color="auto"/>
            </w:tcBorders>
          </w:tcPr>
          <w:p>
            <w:pPr>
              <w:spacing w:after="0"/>
              <w:rPr>
                <w:sz w:val="20"/>
                <w:szCs w:val="20"/>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will be released from the lock-up.</w:t>
            </w:r>
          </w:p>
        </w:tc>
      </w:tr>
      <w:tr>
        <w:trPr>
          <w:trHeight w:val="360"/>
        </w:trPr>
        <w:tc>
          <w:tcPr>
            <w:tcW w:w="46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Founder shares conversion and anti-dilution rights</w:t>
            </w: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concurrently with or immediately following the consummation of our initial</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business combination on a one-for-one basis, subject to adjustment for share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sub-divisions, share capitalizations, reorganizations, recapitalizations and</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like, and subject to further adjustment as provided herein. In the case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that additional Class A ordinary shares or equity-linked securities are issued</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or deemed issued in connection with our initial business combination, the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number of Class A ordinary shares issuable upon conversion of all founder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shares will equal, in the aggregate, 20% of the total number of Class A</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ordinary shares outstanding after such conversion (after giving effect to any</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redemptions of Class A ordinary shares by public shareholders), including</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total number of Class A ordinary shares issued, or deemed issued or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issuable upon conversion or exercise of any equity-linked securities or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rights issued or deemed issued, by the Company in connection with the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consummation of the initial business combination, excluding any Class A</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ordinary shares or equity-linked securities exercisable for or convertible into</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Class A ordinary shares issued, deemed issued or to be issued, to any seller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in the initial business combination and any private placement warrants</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issued to our sponsor, officers or directors upon conversion of working</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capital loans; provided that such conversion of founder shares will never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occur on a less than one-for-one basis. The term “equity-linked securities”</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refers to any debt or equity securities that are convertible, exercisable or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exchangeable for our Class A ordinary shares issued in a financing</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transaction in connection with our initial business combination, including</w:t>
            </w:r>
          </w:p>
        </w:tc>
      </w:tr>
      <w:tr>
        <w:trPr>
          <w:trHeight w:val="234"/>
        </w:trPr>
        <w:tc>
          <w:tcPr>
            <w:tcW w:w="4620" w:type="dxa"/>
            <w:vAlign w:val="bottom"/>
            <w:tcBorders>
              <w:left w:val="single" w:sz="8" w:color="auto"/>
            </w:tcBorders>
          </w:tcPr>
          <w:p>
            <w:pPr>
              <w:spacing w:after="0"/>
              <w:rPr>
                <w:sz w:val="20"/>
                <w:szCs w:val="20"/>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but not limited to a private placement of equity or debt.</w:t>
            </w:r>
          </w:p>
        </w:tc>
      </w:tr>
      <w:tr>
        <w:trPr>
          <w:trHeight w:val="360"/>
        </w:trPr>
        <w:tc>
          <w:tcPr>
            <w:tcW w:w="46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Appointment of directors; Voting</w:t>
            </w: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Except as described below, holders of record of our Class A ordinary shares</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and Class B ordinary shares are entitled to one vote for each share held on</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all matters to be voted on by shareholders. Unless specified in our amended</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and restated memorandum and articles of association, or as required by the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Companies Act or stock exchange rules, an ordinary resolution under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Cayman Islands law, which requires the affirmative vote of a majority of the</w:t>
            </w:r>
          </w:p>
        </w:tc>
      </w:tr>
      <w:tr>
        <w:trPr>
          <w:trHeight w:val="234"/>
        </w:trPr>
        <w:tc>
          <w:tcPr>
            <w:tcW w:w="4620" w:type="dxa"/>
            <w:vAlign w:val="bottom"/>
            <w:tcBorders>
              <w:left w:val="single" w:sz="8" w:color="auto"/>
            </w:tcBorders>
          </w:tcPr>
          <w:p>
            <w:pPr>
              <w:spacing w:after="0"/>
              <w:rPr>
                <w:sz w:val="20"/>
                <w:szCs w:val="20"/>
                <w:color w:val="auto"/>
              </w:rPr>
            </w:pPr>
          </w:p>
        </w:tc>
        <w:tc>
          <w:tcPr>
            <w:tcW w:w="6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shareholders</w:t>
            </w:r>
          </w:p>
        </w:tc>
      </w:tr>
      <w:tr>
        <w:trPr>
          <w:trHeight w:val="361"/>
        </w:trPr>
        <w:tc>
          <w:tcPr>
            <w:tcW w:w="4620" w:type="dxa"/>
            <w:vAlign w:val="bottom"/>
            <w:tcBorders>
              <w:left w:val="single" w:sz="8" w:color="auto"/>
              <w:bottom w:val="single" w:sz="8" w:color="auto"/>
            </w:tcBorders>
          </w:tcPr>
          <w:p>
            <w:pPr>
              <w:spacing w:after="0"/>
              <w:rPr>
                <w:sz w:val="24"/>
                <w:szCs w:val="24"/>
                <w:color w:val="auto"/>
              </w:rPr>
            </w:pPr>
          </w:p>
        </w:tc>
        <w:tc>
          <w:tcPr>
            <w:tcW w:w="6620" w:type="dxa"/>
            <w:vAlign w:val="bottom"/>
            <w:tcBorders>
              <w:bottom w:val="single" w:sz="8" w:color="auto"/>
              <w:right w:val="single" w:sz="8" w:color="auto"/>
            </w:tcBorders>
          </w:tcPr>
          <w:p>
            <w:pPr>
              <w:spacing w:after="0"/>
              <w:rPr>
                <w:sz w:val="24"/>
                <w:szCs w:val="24"/>
                <w:color w:val="auto"/>
              </w:rPr>
            </w:pPr>
          </w:p>
        </w:tc>
      </w:tr>
      <w:tr>
        <w:trPr>
          <w:trHeight w:val="328"/>
        </w:trPr>
        <w:tc>
          <w:tcPr>
            <w:tcW w:w="46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22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5327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3276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who attend and vote at a general meeting of the company is generally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required to approve any matter voted on by our shareholders. Approval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certain actions require a special resolution under Cayman Islands law, which</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requires the affirmative vote of a majority of at least two-thirds of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shareholders who attend and vote at a general meeting of the company,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pursuant to our amended and restated memorandum and articles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such actions include amending our amended and restated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memorandum and articles of association and approving a statutory merger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or consolidation with another company. There is no cumulative voting with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respect to the appointment of directors, meaning, following our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business combination, the holders of more than 50% of our ordinary shares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voted for the appointment of directors can appoint all of the directors. Only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holders of Class B ordinary shares will have the right to appoint and remove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directors in any general meeting held prior to or in connection with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completion of our initial business combination. Holders of our public shares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will not be entitled to vote on the appointment of directors during such time.</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These provisions of our amended and restated memorandum and articles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relating to the rights of holders of Class B ordinary shares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appoint directors or remove may be amended by a special resolution passed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 majority of at least 90% of our ordinary shares voting in a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meeting. With respect to any other matter submitted to a vote of 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shareholders, including any vote in connection with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except as required by law, holders of the founder shares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holders of our public shares will vote together as a single class, with each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share entitling the holder to one vote. If we seek shareholder approval of our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business combination, we will complete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only if we receive an ordinary resolution under Cayman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Islands law as described above. In such case, our sponsor, officers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directors have agreed to vote any founder shares and public shares held by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them (including those acquired in open market and privately-negotiated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transactions) in favor of our initial business combination. As a result,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addition to our initial shareholders’ founder shares, we would need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9,375,001, or 37.5%, of the 25,000,000 public shares sold in this offering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 voted in favor of an initial business combination in order to have 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business combination approved (assuming all outstanding shares are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voted and the over-allotment option is not exercised).</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592"/>
        </w:trPr>
        <w:tc>
          <w:tcPr>
            <w:tcW w:w="464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660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Our sponsor has committed, pursuant to a written agreement, to purchase an</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aggregate of 4,666,667 private placement warrants (or 5,166,667 private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placement warrants if the underwriters’ over-allotment option is exercised in</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full), each exercisable to purchase one Class A ordinary share at $11.50 per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share, subject to adjustment as described herein, at a price of $1.50 per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warrant, or $7,000,000 in the aggregate (or $7,750,000 if the underwriters’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over-allotment option is exercised in full), in a private placement that will</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close simultaneously with the closing of this offering. A portion of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purchase price of the private placement warrants will be added to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proceeds from this offering to be held in the trust account such that at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time of closing of this offering $250.0 million (or $287.5 million if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underwriters exercise their over-allotment option in full) will be held in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trust account. The private placement warrants will be identical to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warrants sold in this offering except that, so long as they are held by our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sponsor or its permitted transferees, the private placement warrants (i) will</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 be redeemable by us (except as described above adjacent to the caption</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or exceeds $18.00”), (ii) may not (including the Class A ordinary shares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issuable upon exercise of these warrants), subject to certain limited</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exceptions, be transferred, assigned or sold by the holders until 30 days after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completion of our initial business combination, (iii) may be exercised by</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holders on a cashless basis and (iv) will be entitled to registration rights.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If the private placement warrants are held by holders other than our sponsor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or its permitted transferees, the private placement warrants will be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redeemable by us and exercisable by the holders on the same basis as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warrants included in the units being sold in this offering. If we do not</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complete our initial business combination within 24 months from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closing of this offering or during any Extension Period, the private</w:t>
            </w:r>
          </w:p>
        </w:tc>
      </w:tr>
      <w:tr>
        <w:trPr>
          <w:trHeight w:val="234"/>
        </w:trPr>
        <w:tc>
          <w:tcPr>
            <w:tcW w:w="464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placement warrants will expire worthless.</w:t>
            </w:r>
          </w:p>
        </w:tc>
      </w:tr>
      <w:tr>
        <w:trPr>
          <w:trHeight w:val="360"/>
        </w:trPr>
        <w:tc>
          <w:tcPr>
            <w:tcW w:w="46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Transfer restrictions on private placement warrants</w:t>
            </w: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private placement warrants (including the Class A ordinary shares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issuable upon exercise of the private placement warrants) will not be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transferable, assignable or salable until 30 days after the completion of our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initial business combination, except as described herein under “Principal</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Shareholders—Transfers of Founder Shares and Private Placement</w:t>
            </w:r>
          </w:p>
        </w:tc>
      </w:tr>
      <w:tr>
        <w:trPr>
          <w:trHeight w:val="234"/>
        </w:trPr>
        <w:tc>
          <w:tcPr>
            <w:tcW w:w="464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Warrants.”</w:t>
            </w:r>
          </w:p>
        </w:tc>
      </w:tr>
      <w:tr>
        <w:trPr>
          <w:trHeight w:val="360"/>
        </w:trPr>
        <w:tc>
          <w:tcPr>
            <w:tcW w:w="46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Proceeds to be held in trust account</w:t>
            </w: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NYSE rules provide that at least 90% of the gross proceeds from this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offering and the sale of the private placement warrants be deposited in a</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trust account. Of the net proceeds we will receive from this offering and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sale of the private placement warrants described in this prospectus, $250.0</w:t>
            </w:r>
          </w:p>
        </w:tc>
      </w:tr>
      <w:tr>
        <w:trPr>
          <w:trHeight w:val="234"/>
        </w:trPr>
        <w:tc>
          <w:tcPr>
            <w:tcW w:w="464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million, or $287.5 million if</w:t>
            </w:r>
          </w:p>
        </w:tc>
      </w:tr>
      <w:tr>
        <w:trPr>
          <w:trHeight w:val="361"/>
        </w:trPr>
        <w:tc>
          <w:tcPr>
            <w:tcW w:w="4640" w:type="dxa"/>
            <w:vAlign w:val="bottom"/>
            <w:tcBorders>
              <w:left w:val="single" w:sz="8" w:color="auto"/>
              <w:bottom w:val="single" w:sz="8" w:color="auto"/>
            </w:tcBorders>
          </w:tcPr>
          <w:p>
            <w:pPr>
              <w:spacing w:after="0"/>
              <w:rPr>
                <w:sz w:val="24"/>
                <w:szCs w:val="24"/>
                <w:color w:val="auto"/>
              </w:rPr>
            </w:pPr>
          </w:p>
        </w:tc>
        <w:tc>
          <w:tcPr>
            <w:tcW w:w="6600" w:type="dxa"/>
            <w:vAlign w:val="bottom"/>
            <w:tcBorders>
              <w:bottom w:val="single" w:sz="8" w:color="auto"/>
              <w:right w:val="single" w:sz="8" w:color="auto"/>
            </w:tcBorders>
          </w:tcPr>
          <w:p>
            <w:pPr>
              <w:spacing w:after="0"/>
              <w:rPr>
                <w:sz w:val="24"/>
                <w:szCs w:val="24"/>
                <w:color w:val="auto"/>
              </w:rPr>
            </w:pPr>
          </w:p>
        </w:tc>
      </w:tr>
      <w:tr>
        <w:trPr>
          <w:trHeight w:val="328"/>
        </w:trPr>
        <w:tc>
          <w:tcPr>
            <w:tcW w:w="46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240"/>
          </w:cols>
          <w:pgMar w:left="320" w:top="225"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592"/>
        </w:trPr>
        <w:tc>
          <w:tcPr>
            <w:tcW w:w="432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underwriters’ over-allotment option is exercised in full ($10.00 per unit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 either case), will be deposited into a segregated trust account located in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United States at JP Morgan Chase Bank, N.A. with Continental Stock</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Transfer &amp; Trust Company acting as trustee, after deducting $5,000,000 in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underwriting discounts and commissions payable upon the closing of this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offering (or $5,750,000 if the underwriters’ over-allotment option is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exercised in full) and an aggregate of $2.0 million to pay fees and expenses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 connection with the closing of this offering and for working capital</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following the closing of this offering. The proceeds to be placed in the trust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account include $8,750,000 (or up to $10,062,500 if the underwriters’ over-</w:t>
            </w:r>
          </w:p>
        </w:tc>
      </w:tr>
      <w:tr>
        <w:trPr>
          <w:trHeight w:val="234"/>
        </w:trPr>
        <w:tc>
          <w:tcPr>
            <w:tcW w:w="432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allotment option is exercised in full) in deferred underwriting commissions.</w:t>
            </w:r>
          </w:p>
        </w:tc>
      </w:tr>
      <w:tr>
        <w:trPr>
          <w:trHeight w:val="360"/>
        </w:trPr>
        <w:tc>
          <w:tcPr>
            <w:tcW w:w="432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Except with respect to interest earned on the funds held in the trust account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that may be released to us to pay our taxes, if any, the proceeds from this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offering and the sale of the private placement warrants held in the trust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account will not be released from the trust account until the earliest of (i) the</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completion of our initial business combination, (ii) the redemption of our</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public shares if we have not completed our initial business combination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within 24 months from the closing of this offering, subject to applicable law,</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(iii) the redemption of our public shares properly submitted in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connection with a shareholder vote to amend our amended and restated</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memorandum and articles of association (A) to modify the substance or</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timing of our obligation to allow redemption in connection with our initial</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business combination or to redeem 100% of our public shares if we have not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consummated an initial business combination within 24 months from the</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closing of this offering or (B) with respect to any other material provisions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relating to shareholders’ rights or pre-initial business combination activity.</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funds held in the trust account could become subject to the claims of</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creditors, if any, which could have priority over the claims of our public</w:t>
            </w:r>
          </w:p>
        </w:tc>
      </w:tr>
      <w:tr>
        <w:trPr>
          <w:trHeight w:val="234"/>
        </w:trPr>
        <w:tc>
          <w:tcPr>
            <w:tcW w:w="432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shareholders.</w:t>
            </w:r>
          </w:p>
        </w:tc>
      </w:tr>
      <w:tr>
        <w:trPr>
          <w:trHeight w:val="360"/>
        </w:trPr>
        <w:tc>
          <w:tcPr>
            <w:tcW w:w="43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Anticipated expenses and funding sources</w:t>
            </w: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Unless and until we complete our initial business combination, no proceeds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held in the trust account will be available for our use, except the withdrawal</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 interest income to pay our taxes and/or to redeem our public shares in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connection with an amendment to our amended and restated memorandum</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articles of association, as described above. The proceeds held in the</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trust account will be invested only in U.S. government treasury obligations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with a maturity of 185 days or less or in money market funds meeting</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certain conditions under Rule 2a-7 under the Investment Company Act</w:t>
            </w:r>
          </w:p>
        </w:tc>
      </w:tr>
      <w:tr>
        <w:trPr>
          <w:trHeight w:val="234"/>
        </w:trPr>
        <w:tc>
          <w:tcPr>
            <w:tcW w:w="432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which invest only in direct U.S.</w:t>
            </w:r>
          </w:p>
        </w:tc>
      </w:tr>
      <w:tr>
        <w:trPr>
          <w:trHeight w:val="361"/>
        </w:trPr>
        <w:tc>
          <w:tcPr>
            <w:tcW w:w="4320" w:type="dxa"/>
            <w:vAlign w:val="bottom"/>
            <w:tcBorders>
              <w:left w:val="single" w:sz="8" w:color="auto"/>
              <w:bottom w:val="single" w:sz="8" w:color="auto"/>
            </w:tcBorders>
          </w:tcPr>
          <w:p>
            <w:pPr>
              <w:spacing w:after="0"/>
              <w:rPr>
                <w:sz w:val="24"/>
                <w:szCs w:val="24"/>
                <w:color w:val="auto"/>
              </w:rPr>
            </w:pPr>
          </w:p>
        </w:tc>
        <w:tc>
          <w:tcPr>
            <w:tcW w:w="6920" w:type="dxa"/>
            <w:vAlign w:val="bottom"/>
            <w:tcBorders>
              <w:bottom w:val="single" w:sz="8" w:color="auto"/>
              <w:right w:val="single" w:sz="8" w:color="auto"/>
            </w:tcBorders>
          </w:tcPr>
          <w:p>
            <w:pPr>
              <w:spacing w:after="0"/>
              <w:rPr>
                <w:sz w:val="24"/>
                <w:szCs w:val="24"/>
                <w:color w:val="auto"/>
              </w:rPr>
            </w:pPr>
          </w:p>
        </w:tc>
      </w:tr>
      <w:tr>
        <w:trPr>
          <w:trHeight w:val="328"/>
        </w:trPr>
        <w:tc>
          <w:tcPr>
            <w:tcW w:w="43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225"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5876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8762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government treasury obligations. We estimate the interest earned on the trust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account will be approximately $250,000 per year, assuming an interest rate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 0.1% per year; however we can provide no assurances regarding this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amount. Unless and until we complete our initial business combination,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except as described above, we may pay our expenses only from:</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the net proceeds of this offering and the sale of the private placement</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warrants not held in the trust account, which initially will be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approximately $1,000,000 in working capital after the payment of</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approximately $1,000,000 in expenses relating to this offering; and</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any loans or additional investments from our sponsor, members of our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management team or their affiliates or other third parties, although they</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are under no obligation to advance funds or invest in us; provided that any</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such loans will not have any claim on the funds held in the trust account</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unless such proceeds are released to us upon completion of our initial</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business combination. Up to $1,500,000 of such loans may be convertible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into private placement warrants, at a price of $1.50 per warrant, at the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option of the lender.</w:t>
      </w:r>
    </w:p>
    <w:p>
      <w:pPr>
        <w:sectPr>
          <w:pgSz w:w="11900" w:h="16838" w:orient="portrait"/>
          <w:cols w:equalWidth="0" w:num="1">
            <w:col w:w="11140"/>
          </w:cols>
          <w:pgMar w:left="320" w:top="225" w:right="439" w:bottom="1440" w:gutter="0" w:footer="0" w:header="0"/>
        </w:sectPr>
      </w:pP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rules of the NYSE require and our amended and restated memorandum and articles of association provide that we must consummate an initial business combination with one or more operating businesses or assets with a fair market value equal to at least 80% of the net assets held in the trust account (excluding the amount of any deferred underwriting commission held in trust) as determined at the time of our signing a definitive agreement</w:t>
      </w:r>
    </w:p>
    <w:p>
      <w:pPr>
        <w:spacing w:after="0" w:line="5" w:lineRule="exact"/>
        <w:rPr>
          <w:sz w:val="20"/>
          <w:szCs w:val="20"/>
          <w:color w:val="auto"/>
        </w:rPr>
      </w:pPr>
    </w:p>
    <w:p>
      <w:pPr>
        <w:sectPr>
          <w:pgSz w:w="11900" w:h="16838" w:orient="portrait"/>
          <w:cols w:equalWidth="0" w:num="2">
            <w:col w:w="4900" w:space="720"/>
            <w:col w:w="5520"/>
          </w:cols>
          <w:pgMar w:left="320" w:top="225" w:right="4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8"/>
          <w:szCs w:val="18"/>
          <w:color w:val="auto"/>
        </w:rPr>
        <w:t>in connection with our initial business combination. Our board of directors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 make the determination as to the fair market value of our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business combination upon standards generally accepted by the financial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community. If our board of directors is not able to independently determine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fair market value of our initial business combination (including with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assistance of financial advisors), we will obtain an opinion from 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independent investment banking firm that is a member of FINRA or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valuation or appraisal firm. While we consider it likely that our board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directors will be able to make an independent determination of the fair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market value of our initial business combination, it may be unable to do so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it is less familiar or experienced with the business of a particular target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there is a significant amount of uncertainty as to the value of the target’s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assets or prospects. We will complete our initial business combination only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the</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26" w:name="page27"/>
    <w:bookmarkEnd w:id="26"/>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36130" cy="5670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right="200"/>
        <w:spacing w:after="0" w:line="282" w:lineRule="auto"/>
        <w:rPr>
          <w:sz w:val="20"/>
          <w:szCs w:val="20"/>
          <w:color w:val="auto"/>
        </w:rPr>
      </w:pPr>
      <w:r>
        <w:rPr>
          <w:rFonts w:ascii="Times New Roman" w:cs="Times New Roman" w:eastAsia="Times New Roman" w:hAnsi="Times New Roman"/>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post-business combination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 parties in connection with financing our initial business combination.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outstanding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transactions together as our initial business combination for purposes of seeking shareholder approval or conducting a tender offer, as applicable.</w:t>
      </w:r>
    </w:p>
    <w:p>
      <w:pPr>
        <w:spacing w:after="0" w:line="1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initial shareholders, directors, officers, advisors or their affiliates may purchase public shares or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NYSE rules. However, they have no current commitments, plans or intentions to engage</w:t>
      </w:r>
    </w:p>
    <w:p>
      <w:pPr>
        <w:spacing w:after="0" w:line="200" w:lineRule="exact"/>
        <w:rPr>
          <w:sz w:val="20"/>
          <w:szCs w:val="20"/>
          <w:color w:val="auto"/>
        </w:rPr>
      </w:pPr>
    </w:p>
    <w:p>
      <w:pPr>
        <w:sectPr>
          <w:pgSz w:w="11900" w:h="16838" w:orient="portrait"/>
          <w:cols w:equalWidth="0" w:num="2">
            <w:col w:w="4900" w:space="720"/>
            <w:col w:w="5460"/>
          </w:cols>
          <w:pgMar w:left="320" w:top="225" w:right="499" w:bottom="1440" w:gutter="0" w:footer="0" w:header="0"/>
          <w:type w:val="continuous"/>
        </w:sect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5670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such transactions and have not formulated any terms or conditions for 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such transactions. None of the funds held in the trust account will be used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 public shares or warrants in such transactions. If they engage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such transactions, they will be restricted from making any such purchases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when they are in possession of any material nonpublic information or if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such purchases are prohibited by Regulation M under the Exchange Act. We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 not currently anticipate that such purchases, if any, would constitute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tender offer subject to the tender offer rules under the Exchange Act or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going-private transaction subject to the going-private rules under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Exchange Act; however, if the purchasers determine at the time of any such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purchases that the purchases are subject to such rules, the purchasers will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comply with such rules. Any such purchases may be required to be reported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pursuant to Section 13 and Section 16 of the Exchange Act. See “Proposed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Business—Effecting Our Initial Business Combination—Permitted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Purchases of Our Securities” for a description of how our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shareholders, directors, officers, advisors or any of their affiliates will select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which shareholders to purchase securities from in any private transaction.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Our initial shareholders, directors, officers, advisors or any of their affiliates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 be restricted from making any purchases if the purchases would violate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Section 9(a)(2) or Rule 10b-5 of the Exchange Act.</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purpose of any such purchases of shares could be to vote such shares 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favor of the initial business combination and thereby increase the likelihood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 obtaining shareholder approval of the initial business combination or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satisfy a closing condition in an agreement with a target that requires us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have a minimum net worth or a certain amount of cash at the closing of 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business combination, where it appears that such requirement would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otherwise not be met. The purpose of any such purchases of public warrants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could be to reduce the number of public warrants outstanding or to vote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such warrants on any matters submitted to the warrant holders for approval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connection with our initial business combination. Any such purchases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our securities may result in the completion of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that may not otherwise have been possible. In addition, if such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purchases are made, the public “float” of our Class A ordinary shares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public warrants may be reduced and the number of beneficial holders of 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securities may be reduced, which may make it difficult to maintain or obtain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quotation, listing or trading of our securities on a national securities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exchange.</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36130" cy="6596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5963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60" w:right="20" w:hanging="161"/>
        <w:spacing w:after="0" w:line="282" w:lineRule="auto"/>
        <w:rPr>
          <w:sz w:val="20"/>
          <w:szCs w:val="20"/>
          <w:color w:val="auto"/>
        </w:rPr>
      </w:pPr>
      <w:r>
        <w:rPr>
          <w:rFonts w:ascii="Times New Roman" w:cs="Times New Roman" w:eastAsia="Times New Roman" w:hAnsi="Times New Roman"/>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public shares held by them in connection with the completion of our initial business combination.</w:t>
      </w:r>
    </w:p>
    <w:p>
      <w:pPr>
        <w:spacing w:after="0" w:line="138" w:lineRule="exact"/>
        <w:rPr>
          <w:sz w:val="20"/>
          <w:szCs w:val="20"/>
          <w:color w:val="auto"/>
        </w:rPr>
      </w:pPr>
    </w:p>
    <w:p>
      <w:pPr>
        <w:sectPr>
          <w:pgSz w:w="11900" w:h="16838" w:orient="portrait"/>
          <w:cols w:equalWidth="0" w:num="2">
            <w:col w:w="4900" w:space="720"/>
            <w:col w:w="562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Manner of conducting redemptions</w:t>
            </w: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or a portion of their public shares upon the completion of our initial business</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combination either (i) in connection with a general meeting called to</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approve the initial business combination or (ii) without a shareholder vote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 means of a tender offer. The decision as to whether we will seek</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shareholder approval of a proposed initial business combination or conduct</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 tender offer will be made by us, solely in our discretion, and will be based</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variety of factors such as the timing of the transaction and whether the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terms of the transaction would require us to seek shareholder approval under</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applicable law or stock exchange listing requirements. Asset acquisitions</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and share purchases would not typically require shareholder approval while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direct mergers with our company and any transactions where we issue more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than 20% of our issued and outstanding Class A ordinary shares or seek to</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amend our amended and restated memorandum and articles of association</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would typically require shareholder approval. So long as we obtain and</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maintain a listing for our securities on the NYSE, we will be required to</w:t>
            </w:r>
          </w:p>
        </w:tc>
      </w:tr>
      <w:tr>
        <w:trPr>
          <w:trHeight w:val="234"/>
        </w:trPr>
        <w:tc>
          <w:tcPr>
            <w:tcW w:w="4080" w:type="dxa"/>
            <w:vAlign w:val="bottom"/>
          </w:tcPr>
          <w:p>
            <w:pPr>
              <w:spacing w:after="0"/>
              <w:rPr>
                <w:sz w:val="20"/>
                <w:szCs w:val="20"/>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comply with the NYSE’s shareholder approval rules.</w:t>
            </w:r>
          </w:p>
        </w:tc>
      </w:tr>
      <w:tr>
        <w:trPr>
          <w:trHeight w:val="360"/>
        </w:trPr>
        <w:tc>
          <w:tcPr>
            <w:tcW w:w="4080" w:type="dxa"/>
            <w:vAlign w:val="bottom"/>
          </w:tcPr>
          <w:p>
            <w:pPr>
              <w:spacing w:after="0"/>
              <w:rPr>
                <w:sz w:val="24"/>
                <w:szCs w:val="24"/>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The requirement that we provide our public shareholders with the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opportunity to redeem their public shares by one of the two methods listed</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above will be contained in provisions of our amended and restated</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memorandum and articles of association and will apply whether or not we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maintain our registration under the Exchange Act or our listing on the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NYSE. Such provisions may be amended if approved by holders of two-</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thirds of our ordinary shares entitled to vote thereon, so long as we offer</w:t>
            </w:r>
          </w:p>
        </w:tc>
      </w:tr>
      <w:tr>
        <w:trPr>
          <w:trHeight w:val="234"/>
        </w:trPr>
        <w:tc>
          <w:tcPr>
            <w:tcW w:w="4080" w:type="dxa"/>
            <w:vAlign w:val="bottom"/>
          </w:tcPr>
          <w:p>
            <w:pPr>
              <w:spacing w:after="0"/>
              <w:rPr>
                <w:sz w:val="20"/>
                <w:szCs w:val="20"/>
                <w:color w:val="auto"/>
              </w:rPr>
            </w:pPr>
          </w:p>
        </w:tc>
        <w:tc>
          <w:tcPr>
            <w:tcW w:w="71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redemption in connection with such amendment.</w:t>
            </w:r>
          </w:p>
        </w:tc>
      </w:tr>
      <w:tr>
        <w:trPr>
          <w:trHeight w:val="361"/>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328"/>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225" w:right="3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5019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0190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we provide our public shareholders with the opportunity to redeem their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public shares in connection with a general meeting, we will:</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conduct the redemptions in conjunction with a proxy solicitation pursuant</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to Regulation 14A of the Exchange Act, which regulates the solicitation</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of proxies, and not pursuant to the tender offer rules, and</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file proxy materials with the SEC.</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we seek shareholder approval, we will complete our initial business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only if we receive an ordinary resolution under Cayman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Islands law, which requires the affirmative vote of a majority of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shareholders who attend and vote at a general meeting of the company.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quorum for such meeting will be present if the holders of a majority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issued and outstanding shares entitled to vote at the meeting are represented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person or by proxy. Our initial shareholders will count toward this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quorum and, pursuant to the letter agreement, our sponsor, officers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directors have agreed to vote any founder shares and public shares held by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them in favor of our initial business combination. For purposes of seeking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approval of an ordinary resolution, non-votes will have no effect on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approval of our initial business combination once a quorum is obtained.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result, in addition to our initial shareholders’ founder shares, we would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need 9,375,001, or 37.5%, of the 25,000,000 public shares sold in this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offering to be voted in favor of an initial business combination in order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have our initial business combination approved (assuming all outstanding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shares are voted and the over-allotment option is not exercised). These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quorum and voting thresholds, and the voting agreements of our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shareholders, may make it more likely that we will consummate our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business combination. Each public shareholder may elect to redeem their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public shares without voting and, if they do vote, irrespective of whether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they vote for or against the proposed transaction.</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a shareholder vote is not required and we do not decide to hold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shareholder vote for business or other reasons, we will:</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5979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conduct the redemptions pursuant to Rule 13e-4 and Regulation 14E of</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the Exchange Act, which regulate issuer tender offers, and</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file tender offer documents with the SEC prior to completing our initial</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business combination which contain substantially the same financial and</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other information about our initial business combination and the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redemption rights as is required under Regulation 14A of the Exchange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Act, which regulates the solicitation of proxies.</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offer to redeem will remain open for at least 20 business days, in accordance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Rule 14e-1(a) under the Exchange Act, and we will not be permitted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complete our initial business combination until the expiration of the tender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offer period. In addition, the tender offer will be conditioned on public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shareholders not tendering more than the number of shares we are permitted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to redeem. If public shareholders tender more shares than we have offered to</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purchase, we will withdraw the tender offer and not complete such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Upon the public announcement of our initial business combination, if we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elect to conduct redemptions pursuant to the tender offer rules, we and 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sponsor will terminate any plan established in accordance with Rule 10b5-1</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purchase our Class A ordinary shares in the open market, in order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comply with Rule 14e-5 under the Exchange Act.</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We intend to require our public shareholders seeking to exercise their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redemption rights, whether they are record holders or hold their shares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“street name,” to, at the holder’s option, either deliver their share certificates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our transfer agent or deliver their shares to our transfer agent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electronically using The Depository Trust Company’s DWAC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(Deposit/Withdrawal At Custodian) system, prior to the date set forth in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proxy materials or tender offer documents, as applicable. In the case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proxy materials, this date may be up to two business days prior to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scheduled vote on the proposal to approve the initial business combination.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addition, if we conduct redemptions in connection with a shareholder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vote, we intend to require a public shareholder seeking redemption of its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public shares to also submit a written request for redemption to our transfer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two business days prior to the scheduled vote in which the name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beneficial owner of such shares is included. The proxy materials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tender offer documents, as applicable, that we will furnish to holders of 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public shares in connection with our</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31" w:name="page32"/>
    <w:bookmarkEnd w:id="31"/>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36130" cy="5773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 w:hanging="161"/>
        <w:spacing w:after="0" w:line="282" w:lineRule="auto"/>
        <w:rPr>
          <w:sz w:val="20"/>
          <w:szCs w:val="20"/>
          <w:color w:val="auto"/>
        </w:rPr>
      </w:pPr>
      <w:r>
        <w:rPr>
          <w:rFonts w:ascii="Times New Roman" w:cs="Times New Roman" w:eastAsia="Times New Roman" w:hAnsi="Times New Roman"/>
          <w:sz w:val="18"/>
          <w:szCs w:val="18"/>
          <w:color w:val="auto"/>
        </w:rPr>
        <w:t>Limitation on redemption rights of shareholders holding more than 15%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 w:right="40"/>
        <w:spacing w:after="0" w:line="254" w:lineRule="auto"/>
        <w:rPr>
          <w:sz w:val="20"/>
          <w:szCs w:val="20"/>
          <w:color w:val="auto"/>
        </w:rPr>
      </w:pPr>
      <w:r>
        <w:rPr>
          <w:rFonts w:ascii="Times New Roman" w:cs="Times New Roman" w:eastAsia="Times New Roman" w:hAnsi="Times New Roman"/>
          <w:sz w:val="18"/>
          <w:szCs w:val="18"/>
          <w:color w:val="auto"/>
        </w:rPr>
        <w:t>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34" w:lineRule="exact"/>
        <w:rPr>
          <w:sz w:val="20"/>
          <w:szCs w:val="20"/>
          <w:color w:val="auto"/>
        </w:rPr>
      </w:pPr>
    </w:p>
    <w:p>
      <w:pPr>
        <w:ind w:left="1" w:right="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w:t>
      </w:r>
    </w:p>
    <w:p>
      <w:pPr>
        <w:spacing w:after="0" w:line="3" w:lineRule="exact"/>
        <w:rPr>
          <w:sz w:val="20"/>
          <w:szCs w:val="20"/>
          <w:color w:val="auto"/>
        </w:rPr>
      </w:pPr>
    </w:p>
    <w:p>
      <w:pPr>
        <w:ind w:left="1" w:hanging="1"/>
        <w:spacing w:after="0" w:line="251"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 However, our amended and restated memorandum and articles of association provide, among other things, that prior to our initial business combination, we may not issue additional securities that would entitle the holders thereof to (i) receive funds from the trust account or (ii) vote on any initial business combination.</w:t>
      </w:r>
    </w:p>
    <w:p>
      <w:pPr>
        <w:spacing w:after="0" w:line="135" w:lineRule="exact"/>
        <w:rPr>
          <w:sz w:val="20"/>
          <w:szCs w:val="20"/>
          <w:color w:val="auto"/>
        </w:rPr>
      </w:pPr>
    </w:p>
    <w:p>
      <w:pPr>
        <w:ind w:left="1"/>
        <w:spacing w:after="0" w:line="261" w:lineRule="auto"/>
        <w:rPr>
          <w:sz w:val="20"/>
          <w:szCs w:val="20"/>
          <w:color w:val="auto"/>
        </w:rPr>
      </w:pPr>
      <w:r>
        <w:rPr>
          <w:rFonts w:ascii="Times New Roman" w:cs="Times New Roman" w:eastAsia="Times New Roman" w:hAnsi="Times New Roman"/>
          <w:sz w:val="18"/>
          <w:szCs w:val="18"/>
          <w:color w:val="auto"/>
        </w:rPr>
        <w:t>Notwithstanding the foregoing redemption rights, if we seek shareholder approval of our initial business combination and we do not conduct redemptions in connection with our initial business combination pursuant to the tender offer rules, our amended and</w:t>
      </w:r>
    </w:p>
    <w:p>
      <w:pPr>
        <w:spacing w:after="0" w:line="200" w:lineRule="exact"/>
        <w:rPr>
          <w:sz w:val="20"/>
          <w:szCs w:val="20"/>
          <w:color w:val="auto"/>
        </w:rPr>
      </w:pPr>
    </w:p>
    <w:p>
      <w:pPr>
        <w:sectPr>
          <w:pgSz w:w="11900" w:h="16838" w:orient="portrait"/>
          <w:cols w:equalWidth="0" w:num="2">
            <w:col w:w="5020" w:space="599"/>
            <w:col w:w="5481"/>
          </w:cols>
          <w:pgMar w:left="320" w:top="225" w:right="479" w:bottom="1440" w:gutter="0" w:footer="0" w:header="0"/>
          <w:type w:val="continuous"/>
        </w:sect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type w:val="continuous"/>
        </w:sectPr>
      </w:pPr>
    </w:p>
    <w:bookmarkStart w:id="32" w:name="page33"/>
    <w:bookmarkEnd w:id="32"/>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36130" cy="649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right="60" w:hanging="161"/>
        <w:spacing w:after="0" w:line="282" w:lineRule="auto"/>
        <w:rPr>
          <w:sz w:val="20"/>
          <w:szCs w:val="20"/>
          <w:color w:val="auto"/>
        </w:rPr>
      </w:pPr>
      <w:r>
        <w:rPr>
          <w:rFonts w:ascii="Times New Roman" w:cs="Times New Roman" w:eastAsia="Times New Roman" w:hAnsi="Times New Roman"/>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our sponsor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5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the completion of our initial business combination, the funds held in the trust account will be used to pay amounts due to any public shareholders who properly exercise their redemption rights as described above adjacent to the caption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4900" w:space="720"/>
            <w:col w:w="5500"/>
          </w:cols>
          <w:pgMar w:left="320" w:top="225" w:right="45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33" w:name="page34"/>
    <w:bookmarkEnd w:id="33"/>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36130" cy="508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508762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60" w:right="40" w:hanging="161"/>
        <w:spacing w:after="0" w:line="282" w:lineRule="auto"/>
        <w:rPr>
          <w:sz w:val="20"/>
          <w:szCs w:val="20"/>
          <w:color w:val="auto"/>
        </w:rPr>
      </w:pPr>
      <w:r>
        <w:rPr>
          <w:rFonts w:ascii="Times New Roman" w:cs="Times New Roman" w:eastAsia="Times New Roman" w:hAnsi="Times New Roman"/>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we will have only 24 months from the closing of this offering to complete our initial business combination. If we have not completed our initial business combination within such 24-month period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1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or during any Extension Period.</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However, if our initial shareholders or management team acquire public shares in or after this offering, they will be entitled to liquidating distributions from the trust account with respect to such public shares if we fail to complete our initial business combination within the allotted 24-month time period or during any Extension Period.</w:t>
      </w:r>
    </w:p>
    <w:p>
      <w:pPr>
        <w:spacing w:after="0" w:line="200" w:lineRule="exact"/>
        <w:rPr>
          <w:sz w:val="20"/>
          <w:szCs w:val="20"/>
          <w:color w:val="auto"/>
        </w:rPr>
      </w:pPr>
    </w:p>
    <w:p>
      <w:pPr>
        <w:sectPr>
          <w:pgSz w:w="11900" w:h="16838" w:orient="portrait"/>
          <w:cols w:equalWidth="0" w:num="2">
            <w:col w:w="4900" w:space="720"/>
            <w:col w:w="5520"/>
          </w:cols>
          <w:pgMar w:left="320" w:top="225" w:right="439" w:bottom="1440" w:gutter="0" w:footer="0" w:header="0"/>
          <w:type w:val="continuous"/>
        </w:sect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592"/>
        </w:trPr>
        <w:tc>
          <w:tcPr>
            <w:tcW w:w="386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The underwriters have agreed to waive their rights to their deferred</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underwriting commission held in the trust account in the event we do not</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complete our initial business combination within 24 months from the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closing of this offering or during any Extension Period and, in such event,</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such amounts will be included with the funds held in the trust account that</w:t>
            </w:r>
          </w:p>
        </w:tc>
      </w:tr>
      <w:tr>
        <w:trPr>
          <w:trHeight w:val="234"/>
        </w:trPr>
        <w:tc>
          <w:tcPr>
            <w:tcW w:w="386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will be available to fund the redemption of our public shares.</w:t>
            </w:r>
          </w:p>
        </w:tc>
      </w:tr>
      <w:tr>
        <w:trPr>
          <w:trHeight w:val="360"/>
        </w:trPr>
        <w:tc>
          <w:tcPr>
            <w:tcW w:w="386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Our sponsor, officers and directors have agreed, pursuant to a letter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agreement, that they will not propose any amendment to our amended and</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restated memorandum and articles of association (A) to modify the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substance or timing of our obligation to allow redemption in connection</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with our initial business combination or to redeem 100% of our public</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shares if we have not consummated an initial business combination within</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24 months from the closing of this offering or (B) with respect to any other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material provisions relating to shareholders’ rights or pre-initial business</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combination activity, unless we provide our public shareholders with the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opportunity to redeem their Class A ordinary shares upon approval of any</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such amendment at a per-share price, payable in cash, equal to the aggregate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amount then on deposit in the trust account, including interest earned on the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funds held in the trust account and not previously released to us to pay our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taxes, divided by the number of then outstanding public shares, subject to</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the limitations and on the conditions described above adjacent to the caption</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“Limitations on redemptions.” For example, our board of directors may</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propose such an amendment if it determines that additional time is</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necessary to complete our initial business combination. In such event, we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will conduct a proxy solicitation and distribute proxy materials pursuant to</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Regulation 14A of the Exchange Act seeking shareholder approval of such</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proposal, and in connection therewith, provide our public shareholders with</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the redemption rights described above upon shareholder approval of such</w:t>
            </w:r>
          </w:p>
        </w:tc>
      </w:tr>
      <w:tr>
        <w:trPr>
          <w:trHeight w:val="234"/>
        </w:trPr>
        <w:tc>
          <w:tcPr>
            <w:tcW w:w="386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amendment.</w:t>
            </w:r>
          </w:p>
        </w:tc>
      </w:tr>
      <w:tr>
        <w:trPr>
          <w:trHeight w:val="360"/>
        </w:trPr>
        <w:tc>
          <w:tcPr>
            <w:tcW w:w="38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Limited payments to insiders</w:t>
            </w: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There will be no finder’s fees, reimbursement, consulting fee, monies in</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respect of any payment of a loan or other compensation paid by us to our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sponsor, officers or directors, or any affiliate of our sponsor, officers or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directors prior to, or in connection with any services rendered in order to</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effectuate, the consummation of our initial business combination (regardless</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of the type of transaction that it is), other than the following payments,</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which may be made to our sponsor, officers or directors, or our or their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affiliates, and, if made prior to our initial business combination will be made</w:t>
            </w:r>
          </w:p>
        </w:tc>
      </w:tr>
      <w:tr>
        <w:trPr>
          <w:trHeight w:val="234"/>
        </w:trPr>
        <w:tc>
          <w:tcPr>
            <w:tcW w:w="386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from funds held outside the trust account:</w:t>
            </w:r>
          </w:p>
        </w:tc>
      </w:tr>
      <w:tr>
        <w:trPr>
          <w:trHeight w:val="361"/>
        </w:trPr>
        <w:tc>
          <w:tcPr>
            <w:tcW w:w="3860" w:type="dxa"/>
            <w:vAlign w:val="bottom"/>
            <w:tcBorders>
              <w:left w:val="single" w:sz="8" w:color="auto"/>
              <w:bottom w:val="single" w:sz="8" w:color="auto"/>
            </w:tcBorders>
          </w:tcPr>
          <w:p>
            <w:pPr>
              <w:spacing w:after="0"/>
              <w:rPr>
                <w:sz w:val="24"/>
                <w:szCs w:val="24"/>
                <w:color w:val="auto"/>
              </w:rPr>
            </w:pPr>
          </w:p>
        </w:tc>
        <w:tc>
          <w:tcPr>
            <w:tcW w:w="7380" w:type="dxa"/>
            <w:vAlign w:val="bottom"/>
            <w:tcBorders>
              <w:bottom w:val="single" w:sz="8" w:color="auto"/>
              <w:right w:val="single" w:sz="8" w:color="auto"/>
            </w:tcBorders>
          </w:tcPr>
          <w:p>
            <w:pPr>
              <w:spacing w:after="0"/>
              <w:rPr>
                <w:sz w:val="24"/>
                <w:szCs w:val="24"/>
                <w:color w:val="auto"/>
              </w:rPr>
            </w:pPr>
          </w:p>
        </w:tc>
      </w:tr>
      <w:tr>
        <w:trPr>
          <w:trHeight w:val="328"/>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240"/>
          </w:cols>
          <w:pgMar w:left="320" w:top="22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4607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460756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Repayment of up to an aggregate of $300,000 in loans made to us by our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sponsor to cover offering-related and organizational expenses;</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Payment to our sponsor or an affiliate thereof of up to $15,000 per month</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for office space, utilities, secretarial and administrative support services</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provided to us and other expenses and obligations of our sponsor;</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Reimbursement for any out-of-pocket expenses related to identifying,</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investigating, negotiating and completing an initial business combination;</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Repayment of loans which may be made by our sponsor or an affiliate of</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our sponsor or certain of our officers and directors to fund working capital</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deficiencies or finance transaction costs in connection with an intended</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initial business combination. Up to $1,500,000 of such loans may be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convertible into private placement warrants of the post-business</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combination entity at a price of $1.50 per warrant at the option of the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lender. Such warrants would be identical to the private placement</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warrants. Except for the foregoing, the terms of such loans, if any, have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not been determined and no written agreements exist with respect to such</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loans.</w:t>
      </w:r>
    </w:p>
    <w:p>
      <w:pPr>
        <w:sectPr>
          <w:pgSz w:w="11900" w:h="16838" w:orient="portrait"/>
          <w:cols w:equalWidth="0" w:num="1">
            <w:col w:w="11140"/>
          </w:cols>
          <w:pgMar w:left="320" w:top="225" w:right="439" w:bottom="1440" w:gutter="0" w:footer="0" w:header="0"/>
        </w:sectPr>
      </w:pP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We will establish and maintain an audit committee. Among its responsibilities, the audit committee will review on a quarterly basis all payments that were made by us to our sponsor, officers or directors, or our or their affiliates and monitor compliance with the other terms relating to this offering. If any noncompliance is identified, then the audit committee</w:t>
      </w:r>
    </w:p>
    <w:p>
      <w:pPr>
        <w:spacing w:after="0" w:line="3" w:lineRule="exact"/>
        <w:rPr>
          <w:sz w:val="20"/>
          <w:szCs w:val="20"/>
          <w:color w:val="auto"/>
        </w:rPr>
      </w:pPr>
    </w:p>
    <w:p>
      <w:pPr>
        <w:sectPr>
          <w:pgSz w:w="11900" w:h="16838" w:orient="portrait"/>
          <w:cols w:equalWidth="0" w:num="2">
            <w:col w:w="4900" w:space="720"/>
            <w:col w:w="5520"/>
          </w:cols>
          <w:pgMar w:left="320" w:top="225" w:right="4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8"/>
          <w:szCs w:val="18"/>
          <w:color w:val="auto"/>
        </w:rPr>
        <w:t>will be charged with the responsibility to promptly take all action necessary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rectify such noncompliance or otherwise to cause compliance with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terms of this offering. For more information, see the section entitled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“Management—Committees of the Board of Directors—Audit Committee.”</w:t>
      </w: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2035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03581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229" w:lineRule="exact"/>
        <w:rPr>
          <w:sz w:val="20"/>
          <w:szCs w:val="20"/>
          <w:color w:val="auto"/>
        </w:rPr>
      </w:pPr>
    </w:p>
    <w:p>
      <w:pPr>
        <w:ind w:left="100" w:firstLine="324"/>
        <w:spacing w:after="0" w:line="255" w:lineRule="auto"/>
        <w:rPr>
          <w:sz w:val="20"/>
          <w:szCs w:val="20"/>
          <w:color w:val="auto"/>
        </w:rPr>
      </w:pPr>
      <w:r>
        <w:rPr>
          <w:rFonts w:ascii="Times New Roman" w:cs="Times New Roman" w:eastAsia="Times New Roman" w:hAnsi="Times New Roman"/>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Business—Comparison of This Offering to Those of Blank Check Companies Subject to Rule 419.” You should carefully consider these and the other risks set forth in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6587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65874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100"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0" w:type="dxa"/>
            <w:vAlign w:val="bottom"/>
          </w:tcPr>
          <w:p>
            <w:pPr>
              <w:spacing w:after="0"/>
              <w:rPr>
                <w:sz w:val="1"/>
                <w:szCs w:val="1"/>
                <w:color w:val="auto"/>
              </w:rPr>
            </w:pPr>
          </w:p>
        </w:tc>
      </w:tr>
      <w:tr>
        <w:trPr>
          <w:trHeight w:val="210"/>
        </w:trPr>
        <w:tc>
          <w:tcPr>
            <w:tcW w:w="654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D5EAEA"/>
          </w:tcPr>
          <w:p>
            <w:pPr>
              <w:ind w:left="160"/>
              <w:spacing w:after="0"/>
              <w:rPr>
                <w:sz w:val="20"/>
                <w:szCs w:val="20"/>
                <w:color w:val="auto"/>
              </w:rPr>
            </w:pPr>
            <w:r>
              <w:rPr>
                <w:rFonts w:ascii="Times New Roman" w:cs="Times New Roman" w:eastAsia="Times New Roman" w:hAnsi="Times New Roman"/>
                <w:sz w:val="18"/>
                <w:szCs w:val="18"/>
                <w:color w:val="auto"/>
              </w:rPr>
              <w:t>Working (deficiency) capital(1)</w:t>
            </w:r>
          </w:p>
        </w:tc>
        <w:tc>
          <w:tcPr>
            <w:tcW w:w="2000" w:type="dxa"/>
            <w:vAlign w:val="bottom"/>
            <w:gridSpan w:val="2"/>
            <w:shd w:val="clear" w:color="auto" w:fill="D5EAE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(108,185)</w:t>
            </w:r>
          </w:p>
        </w:tc>
        <w:tc>
          <w:tcPr>
            <w:tcW w:w="1420" w:type="dxa"/>
            <w:vAlign w:val="bottom"/>
            <w:gridSpan w:val="2"/>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  242,269,506</w:t>
            </w:r>
          </w:p>
        </w:tc>
        <w:tc>
          <w:tcPr>
            <w:tcW w:w="0" w:type="dxa"/>
            <w:vAlign w:val="bottom"/>
          </w:tcPr>
          <w:p>
            <w:pPr>
              <w:spacing w:after="0"/>
              <w:rPr>
                <w:sz w:val="1"/>
                <w:szCs w:val="1"/>
                <w:color w:val="auto"/>
              </w:rPr>
            </w:pPr>
          </w:p>
        </w:tc>
      </w:tr>
      <w:tr>
        <w:trPr>
          <w:trHeight w:val="216"/>
        </w:trPr>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assets(2)</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127,691</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251,019,506</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D5EAEA"/>
          </w:tcPr>
          <w:p>
            <w:pPr>
              <w:ind w:left="160"/>
              <w:spacing w:after="0"/>
              <w:rPr>
                <w:sz w:val="20"/>
                <w:szCs w:val="20"/>
                <w:color w:val="auto"/>
              </w:rPr>
            </w:pPr>
            <w:r>
              <w:rPr>
                <w:rFonts w:ascii="Times New Roman" w:cs="Times New Roman" w:eastAsia="Times New Roman" w:hAnsi="Times New Roman"/>
                <w:sz w:val="18"/>
                <w:szCs w:val="18"/>
                <w:color w:val="auto"/>
              </w:rPr>
              <w:t>Total liabilities(3)</w:t>
            </w:r>
          </w:p>
        </w:tc>
        <w:tc>
          <w:tcPr>
            <w:tcW w:w="176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108,185</w:t>
            </w:r>
          </w:p>
        </w:tc>
        <w:tc>
          <w:tcPr>
            <w:tcW w:w="1420" w:type="dxa"/>
            <w:vAlign w:val="bottom"/>
            <w:gridSpan w:val="2"/>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8,750,000</w:t>
            </w:r>
          </w:p>
        </w:tc>
        <w:tc>
          <w:tcPr>
            <w:tcW w:w="0" w:type="dxa"/>
            <w:vAlign w:val="bottom"/>
          </w:tcPr>
          <w:p>
            <w:pPr>
              <w:spacing w:after="0"/>
              <w:rPr>
                <w:sz w:val="1"/>
                <w:szCs w:val="1"/>
                <w:color w:val="auto"/>
              </w:rPr>
            </w:pPr>
          </w:p>
        </w:tc>
      </w:tr>
      <w:tr>
        <w:trPr>
          <w:trHeight w:val="216"/>
        </w:trPr>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Value of ordinary share subject to possible conversion/tender(4)</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237,269,500</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D5EAEA"/>
          </w:tcPr>
          <w:p>
            <w:pPr>
              <w:ind w:left="160"/>
              <w:spacing w:after="0"/>
              <w:rPr>
                <w:sz w:val="20"/>
                <w:szCs w:val="20"/>
                <w:color w:val="auto"/>
              </w:rPr>
            </w:pPr>
            <w:r>
              <w:rPr>
                <w:rFonts w:ascii="Times New Roman" w:cs="Times New Roman" w:eastAsia="Times New Roman" w:hAnsi="Times New Roman"/>
                <w:sz w:val="18"/>
                <w:szCs w:val="18"/>
                <w:color w:val="auto"/>
              </w:rPr>
              <w:t>Shareholders’ (deficit) equity(5)</w:t>
            </w:r>
          </w:p>
        </w:tc>
        <w:tc>
          <w:tcPr>
            <w:tcW w:w="176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19,506</w:t>
            </w:r>
          </w:p>
        </w:tc>
        <w:tc>
          <w:tcPr>
            <w:tcW w:w="1420" w:type="dxa"/>
            <w:vAlign w:val="bottom"/>
            <w:gridSpan w:val="2"/>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5,000,006</w:t>
            </w: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76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0" w:right="140" w:hanging="322"/>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includes $250,000,000 of cash held in trust from the proceeds of this offering and the sale of the private placement warrants, plus $1,000,000 of cash held outside the trust account (assuming no exercise of the underwriters’ over-allotment option), plus $19,506 of actual shareholders’ equity on December 31, 2020, less $8,750,000 of deferred underwriting commissions.</w:t>
      </w:r>
    </w:p>
    <w:p>
      <w:pPr>
        <w:spacing w:after="0" w:line="175" w:lineRule="exact"/>
        <w:rPr>
          <w:rFonts w:ascii="Times New Roman" w:cs="Times New Roman" w:eastAsia="Times New Roman" w:hAnsi="Times New Roman"/>
          <w:sz w:val="18"/>
          <w:szCs w:val="18"/>
          <w:color w:val="auto"/>
        </w:rPr>
      </w:pPr>
    </w:p>
    <w:p>
      <w:pPr>
        <w:ind w:left="420" w:right="160" w:hanging="322"/>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$250,000,000 of cash held in trust from the proceeds of this offering and the sale of the private placement warrants, plus $1,000,000 in cash held outside the trust account (assuming no exercise of the underwriters’ over-allotment option), plus $19,506 of actual shareholders’ equity on December 31, 2020.</w:t>
      </w:r>
    </w:p>
    <w:p>
      <w:pPr>
        <w:spacing w:after="0" w:line="175" w:lineRule="exact"/>
        <w:rPr>
          <w:rFonts w:ascii="Times New Roman" w:cs="Times New Roman" w:eastAsia="Times New Roman" w:hAnsi="Times New Roman"/>
          <w:sz w:val="18"/>
          <w:szCs w:val="18"/>
          <w:color w:val="auto"/>
        </w:rPr>
      </w:pPr>
    </w:p>
    <w:p>
      <w:pPr>
        <w:ind w:left="420" w:right="360" w:hanging="322"/>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$8,750,000 of deferred underwriting commissions, assuming the underwriters’ over-allotment option is not exercised.</w:t>
      </w:r>
    </w:p>
    <w:p>
      <w:pPr>
        <w:spacing w:after="0" w:line="161" w:lineRule="exact"/>
        <w:rPr>
          <w:rFonts w:ascii="Times New Roman" w:cs="Times New Roman" w:eastAsia="Times New Roman" w:hAnsi="Times New Roman"/>
          <w:sz w:val="18"/>
          <w:szCs w:val="18"/>
          <w:color w:val="auto"/>
        </w:rPr>
      </w:pPr>
    </w:p>
    <w:p>
      <w:pPr>
        <w:jc w:val="both"/>
        <w:ind w:left="420" w:right="140" w:hanging="322"/>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the “as adjusted” total assets, less the “as adjusted” total liabilities, less the “as adjusted” shareholders’ equity, which is set to approximate the minimum net tangible assets threshold of at least $5,000,001 either immediately prior to or upon consummation of our initial business combination.</w:t>
      </w:r>
    </w:p>
    <w:p>
      <w:pPr>
        <w:spacing w:after="0" w:line="175" w:lineRule="exact"/>
        <w:rPr>
          <w:rFonts w:ascii="Times New Roman" w:cs="Times New Roman" w:eastAsia="Times New Roman" w:hAnsi="Times New Roman"/>
          <w:sz w:val="18"/>
          <w:szCs w:val="18"/>
          <w:color w:val="auto"/>
        </w:rPr>
      </w:pPr>
    </w:p>
    <w:p>
      <w:pPr>
        <w:ind w:left="420" w:right="400" w:hanging="322"/>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23,726,950 Class A ordinary shares sold in the offering which are subject to redemption in connection with our initial business combination. The “as adjusted” calculation equals the “as adjusted” total assets, less the “as adjusted” total liabilities, less the value of ordinary shares that may be redeemed in connection with our initial business combination ($10.00 per share).</w:t>
      </w:r>
    </w:p>
    <w:p>
      <w:pPr>
        <w:spacing w:after="0" w:line="176" w:lineRule="exact"/>
        <w:rPr>
          <w:sz w:val="20"/>
          <w:szCs w:val="20"/>
          <w:color w:val="auto"/>
        </w:rPr>
      </w:pPr>
    </w:p>
    <w:p>
      <w:pPr>
        <w:ind w:left="100" w:right="160" w:firstLine="324"/>
        <w:spacing w:after="0" w:line="266" w:lineRule="auto"/>
        <w:rPr>
          <w:sz w:val="20"/>
          <w:szCs w:val="20"/>
          <w:color w:val="auto"/>
        </w:rPr>
      </w:pPr>
      <w:r>
        <w:rPr>
          <w:rFonts w:ascii="Times New Roman" w:cs="Times New Roman" w:eastAsia="Times New Roman" w:hAnsi="Times New Roman"/>
          <w:sz w:val="18"/>
          <w:szCs w:val="18"/>
          <w:color w:val="auto"/>
        </w:rPr>
        <w:t>The “as adjusted” information in the table above gives effect to the sale of the public units we are offering and the sale of the private placement warrants, including the application of the related gross proceeds and the payment of the estimated remaining costs from such sale and the repayment of the accrued and other liabilities required to be repaid.</w:t>
      </w:r>
    </w:p>
    <w:p>
      <w:pPr>
        <w:spacing w:after="0" w:line="176" w:lineRule="exact"/>
        <w:rPr>
          <w:sz w:val="20"/>
          <w:szCs w:val="20"/>
          <w:color w:val="auto"/>
        </w:rPr>
      </w:pPr>
    </w:p>
    <w:p>
      <w:pPr>
        <w:ind w:left="100" w:right="80" w:firstLine="324"/>
        <w:spacing w:after="0" w:line="254" w:lineRule="auto"/>
        <w:rPr>
          <w:sz w:val="20"/>
          <w:szCs w:val="20"/>
          <w:color w:val="auto"/>
        </w:rPr>
      </w:pPr>
      <w:r>
        <w:rPr>
          <w:rFonts w:ascii="Times New Roman" w:cs="Times New Roman" w:eastAsia="Times New Roman" w:hAnsi="Times New Roman"/>
          <w:sz w:val="18"/>
          <w:szCs w:val="18"/>
          <w:color w:val="auto"/>
        </w:rPr>
        <w:t>The “as adjusted” total assets of $250,000,000 to be held in the trust account (or $287,500,000 if the underwriters’ over-allotment option is exercised in full) which, except for limited situations described in this prospectus, will be available to us only upon the consummation of a business combination within the time period described in this prospectus. If no business combination is completed within 24 months from the closing of this offering or during any Extension Period, the proceeds then on deposit in the trust account, including interest (less up to $100,000 of interest income to pay dissolution expenses and which interest shall be net of taxes payable) will be used to fund the redemption of our public shares. Our sponsor, officers and directors have entered into a letter agreement with us, pursuant to which they have agreed to waive their rights to liquidating distributions from the trust account with respect to their founder shares and public shares if we fail to complete our initial business combination within such 24-month time period or during any Extension Period.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7127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7" w:lineRule="exact"/>
        <w:rPr>
          <w:sz w:val="20"/>
          <w:szCs w:val="20"/>
          <w:color w:val="auto"/>
        </w:rPr>
      </w:pPr>
    </w:p>
    <w:p>
      <w:pPr>
        <w:ind w:left="100" w:firstLine="324"/>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92" w:lineRule="exact"/>
        <w:rPr>
          <w:sz w:val="20"/>
          <w:szCs w:val="20"/>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blank check company with no operating history and no revenues;</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 appropriate target business or businesses;</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the performance of the prospective target business or businesses;</w:t>
      </w:r>
    </w:p>
    <w:p>
      <w:pPr>
        <w:spacing w:after="0" w:line="225" w:lineRule="exact"/>
        <w:rPr>
          <w:rFonts w:ascii="Times New Roman" w:cs="Times New Roman" w:eastAsia="Times New Roman" w:hAnsi="Times New Roman"/>
          <w:sz w:val="18"/>
          <w:szCs w:val="18"/>
          <w:color w:val="auto"/>
        </w:rPr>
      </w:pPr>
    </w:p>
    <w:p>
      <w:pPr>
        <w:ind w:left="740" w:right="920" w:hanging="31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161" w:lineRule="exact"/>
        <w:rPr>
          <w:rFonts w:ascii="Times New Roman" w:cs="Times New Roman" w:eastAsia="Times New Roman" w:hAnsi="Times New Roman"/>
          <w:sz w:val="18"/>
          <w:szCs w:val="18"/>
          <w:color w:val="auto"/>
        </w:rPr>
      </w:pPr>
    </w:p>
    <w:p>
      <w:pPr>
        <w:ind w:left="740" w:right="100" w:hanging="31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w:t>
      </w:r>
    </w:p>
    <w:p>
      <w:pPr>
        <w:spacing w:after="0" w:line="161"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225" w:lineRule="exact"/>
        <w:rPr>
          <w:rFonts w:ascii="Times New Roman" w:cs="Times New Roman" w:eastAsia="Times New Roman" w:hAnsi="Times New Roman"/>
          <w:sz w:val="18"/>
          <w:szCs w:val="18"/>
          <w:color w:val="auto"/>
        </w:rPr>
      </w:pPr>
    </w:p>
    <w:p>
      <w:pPr>
        <w:ind w:left="740" w:right="100" w:hanging="31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an initial business combination due to the uncertainty resulting from the COVID-19 pandemic or other events (such as terrorist attacks, natural disasters or a significant outbreak of other infectious diseases);</w:t>
      </w:r>
    </w:p>
    <w:p>
      <w:pPr>
        <w:spacing w:after="0" w:line="161"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business combination opportunities;</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not held in the trust account or available to us from interest income on the trust account balance;</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account being subject to claims of third parties;</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 and</w:t>
      </w:r>
    </w:p>
    <w:p>
      <w:pPr>
        <w:spacing w:after="0" w:line="225" w:lineRule="exact"/>
        <w:rPr>
          <w:rFonts w:ascii="Times New Roman" w:cs="Times New Roman" w:eastAsia="Times New Roman" w:hAnsi="Times New Roman"/>
          <w:sz w:val="18"/>
          <w:szCs w:val="18"/>
          <w:color w:val="auto"/>
        </w:rPr>
      </w:pPr>
    </w:p>
    <w:p>
      <w:pPr>
        <w:ind w:left="740" w:hanging="31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and uncertainties discussed in “Risk Factors” and elsewhere in this prospectus.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1418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1418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0" w:firstLine="324"/>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225" w:right="5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Associated with Our Business Strategy and Business Combination</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are a blank check company with no operating history and no revenues, and you have no basis on which to evaluate our ability to achieve our business objective.</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 blank check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Information regarding our management team and their affiliates, including investments and transactions in which they have participated and businesses with which they have been associated, is presented for informational purposes only. Not all of the businesses in which our management team has invested have achieved the same level of value creation. Any past experience and performance by our management team and their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shareholders may experience losses on their investment in our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seek business combination opportunities in industries or sectors that may be outside of our management’s areas of expertise.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Because we are neither limited to evaluating a target business in a particular industry, sector or geographic region nor have we selected any target businesses with which to pursue our initial business combination, you will be unable to ascertain the merits or risks of any particular target business’s operations.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Although we expect to focus our search for a target business in the financial services sector, 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including the financial services and insurance sectors. Our amended and restated memorandum and articles of association prohibit us from effectuating a business combination solely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not ultimately prove to be less favorable to investors in this offering than a direct investment, if an opportunity were available, in a business combination candidate.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w:t>
      </w:r>
    </w:p>
    <w:p>
      <w:pPr>
        <w:spacing w:after="0" w:line="18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regarding fairness, and consequently, you may have no assurance from an independent source that the price we are paying for the business is fair to our shareholders from a financial point of view.</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Unless we complete our initial business combination with an affiliated entity, we are not required to obtain an opinion that such an initial business combination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We may seek acquisition opportunities with an early stage company, a financially unstable business or an entity lacking an established record of revenue or earnings.</w:t>
      </w:r>
    </w:p>
    <w:p>
      <w:pPr>
        <w:spacing w:after="0" w:line="15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5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225"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right="2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partner business with which we ultimately complete a business combination, may be materially adversely affected by the coronavirus (COVID-19) pandemic and other events and the status of debt and equity markets.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December 2019, a novel strain of coronavirus surfaced,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pandemic has adversely affected, and other events (such as terrorist attacks, natural disasters or a significant outbreak of other infectious diseases) could adversely affect the economies and financial markets worldwide, business operations and the conduct of commerce generally, and the business of any potential partner business with which we consummate a business combination could be, or may already have been, materially and adversely affected.</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complete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continue for an extensive period of time or other events (such as terrorist attacks, natural disasters or a significant outbreak of other infectious diseases) occur, our ability to complete a business combination, or the operations of a partner business with which we ultimately complete a business combination, may be materially adversely affected. In addition, our ability to complete a transaction may be dependent on the ability to raise equity and debt financing which may be impacted by COVID-19 and other events (such as terrorist attacks, natural disasters or a significant outbreak of other infectious diseases), including as a result of increased market volatility, decreased market liquidity and third-party financing being unavailable on terms acceptable to us or at all.</w:t>
      </w:r>
    </w:p>
    <w:p>
      <w:pPr>
        <w:spacing w:after="0" w:line="19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Finally, the outbreak of COVID-19 may also have the effect of heightening many of the other risks described in this “Risk Factors” section, such as those related to the market for our securities and cross-border transactions.</w:t>
      </w:r>
    </w:p>
    <w:p>
      <w:pPr>
        <w:spacing w:after="0" w:line="158"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net proceeds from this offering and the sale of the private placement warrants will provide us with $241,250,000 (or $277,437,500 if the underwriters’ over-allotment option is exercised in full) that we may use to complete our initial business combination (after taking into account the $8,750,000, or up to $10,062,500 if the over-allotment option is exercised in full, of deferred underwriting commissions being held in the trust account, and excludes estimated offering expenses and working capital costs of $2,000,000).</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dependent upon the performance of a single business, property or asset,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58"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3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they could negatively impact our profitability and results of operations.</w:t>
      </w:r>
    </w:p>
    <w:p>
      <w:pPr>
        <w:spacing w:after="0" w:line="183"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may structure our initial business combination so that the post-business combination company in which our public shareholders own shares will own or acquire less than 100% of the outstanding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third-parties in connection with financing our initial business combination. In this case, we would acquire a 100% controlling interest in the target. However, as a result of the issuance of a substantial number of new shares, our shareholders immediately prior to such transaction could own less than a majority of our issued and outstanding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are dependent upon our officers and directors and their loss could adversely affect our ability to operate. In addition, reputational harm to our officers and directors could have adverse consequences on our ability to operate or consummate a business combination.</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certain of our officers and directors are currently, and may in the future be, a party to litigation, regulatory and other government investigations and enforcement actions. Whether or not such proceedings are determined adversely to our officers and directors, the negative publicity and reputational harm associated with such proceedings may divert resources and the attention of management from our business and adversely impact our ability to consummate a business combination.</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directors and officers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post-combination company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Cayman Islands law.</w:t>
      </w:r>
    </w:p>
    <w:p>
      <w:pPr>
        <w:spacing w:after="0" w:line="183" w:lineRule="exact"/>
        <w:rPr>
          <w:sz w:val="20"/>
          <w:szCs w:val="20"/>
          <w:color w:val="auto"/>
        </w:rPr>
      </w:pPr>
    </w:p>
    <w:p>
      <w:pPr>
        <w:jc w:val="both"/>
        <w:ind w:right="920"/>
        <w:spacing w:after="0" w:line="317" w:lineRule="auto"/>
        <w:rPr>
          <w:sz w:val="20"/>
          <w:szCs w:val="20"/>
          <w:color w:val="auto"/>
        </w:rPr>
      </w:pPr>
      <w:r>
        <w:rPr>
          <w:rFonts w:ascii="Times New Roman" w:cs="Times New Roman" w:eastAsia="Times New Roman" w:hAnsi="Times New Roman"/>
          <w:sz w:val="17"/>
          <w:szCs w:val="17"/>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3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59"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post-combination business following our initial business combination, it is possible that members of the management of an acquisition candidate will not wish to remain in place.</w:t>
      </w:r>
    </w:p>
    <w:p>
      <w:pPr>
        <w:spacing w:after="0" w:line="15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authorizes the issuance of up to 200,000,000 Class A ordinary shares, par value $0.0001 per share, 20,000,000 Class B ordinary shares, par value $0.0001 per share, and 1,000,000 preferred shares, par value $0.0001 per share. Immediately after this offering, there will be 175,000,000 and 13,750,000 (assuming in each case that the underwriters have not exercised their over-allotment option and the forfeiture of 937,500 Class B ordinary shares) authorized but unissued Class A ordinary shares and Class B ordinary shares, respectively, available for issuance which amounts do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our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our initial business combination. Immediately after this offering, there will be no preferred shares issued and outstanding.</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issue a substantial number of additional Class A ordinary shares or preferred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therein or in connection with the redemption of our public warrants. However, our amended and restated memorandum and articles of association provide, among other things, that prior to our initial business combination, we may not issue additional securities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 may:</w:t>
      </w:r>
    </w:p>
    <w:p>
      <w:pPr>
        <w:spacing w:after="0" w:line="192" w:lineRule="exact"/>
        <w:rPr>
          <w:sz w:val="20"/>
          <w:szCs w:val="20"/>
          <w:color w:val="auto"/>
        </w:rPr>
      </w:pPr>
    </w:p>
    <w:p>
      <w:pPr>
        <w:jc w:val="both"/>
        <w:ind w:left="660" w:right="34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the rights of holders of Class A ordinary shares if preferred shares are issued with rights senior to those afforded our Class A ordinary shares;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effect of delaying or preventing a change of control of us by diluting the share ownership or voting rights of a person seeking to obtain control of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prevailing market prices for our units, Class A ordinary shares and/or warrants; and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result in adjustment to the exercise price of our warrants.</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issued or deemed issued, by the Company in connection with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w:t>
      </w:r>
    </w:p>
    <w:p>
      <w:pPr>
        <w:spacing w:after="0" w:line="19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the holders of our founder shares will participate in the vote on such approval and have agreed to vote in favor of our initial business combination. Accordingly, we may complete our initial business combination even if holders of a majority of our ordinary shares do not approve of the business combination we complete. Please see the section entitled “Proposed Business—Shareholders May Not Have the Ability to Approve Our Initial Business Combination” for additional information.</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effect your investment decision regarding a potential business combination may be limited to the exercise of your right to redeem your shares from us for cash.</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effect your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our initial shareholders and management team have agreed to vote in favor of such initial business combination, regardless of how our public shareholders vote.</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initial shareholders will own 20% of our issued and outstanding ordinary shares immediately following the completion of this offering (assuming our initial shareholders do not purchase any units in this offering). Our initial shareholders and management team also may from time to time purchase Class A ordinary shares prior to our initial business combination. Our amended and restated memorandum and articles of association provide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9,375,001, or 37.5%, of the 25,000,000 public shares sold in this offering to be voted in favor of an initial business combination in order to have our initial business combination approved (assuming all outstanding shares are voted and the over-allotment option is not exercised). Accordingly, if we seek shareholder approval of our initial business combination, the agreement by our initial shareholders and management team to vote in favor of our initial business combination will increase the likelihood that we will receive an ordinary resolution, being the requisite shareholder approval for such initial business combination.</w:t>
      </w:r>
    </w:p>
    <w:p>
      <w:pPr>
        <w:spacing w:after="0" w:line="19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our initial shareholders, directors, officers, advisors and their affiliates may elect to purchase public shares or warrants from public shareholders, which may influence a vote on a proposed business combination and reduce the public “float” of our securities.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initial shareholders, directors, officers, advisors or their affiliates may purchase public shares or warrants in privately negotiated transactions or in the open market either prior to or following the completion of our initial business combination, although they are under no obligation to do so. There is no limit on the number of shares our initial shareholders, directors, officers, advisors or their affiliates may purchase in such transactions, subject to compliance with applicable law and NYSE rules.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the event that our initial shareholders,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See “Proposed Business—Effecting Our Initial Business Combination—Permitted Purchases of Our Securities” for a description of how our initial shareholders, directors, officers, advisors or any of their affiliates will select which shareholders to purchase securities from in any private transaction.</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8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memorandum and articles of association requires a special resolution under Cayman Islands law, which requires the affirmative vote of a majority of at least two-thirds of the shareholders who attend and vote at a general meeting of the company (other than amendments relating to the rights of holders of Class B ordinary shares to appoint or remove directors, which may be amended by a special resolution passed by a majority of at least 90% of our ordinary shares voting in a general meeting), and amending our warrant agreement will require a vote of holders of at least 65% of the public warrants and, solely with respect to any amendment to the terms of the private placement warrants or any provision of the warrant agreement with respect to the private placement warrants, at least 65% of the then outstanding private placement warrants. In addition, our amended and restated memorandum and articles of association require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To the extent any of such amendments would be deemed to fundamentally change the nature of the securities offered through the registration statement of which this prospectus forms a part,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two-thirds of our ordinary shares who attend and vote at a general meeting of the company (or 65% of our ordinary shares who attend and vote at a general meeting of the company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and trust agreement to facilitate the completion of an initial business combination that some of our shareholders may not support.</w:t>
      </w:r>
    </w:p>
    <w:p>
      <w:pPr>
        <w:spacing w:after="0" w:line="187"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any of its provisions related to pre-business combination activity (including the requirement to deposit proceeds of this offering and the sale of the private placement warrants into the trust account and not release such amounts except in specified circumstances, and to provide redemption rights to public shareholders as described herein) may be amended if approved by special resolution under Cayman Islands law, which requires the affirmative vote of a majority of at least two-thirds of the shareholders who attend and vote at a general meeting of the company (other than amendments relating to the rights of holders of Class B ordinary shares to appoint or remove directors, which may be amended by a special resolution passed by a majority of at least 90% of our ordinary shares voting in a general meeting), and corresponding provisions of the trust agreement governing the release of funds from our trust account may be amended if approved by holders of 65% of our ordinary shares who attend and vote at a general meeting of the company. 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that govern our pre-business combination behavior more easily than some other special purpose acquisition companies, and this may increase our ability to complete a business combination with which you do not agree. Our shareholders may pursue remedies against us for any breach of our amended and restated memorandum and articles of association.</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sponsor, officers and directors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right to approve any waiver to these agreements and will not have the ability to pursue remedies against our sponsor, officers or directors for any breach of these agreements. As a result, in the event of a breach, our shareholders would need to pursue a shareholder derivative action, subject to applicable law.</w:t>
      </w:r>
    </w:p>
    <w:p>
      <w:pPr>
        <w:spacing w:after="0" w:line="19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 or prevent us from completing the most desirable business combination or optimizing our capital structure.</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or any greater net tangible asset or cash requirement that may be contained in</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may instead search for an alternate business combination. Alternatively, we may seek to restructure the transaction to reserve a greater portion of the cash in the trust account or arrange for third-party financing. Raising additional third-party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Prospective targets will be aware of these risks and, thus, may be reluctant to enter into a business combination transaction with us. If we are able to consummate an initial business combination, the per-share value of shares held by non-redeeming shareholders will reflect our obligation to pay the deferred underwriting commissions. The above considerations may limit our ability to complete the most desirable business combination available to us or optimize our capital structure.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You may suffer a material loss on your investment or lose the benefit of funds expected in connection with your exercise of redemption rights until we liquidate or you are able to sell your shares in the open market.</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Because we must furnish our shareholders with the target business’s financial statements, we may lose the ability to complete an otherwise advantageous initial business combination with some prospective target businesses.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8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The requirement that we complete our initial business combination within 24 months after the closing of this offering or during any Extension Period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a business combination will be aware that we must complete our initial business combination within 24 months from the closing of this offering or during any Extension Period.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2020, we had no cash and a working capital deficit of $108,185.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8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If the net proceeds of this offering and the sale of the private placement warrants not being held in the trust account are insufficient to allow us to operate for at least the 24 months following the closing of this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Of the net proceeds of this offering, only an estimated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the closing of this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8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or invest in, us in such circumstances. Any such loans may be repaid only from funds held outside the trust account or from funds released to us upon completion of our initial business combination. Up to $1,500,000 of such loans may be convertible into private placement warrants of the post-business combination entity at a price of $1.50 per warrant at the option of the lender. Such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not selected any specific business combination target but intend to target businesses with enterprise values that are greater than we could acquire solely with the net proceeds of this offering and the sale of the private placement warrants. As a result, if the cash portion of the purchase price exceeds the amount available from the trust account, net of amounts needed to satisfy any redemption by public shareholders and pay deferred underwriting</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commissions,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our public shareholders may only receive their pro rata portion of the funds in the trust account that are available for distribution to public shareholders,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88"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color w:val="auto"/>
        </w:rPr>
        <w:t>We may not be able to complete our initial business combination within 24 months after the closing of this offering or during any Extension Period, in which case we would cease all operations except for the purpose of winding up and we would redeem our public shares and liquidate.</w:t>
      </w:r>
    </w:p>
    <w:p>
      <w:pPr>
        <w:spacing w:after="0" w:line="13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may not be able to find a suitable target business and complete our initial business combination within 24 months after the closing of this offering or during any Extension Period. Our ability to complete our initial business combination may be negatively impacted by general market conditions, volatility in the capital and debt markets and the other risks described herein. For example, the COVID-19 pandemic continues to grow both in the U.S. and globally and, while the extent of the impact of the pandemic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COVID-19 pandemic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Comparison of This Offering to Those of Blank Check Companies Subject to Rule 419.”</w:t>
      </w:r>
    </w:p>
    <w:p>
      <w:pPr>
        <w:spacing w:after="0" w:line="1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Additionally, the number of blank check companies looking for business combination targets has increased compared to recent years and many of these blank check companies are sponsored by entities or persons that have significant experience with completing business combinations.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which may only be $10.00 per share or possibly less in certain circumstances, and our warrants will expire worthless.</w:t>
      </w:r>
    </w:p>
    <w:p>
      <w:pPr>
        <w:spacing w:after="0" w:line="191"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7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If third parties bring claims against us, the funds held in the trust account could be reduced and the per-share redemption amount received by shareholders may be substantially less than $10.00 per share.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placing of funds in the trust account may not protect those funds from third-party claims against us.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whether competitive alternatives are reasonably available to us and will only enter into an agreement with such third party if management believes that such third party’s engagement would be in the best interests of the company under the circumstances. Marcum LLP, our independent registered public accounting firm, and the underwriters of this offering will not execute agreements with us waiving such claims to the monies held in the trust account.</w:t>
      </w:r>
    </w:p>
    <w:p>
      <w:pPr>
        <w:spacing w:after="0" w:line="176"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completed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Marcum LLP, our independent registered public accounting firm)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substantially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have sufficient funds to satisfy indemnification claims of our directors and officers.</w:t>
      </w:r>
    </w:p>
    <w:p>
      <w:pPr>
        <w:spacing w:after="0" w:line="229"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1" w:lineRule="exact"/>
        <w:rPr>
          <w:sz w:val="20"/>
          <w:szCs w:val="20"/>
          <w:color w:val="auto"/>
        </w:rPr>
      </w:pPr>
    </w:p>
    <w:p>
      <w:pPr>
        <w:ind w:right="20" w:firstLine="8"/>
        <w:spacing w:after="0" w:line="253"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5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do not to complete our initial business combination or make certain amendments to our amended and restated memorandum and articles of association, our public shareholders are entitled to receive their pro-rata share of the proceeds held in the trust account, plus any interest income earned thereon (less taxes payable and up to $100,000 of interest income to pay dissolution expenses). Negative interest rates could reduce the value of the assets held in trust such that the per-share redemption amount received by public shareholders may be less than $10.00 per share.</w:t>
      </w:r>
    </w:p>
    <w:p>
      <w:pPr>
        <w:spacing w:after="0" w:line="18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If, after we distribute the funds in the trust account to our public shareholders, we file a bankruptcy or winding-up petition or an involuntary bankruptcy or winding-up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after we distribute the funds in the trust account to our public shareholders, we file a bankruptcy or winding-up petition or an involuntary bankruptcy or winding-up petition is filed against us that is not dismissed, any distributions received by shareholders could be viewed under applicable debtor/creditor and/or bankruptcy or insolvency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If, before distributing the funds in the trust account to our public shareholders, we file a bankruptcy or winding-up petition or an involuntary bankruptcy or winding-up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before distributing the funds in the trust account to our public shareholders, we file a bankruptcy or winding-up petition or an involuntary bankruptcy or winding-up petition is filed against us that is not dismissed, the funds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the event that the funds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which may make it difficult for us to complete our initial business combination. In addition, we may have imposed upon us burdensome requirements, including: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 that we are currently not subject to.</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resell or profit from their resale. We do not plan to buy unrelated businesses or assets or to be a passive investor.</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5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business combination.</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and will be subject to laws and regulations enacted by national, regional and local governments. In particular, we will be required to comply with certain SEC and other legal requirements, our business combination may be contingent on our ability to comply with certain laws and regulations and any post-business combination company may be subject to additional laws and regulations. Compliance with, and monitoring of, applicable laws and regulations may be difficult, time consuming and costly. Those laws and regulations and their interpretation and application may also change from time to time, including as a result of changes in economic, political, social and government policies, and those changes could have a material adverse effect on our business, including our ability to negotiate and complete our initial business combination,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incidents or attacks directed at us could result in information theft, data corruption, operational disruption and/or financial loss.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Associated with Our Securities and Redemption</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183" w:lineRule="exact"/>
        <w:rPr>
          <w:sz w:val="20"/>
          <w:szCs w:val="20"/>
          <w:color w:val="auto"/>
        </w:rPr>
      </w:pPr>
    </w:p>
    <w:p>
      <w:pPr>
        <w:ind w:left="5520" w:right="3160" w:hanging="5188"/>
        <w:spacing w:after="0" w:line="657" w:lineRule="auto"/>
        <w:tabs>
          <w:tab w:leader="none" w:pos="6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initial shareholders paid an aggregate of $25,000, or approximately $0.003 per founder share and, accordingly, you will experience immediate and substantial dilution from the purchase of our Class A ordinary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initial shareholders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93.4% (or $9.34 per share, assuming no exercise of the underwriters’ over-allotment option), the difference between the pro forma net tangible book value per share after this offering of $0.66 and the initial offering price of $10.00 per unit. This dilution would increase to the extent that the anti-dilution provisions of the founder shares result in the issuance of Class A ordinary shares on a greater than one-to-one basis upon conversion of the Class B ordinary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1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pandemic and other events (such as terrorist attacks, natural disasters or a significant outbreak of other infectious diseases). Furthermore, an active trading market for our securities may never develop or, if developed, it may not be sustained. You may be unable to sell your securities unless a market can be established and sustained.</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NYSE may delist our securities from trading on its exchange, which could limit investors’ ability to make transactions in our securities and subject us to additional trading restrictions.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applied to list our units on the NYSE. We expect that our units will be listed on the NYSE on or promptly after the date of this prospectus. On and following the date that the Class A ordinary shares and warrants are eligible to trade separately, we anticipate that the Class A ordinary shares and warrants will be separately listed on the NYSE.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share price levels. Generally, following our initial public offering, we must maintain a minimum amount in Shareholders’ equity (generally $2,500,000) and a minimum number of holders of our securities</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(generally 300 public holders).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in order for our Class A ordinary shares to be listed upon the consummation of our initial business combination, at such time, our share price would generally be required to be at least $4.00 per share, our global market capitalization would be required to be at least $200 million, the aggregate market value of publicly-held shares would be required to be at least $100 million and we would be required to have at least 400 round lot holders. We cannot assure you that we will be able to meet those initial listing requirements at that time.</w:t>
      </w:r>
    </w:p>
    <w:p>
      <w:pPr>
        <w:spacing w:after="0" w:line="187" w:lineRule="exact"/>
        <w:rPr>
          <w:sz w:val="20"/>
          <w:szCs w:val="20"/>
          <w:color w:val="auto"/>
        </w:rPr>
      </w:pPr>
    </w:p>
    <w:p>
      <w:pPr>
        <w:jc w:val="both"/>
        <w:ind w:right="640" w:firstLine="324"/>
        <w:spacing w:after="0" w:line="266" w:lineRule="auto"/>
        <w:rPr>
          <w:sz w:val="20"/>
          <w:szCs w:val="20"/>
          <w:color w:val="auto"/>
        </w:rPr>
      </w:pPr>
      <w:r>
        <w:rPr>
          <w:rFonts w:ascii="Times New Roman" w:cs="Times New Roman" w:eastAsia="Times New Roman" w:hAnsi="Times New Roman"/>
          <w:sz w:val="18"/>
          <w:szCs w:val="18"/>
          <w:color w:val="auto"/>
        </w:rPr>
        <w:t>If the NYSE delists any of our securities from trading on its exchange and we are not able to list such securities on another national securities exchange, we expect our securities could be quoted on an over-the-counter market. If this were to occur, we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initial shareholders control a substantial interest in us and thus may exert a substantial influence on actions requiring a shareholder vote, potentially in a manner that you do not support.</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Upon closing of this offering, our initial shareholders will own 20% of our issued and outstanding ordinary shares (assuming they do not purchase any units in this offering) and only holders of Class B ordinary shares will have the right to appoint or remove directors in any general meeting held prior to or in connection with the completion of our initial business combination. Accordingly, our initial shareholders may exert a substantial influence on actions requiring a shareholder vote, potentially in a manner that you do not support, including amendments to our amended and restated memorandum and articles of association. If our initial shareholders purchase any units in this offering or if our initial shareholders purchase any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terms for three years with only one class of directors being appointed in each year. We may not hold an annual general meeting to appoint or remove new directors prior to the completion of our initial business combination, in which case all of the current directors will continue in office until at least the completion of the business combination. If there is an annual general meeting prior to our initial business combination, as a consequence of our “staggered” board of directors, only a minority of the board of directors will be considered for appointment and our initial shareholders, because of their ownership position, will control the outcome. Accordingly, our initial shareholders will continue to exert control at least until the completion of our initial business combination.</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hold an annual general meeting until after the consummation of our initial business combination, which could delay the opportunity for our shareholders to appoint directors.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NYSE corporate governance requirements, we are not required to hold an annual general meeting until one year after our first fiscal year end following our listing on the NYSE. There is no requirement under the Companies Act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general meeting) serving a three-year term. In addition, as holders of our Class A ordinary shares, our public shareholders will not have the right to vote on the appointment of directors until after the consummation of our initial business combination.</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5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letter agreement with our sponsor, officers and directors may be amended without shareholder approval.</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180 days following the date of this prospectus will require the prior written consent of the underwriters).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and (iii) the redemption of our public shares if we have not completed an initial business combination within 24 months from the closing of this offering, subject to applicable law and as further described herein. In no other circumstances will a public shareholder have any right or interest of any kind in the trust account. Holders of warrants will not have any right to the funds held in the trust account with respect to the warrants. Accordingly, to liquidate your investment, you may be forced to sell your public shares or warrants, potentially at a loss.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If a shareholder fails to receive notice of our offer to redeem our public shares in connection with our initial business combination, or fails to comply with the procedures for submitting or tendering its shares, such shares may not be redeemed.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will comply with the proxy rules or tender offer rules, as applicable, when conducting redemptions in connection with our initial business combination.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 See the section of this prospectus entitled “Proposed Business— Delivering Share Certificates in Connection with the Exercise of Redemption Rights.”</w:t>
      </w:r>
    </w:p>
    <w:p>
      <w:pPr>
        <w:spacing w:after="0" w:line="18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consummate our initial business combination within the allotted time period, our public shareholders may be forced to wait beyond such to 24 months before redemption from our trust account.</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the allotted time period, the funds then on deposit in the trust account, including interest earned on the funds held in the trust account (less taxes payable and up to $100,000 of interest income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the allotted time period before the redemption proceeds of our trust account become available to them, and they receive the return of their pro rata portion of the funds from our trust account. We have no obligation to return funds to investors prior to the date of our redemption or liquidation unless, prior thereto, we consummate our initial</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business combination or amend certain provisions of our amended and restated memorandum and articles of association and only then in cases where investors have properly sought to redeem their Class A ordinary shares. Only upon our redemption or any liquidation will public shareholders be entitled to distributions if we are unable to complete our initial business combination within the required time period and do not amend certain provisions of our amended and restated memorandum and articles of association prior thereto.</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be held liable for claims by third parties against us to the extent of distributions received by them upon redemption of their shares.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$18,293 and to imprisonment for five years in the Cayman Islands.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be permitted to exercise your warrants unless we register and qualify the underlying Class A ordinary shares or certain exemptions are available.</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commercially reasonable efforts to file with the SEC a registration statement covering the registration under the Securities Act of the issuance of the Class A ordinary shares issuable upon exercise of the warrants and thereafter will use our commercially reasonable efforts to cause the same to become effective within 60 business days following our initial business combination and to maintain a current prospectus relating to the Class A ordinary shares issuable upon exercise of the warrants until the expiration or redemption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w:t>
      </w:r>
    </w:p>
    <w:p>
      <w:pPr>
        <w:spacing w:after="0" w:line="188"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which case the number of Class A ordinary shares that the holders of warrants will receive upon cashless exercise will be based on a formula subject to a maximum number of shares equal to 0.361 Class A ordinary shares per warrant (subject to adjustment).</w:t>
      </w:r>
    </w:p>
    <w:p>
      <w:pPr>
        <w:spacing w:after="0" w:line="18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76" w:lineRule="exact"/>
        <w:rPr>
          <w:sz w:val="20"/>
          <w:szCs w:val="20"/>
          <w:color w:val="auto"/>
        </w:rPr>
      </w:pPr>
    </w:p>
    <w:p>
      <w:pPr>
        <w:ind w:right="160" w:firstLine="324"/>
        <w:spacing w:after="0" w:line="289" w:lineRule="auto"/>
        <w:rPr>
          <w:sz w:val="20"/>
          <w:szCs w:val="20"/>
          <w:color w:val="auto"/>
        </w:rPr>
      </w:pPr>
      <w:r>
        <w:rPr>
          <w:rFonts w:ascii="Times New Roman" w:cs="Times New Roman" w:eastAsia="Times New Roman" w:hAnsi="Times New Roman"/>
          <w:sz w:val="17"/>
          <w:szCs w:val="17"/>
          <w:color w:val="auto"/>
        </w:rPr>
        <w:t>If our Class A ordinary shares are at the time of any exercise of a warrant not listed on a national securities exchange such that they satisfy the definition of a “covered security” under Section 18(b)(1) of the Securities Act, we may, at our option, not permit holders of warrants who seek to exercise their warrants to do so for cash and, instead, require them to do so on a cashless basis in accordance with Section 3(a)(9) of the Securities Act; in the</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event we so elect, we will not be required to file or maintain in effect a registration statement or register or qualify the shares underlying the warrants under applicable state securities laws, and in the event we do not so elect, we will use our commercially reasonable efforts to register or qualify the shares underlying the warrants under applicable state securities laws to the extent an exemption is not available.</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an agreement to be entered into on or prior to the closing of this offering, our initial shareholders and their permitted transferees can demand that we register the resale of the Class A ordinary shares into which founder shares are convertible, holders of our private placement warrants and their permitted transferees can demand that we register the resale of the private placement warrants and the Class A ordinary shares issuable upon exercise of the private placement warrants, and holders of warrants that may be issued upon conversion of working capital loans may demand that we register the resale of such warrants or the Class A ordinary shares issuable upon exercise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 for resale.</w:t>
      </w:r>
    </w:p>
    <w:p>
      <w:pPr>
        <w:spacing w:after="0" w:line="1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the terms of the warrants in a manner that may be adverse to holders of public warrants with the approval by the holders of at least 65%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Accordingly, we may amend the terms of the public warrants in a manner adverse to a holder of public warrants if holders of at least 65% of the then outstanding public</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warrants approve of such amendment. Although our ability to amend the terms of the public warrants with the consent of at least 65%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 to consummate an initial business combination.</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(net of redemptions), and (iii) the Market Value of our Class A ordinary shares is below $9.20 per share, then the exercise price of the warrants will be adjusted (to the nearest cent) to be equal to 115% of the higher of the Market Value and the Newly Issued Price, and the $10.00 and $18.00 per share redemption trigger prices will be adjusted (to the nearest cent) to be equal to 100% and 180% of the higher of the Market Value and the Newly Issued Price, respectively. This may make it more difficult for us to consummate an initial business combination with a target business.</w:t>
      </w:r>
    </w:p>
    <w:p>
      <w:pPr>
        <w:spacing w:after="0" w:line="18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We may redeem your unexpired warrants prior to their exercise at a time that is disadvantageous to you, thereby making your warrants worthless.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the ability to redeem the outstanding warrants at any time after they become exercisable and prior to their expiration, at a price of $0.01 per warrant, if, among other things, the Reference Value equals or exceeds $18.00 per share (as adjusted). Please see “Description of Securities—Warrants— Public Shareholders’ Warrants—Redemption of Warrants When the Price per Class A Ordinary Share Equals or Exceeds $18.00.” If and when the warrants become redeemable by us, we may exercise our redemption right even if we are unable to register or qualify the underlying securities for sale under all applicable state securities laws. Redemption of the outstanding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 None of the private placement warrants will be redeemable by us so long as they are held by our sponsors or their permitted transferees.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have the ability to redeem the outstanding warrants at any time after they become exercisable and prior to their expiration, at a price of $0.10 per warrant if, among other things, the Reference Value equals or exceeds $10.00 per share (as adjusted). In such a case, the holders will be able to exercise their warrants prior to redemption for a number of our Class A ordinary shares determined based on the redemption date and the fair market value of our Class A ordinary shares. Please see “Description of Securities—Warrants—Public Shareholders’ Warrants—Redemption of Warrants When the Price per Class A 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of our Class A ordinary shares per warrant (subject to adjustment) irrespective of the remaining life of the warrants.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Our warrants may have an adverse effect on the market price of our Class A ordinary shares and make it more difficult to effectuate our initial business combination.</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will be issuing warrants to purchase 8,333,333 of our Class A ordinary shares (or up to 9,583,333 Class A ordinary shares if the underwriters’ over-allotment option is exercised in full) as part of the units offered by this prospectus and, simultaneously with the closing of this offering, we will be issuing in a private placement an aggregate of 4,666,667 private placement warrants (or 5,166,667 private placement warrants if the underwriters’ over-allotment option is exercised in full), at $1.50 per warrant. In addition, if the sponsor makes any working capital loans, it may convert those loans into up to an additional 1,000,000 private placement warrants, at the price of $1.50 per warrant. To the extent we issue ordinary shares to effectuate a business transaction, the potential for the issuance of a substantial number of additional Class A ordinary shares upon exercise of these warrants could make</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Because each unit contains one-third of one redeemable warrant and only a whole warrant may be exercised, the units may be worth less than units of other special purpose acquisition companies.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Each unit contains one-third of one redeemable warrant. Pursuant to the warrant agreement, 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whole warrant to purchase one whole share. We have established the components of the units in this way in order to reduce the dilutive effect of the warrants upon completion of a business combination since the warrants will be exercisable in the aggregate for one-third of the number of shares compared to units that each contain a whole warrant to purchase one share, thus making us, we believe, a more attractive business combination partner for target businesses. Nevertheless, this unit structure may cause our units to be worth less than if it included a warrant to purchase one whole share.</w:t>
      </w:r>
    </w:p>
    <w:p>
      <w:pPr>
        <w:spacing w:after="0" w:line="18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as a result of our reliance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completed fiscal year and the market value of our ordinary shares held by non-affiliates did not exceed $700 million as of the prior June 30. To the extent we take advantage of such reduced disclosure obligations, it may also make comparison of our financial statements with other public companies difficult or impossible.</w:t>
      </w:r>
    </w:p>
    <w:p>
      <w:pPr>
        <w:spacing w:after="0" w:line="17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7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our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159"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4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58" w:lineRule="exact"/>
        <w:rPr>
          <w:sz w:val="20"/>
          <w:szCs w:val="20"/>
          <w:color w:val="auto"/>
        </w:rPr>
      </w:pPr>
    </w:p>
    <w:p>
      <w:pPr>
        <w:jc w:val="both"/>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3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Associated with Conflicts of Interest</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Certain members of our management team may be involved in and have a greater financial interest in the performance of other entities with which they are affiliated, and such activities may create conflicts of interest in making decisions on our behalf.</w:t>
      </w:r>
    </w:p>
    <w:p>
      <w:pPr>
        <w:spacing w:after="0" w:line="15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Certain members of our management team may be subject to a variety of conflicts of interest relating to their responsibilities to our sponsor and other entities with which they are affiliated. Such individuals may serve as members of management or a board of directors (or in similar such capacity) to various other affiliated entities. Such positions may create a conflict between the advice and investment opportunities provided to such entities and the responsibilities owed to us. The other entities in which such individuals may become involved may have investment objectives that overlap with ours. Furthermore, certain of our principals and employees may have a greater financial interest in the performance of such other affiliated entities than our performance. Such involvement may create conflicts of interest in sourcing investment opportunities on our behalf and on behalf of such other entities.</w:t>
      </w:r>
    </w:p>
    <w:p>
      <w:pPr>
        <w:spacing w:after="0" w:line="183"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3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other business endeavors for which he may be entitled to, or otherwise expect to receive, substantial compensation or other economic benefit, and our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“Management—Officers and Directors.”</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initial business combination, we intend to engage in the business of identifying and combining with one or more businesses.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w:t>
      </w:r>
    </w:p>
    <w:p>
      <w:pPr>
        <w:spacing w:after="0" w:line="194" w:lineRule="exact"/>
        <w:rPr>
          <w:sz w:val="20"/>
          <w:szCs w:val="20"/>
          <w:color w:val="auto"/>
        </w:rPr>
      </w:pPr>
    </w:p>
    <w:p>
      <w:pPr>
        <w:ind w:right="300" w:firstLine="324"/>
        <w:spacing w:after="0" w:line="281" w:lineRule="auto"/>
        <w:rPr>
          <w:sz w:val="20"/>
          <w:szCs w:val="20"/>
          <w:color w:val="auto"/>
        </w:rPr>
      </w:pPr>
      <w:r>
        <w:rPr>
          <w:rFonts w:ascii="Times New Roman" w:cs="Times New Roman" w:eastAsia="Times New Roman" w:hAnsi="Times New Roman"/>
          <w:sz w:val="17"/>
          <w:szCs w:val="17"/>
          <w:color w:val="auto"/>
        </w:rPr>
        <w:t>In addition, our sponsor and our officers and directors may sponsor, form, invest in or otherwise become involved with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6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a complete discussion of our officers’ and directors’ business affiliations and the potential conflicts of interest that you should be aware of, please see “Management—Officers and Directors,” “Management—Conflicts of Interest” and “Certain Relationships and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officers, directors, security holders and their respective affiliates may have competitive pecuniary interests that conflict with our interests.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Certain Differences in Corporate Law—Shareholder Suits” for further information on the ability to bring such claims. However, we might not ultimately be successful in any claim we may make against them for such reason.</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We may engage in a business combination with one or more target businesses that have relationships with entities that may be affiliated with our initial shareholders, officers or directors which may raise potential conflicts of interest.</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light of the involvement of our sponsor, officers and directors with other entities, we may decide to acquire one or more businesses affiliated with our initial shareholders, officers or directors . Our directors also serve as officers 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and guidelines for a business combination as set forth in “Proposed Business—Effecting our Initial Business Combination—Sources of Target Businesses” and such transaction was approved by a majority of our independent and disinterested directors. Despite our agreement to obtain an opinion from an independent investment banking firm that is a member of FINRA or a valuation or appraisal firm regarding the fairness to our company from a financial point of view of a business combination with one or more domestic or international businesses affiliated with our initial shareholders, officers or directors, potential conflicts of interest still may exist and, as a result, the terms of the business combination may not be as advantageous to our public shareholders as they would be absent any conflicts of interest.</w:t>
      </w:r>
    </w:p>
    <w:p>
      <w:pPr>
        <w:spacing w:after="0" w:line="18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Since our sponsor,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December 30, 2020, we issued to our sponsor an aggregate of 7,187,500 founder shares in exchange for a capital contribution of $25,000, or approximately $0.003 per share, to cover certain of our expenses.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28,750,000 units if the underwriters’ over-allotment option is exercised in full, and therefore that such founder shares would represent 20% of the outstanding shares after this offering. If we increase or decrease the size of this offering, we will effect a capitalization or share repurchase or redemption or other appropriate mechanism, as applicable, immediately prior to the consummation of this offering in such amount as to maintain the number of founder shares at 20% of our issued and outstanding ordinary shares upon the consummation of this offering. Up to 937,500 of the founder shares may be surrendered for no consideration depending on the extent to which the underwriters’ over-allotment is exercised. The founder shares will be worthless if we do not complete an initial business combination.</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our sponsor has committed to purchase an aggregate of 4,666,667 private placement warrants (or 5,166,667 private placement warrants if the underwriters’ over-allotment option is exercised in full) for an aggregate purchase price of $7,000,000 (or $7,750,000 if the underwriters’ over-allotment option is exercised in full), or $1.50 per warrant. The private placement warrants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nears for our completion of an initial business combination.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Associated with Tax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 passive foreign investment company, or “PFIC,” which could result in adverse United States federal income tax consequences to 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(or portion thereof) that is included in the holding period of a U.S. Holder (as defined in the section of this prospectus captioned “Taxation—United States Federal Income Taxation—General”) of our Class A ordinary shares or warrants, the U.S. Holder may be subject to adverse United States federal income tax consequences and may be subject to additional reporting requirements. Our PFIC status for our current and subsequent taxable years may depend on whether we qualify for the PFIC start-up exception (see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of this prospectus captioned “Taxation—United States Federal Income Taxation—U.S.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prospectus captioned “Taxation — United States Federal Income Taxation—U.S. Holders — Passive Foreign Investment Company Rules.”</w:t>
      </w:r>
    </w:p>
    <w:p>
      <w:pPr>
        <w:spacing w:after="0" w:line="1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may reincorporate in another jurisdiction in connection with our initial business combination and such reincorporation may result in taxes imposed on shareholders or warrant holders.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(or may otherwise result in adverse tax consequences).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Associated with Acquiring and Operating a Business in Foreign Countries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If we effect our initial business combination with a company located outside of the United States, we would be subject to a variety of additional risks that may adversely affect us.</w:t>
      </w:r>
    </w:p>
    <w:p>
      <w:pPr>
        <w:spacing w:after="0" w:line="15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6"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inherent in managing cross-border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regarding currency redemption;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corporate withholding taxes on individuals;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regional economic policies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and staffing international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or unpredictable legal or regulatory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and civil disturbances;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regime changes and political upheaval;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wars;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w:t>
      </w:r>
    </w:p>
    <w:p>
      <w:pPr>
        <w:spacing w:after="0" w:line="225"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After our initial business combination, substantially all of our assets may be located in foreign countries and substantially all of our revenue will be derived from our operations in such countries. Accordingly, our results of operations and prospects will be subject, to a significant extent, to the economic, political and social conditions and government policies, developments and conditions in the countries in which we operate.</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economic, political and social conditions, as well as government policies, of the countries in which our operations are located could affect our business. Economic growth could be uneven, both geographically and among various sectors of the economy and such growth may not be sustained in the future. If in the future such countries’ economies experience a downturn or grow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fluctuations and currency policies may cause a target business’s ability to succeed in the international markets to be diminished.</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or several foreign currencies, and the dollar equivalent of our net assets and distributions, if any, could be adversely affected by reductions in the value of such foreign currencies. The value of the currencies in our target regions fluctuate and are affected by, among other things, changes in political and economic conditions. Any change in the relative value of such currencies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changing laws and regulations regarding regulatory matters, corporate governance and public disclosure that have increased both our costs and the risk of non-compliance.</w:t>
      </w:r>
    </w:p>
    <w:p>
      <w:pPr>
        <w:spacing w:after="0" w:line="15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6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employ a mail forwarding service, which may delay or disrupt our ability to receive mail in a timely manner.</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are offering 25,000,000 units at an offering price of $10.00 per unit. We estimate that the net proceeds of this offering together with the funds we will receive from the sale of the private placement warrants will be used as set forth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Without Over-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Over-allotment</w:t>
            </w:r>
          </w:p>
        </w:tc>
        <w:tc>
          <w:tcPr>
            <w:tcW w:w="0" w:type="dxa"/>
            <w:vAlign w:val="bottom"/>
          </w:tcPr>
          <w:p>
            <w:pPr>
              <w:spacing w:after="0"/>
              <w:rPr>
                <w:sz w:val="1"/>
                <w:szCs w:val="1"/>
                <w:color w:val="auto"/>
              </w:rPr>
            </w:pPr>
          </w:p>
        </w:tc>
      </w:tr>
      <w:tr>
        <w:trPr>
          <w:trHeight w:val="238"/>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Gross proceeds</w:t>
            </w: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allotment Option</w:t>
            </w:r>
          </w:p>
        </w:tc>
        <w:tc>
          <w:tcPr>
            <w:tcW w:w="10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Exercised</w:t>
            </w:r>
          </w:p>
        </w:tc>
        <w:tc>
          <w:tcPr>
            <w:tcW w:w="0" w:type="dxa"/>
            <w:vAlign w:val="bottom"/>
          </w:tcPr>
          <w:p>
            <w:pPr>
              <w:spacing w:after="0"/>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D5EAEA"/>
          </w:tcPr>
          <w:p>
            <w:pPr>
              <w:ind w:left="180"/>
              <w:spacing w:after="0" w:line="256" w:lineRule="exact"/>
              <w:rPr>
                <w:sz w:val="20"/>
                <w:szCs w:val="20"/>
                <w:color w:val="auto"/>
              </w:rPr>
            </w:pPr>
            <w:r>
              <w:rPr>
                <w:rFonts w:ascii="Times New Roman" w:cs="Times New Roman" w:eastAsia="Times New Roman" w:hAnsi="Times New Roman"/>
                <w:sz w:val="18"/>
                <w:szCs w:val="18"/>
                <w:color w:val="auto"/>
              </w:rPr>
              <w:t>Gross proceeds from units offered to public</w:t>
            </w:r>
            <w:r>
              <w:rPr>
                <w:rFonts w:ascii="Times New Roman" w:cs="Times New Roman" w:eastAsia="Times New Roman" w:hAnsi="Times New Roman"/>
                <w:sz w:val="29"/>
                <w:szCs w:val="29"/>
                <w:color w:val="auto"/>
                <w:vertAlign w:val="superscript"/>
              </w:rPr>
              <w:t>(1)</w:t>
            </w:r>
          </w:p>
        </w:tc>
        <w:tc>
          <w:tcPr>
            <w:tcW w:w="28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250,000,000</w:t>
            </w:r>
          </w:p>
        </w:tc>
        <w:tc>
          <w:tcPr>
            <w:tcW w:w="200" w:type="dxa"/>
            <w:vAlign w:val="bottom"/>
            <w:gridSpan w:val="2"/>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287,500,000</w:t>
            </w:r>
          </w:p>
        </w:tc>
        <w:tc>
          <w:tcPr>
            <w:tcW w:w="0" w:type="dxa"/>
            <w:vAlign w:val="bottom"/>
          </w:tcPr>
          <w:p>
            <w:pPr>
              <w:spacing w:after="0"/>
              <w:rPr>
                <w:sz w:val="1"/>
                <w:szCs w:val="1"/>
                <w:color w:val="auto"/>
              </w:rPr>
            </w:pPr>
          </w:p>
        </w:tc>
      </w:tr>
      <w:tr>
        <w:trPr>
          <w:trHeight w:val="229"/>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proceeds from private placement warrants offered in the private placement</w:t>
            </w:r>
          </w:p>
        </w:tc>
        <w:tc>
          <w:tcPr>
            <w:tcW w:w="280" w:type="dxa"/>
            <w:vAlign w:val="bottom"/>
            <w:gridSpan w:val="2"/>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7,750,000</w:t>
            </w:r>
          </w:p>
        </w:tc>
        <w:tc>
          <w:tcPr>
            <w:tcW w:w="0" w:type="dxa"/>
            <w:vAlign w:val="bottom"/>
          </w:tcPr>
          <w:p>
            <w:pPr>
              <w:spacing w:after="0"/>
              <w:rPr>
                <w:sz w:val="1"/>
                <w:szCs w:val="1"/>
                <w:color w:val="auto"/>
              </w:rPr>
            </w:pPr>
          </w:p>
        </w:tc>
      </w:tr>
      <w:tr>
        <w:trPr>
          <w:trHeight w:val="223"/>
        </w:trPr>
        <w:tc>
          <w:tcPr>
            <w:tcW w:w="8360" w:type="dxa"/>
            <w:vAlign w:val="bottom"/>
            <w:tcBorders>
              <w:top w:val="single" w:sz="8" w:color="D5EAEA"/>
              <w:bottom w:val="single" w:sz="8" w:color="D5EAEA"/>
            </w:tcBorders>
            <w:gridSpan w:val="2"/>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Total gross proceeds</w:t>
            </w:r>
          </w:p>
        </w:tc>
        <w:tc>
          <w:tcPr>
            <w:tcW w:w="280" w:type="dxa"/>
            <w:vAlign w:val="bottom"/>
            <w:tcBorders>
              <w:top w:val="single" w:sz="8" w:color="auto"/>
              <w:bottom w:val="single" w:sz="8" w:color="auto"/>
            </w:tcBorders>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257,000,000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295,250,000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7"/>
                <w:szCs w:val="17"/>
                <w:i w:val="1"/>
                <w:iCs w:val="1"/>
                <w:color w:val="auto"/>
              </w:rPr>
              <w:t>Estimated offering expenses</w:t>
            </w:r>
            <w:r>
              <w:rPr>
                <w:rFonts w:ascii="Times New Roman" w:cs="Times New Roman" w:eastAsia="Times New Roman" w:hAnsi="Times New Roman"/>
                <w:sz w:val="28"/>
                <w:szCs w:val="28"/>
                <w:i w:val="1"/>
                <w:iCs w:val="1"/>
                <w:color w:val="auto"/>
                <w:vertAlign w:val="superscript"/>
              </w:rPr>
              <w:t>(2)</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D5EAEA"/>
          </w:tcPr>
          <w:p>
            <w:pPr>
              <w:ind w:left="180"/>
              <w:spacing w:after="0" w:line="256" w:lineRule="exact"/>
              <w:rPr>
                <w:sz w:val="20"/>
                <w:szCs w:val="20"/>
                <w:color w:val="auto"/>
              </w:rPr>
            </w:pPr>
            <w:r>
              <w:rPr>
                <w:rFonts w:ascii="Times New Roman" w:cs="Times New Roman" w:eastAsia="Times New Roman" w:hAnsi="Times New Roman"/>
                <w:sz w:val="18"/>
                <w:szCs w:val="18"/>
                <w:color w:val="auto"/>
              </w:rPr>
              <w:t>Underwriting commissions (2.0% of gross proceeds from units offered to public, excluding deferred portion)</w:t>
            </w:r>
            <w:r>
              <w:rPr>
                <w:rFonts w:ascii="Times New Roman" w:cs="Times New Roman" w:eastAsia="Times New Roman" w:hAnsi="Times New Roman"/>
                <w:sz w:val="29"/>
                <w:szCs w:val="29"/>
                <w:color w:val="auto"/>
                <w:vertAlign w:val="superscript"/>
              </w:rPr>
              <w:t>(3)</w:t>
            </w:r>
          </w:p>
        </w:tc>
        <w:tc>
          <w:tcPr>
            <w:tcW w:w="28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gridSpan w:val="2"/>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5,750,000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Legal fees and expenses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D5EAEA"/>
          </w:tcPr>
          <w:p>
            <w:pPr>
              <w:ind w:left="340"/>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44,500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D5EAEA"/>
          </w:tcPr>
          <w:p>
            <w:pPr>
              <w:ind w:left="340"/>
              <w:spacing w:after="0"/>
              <w:rPr>
                <w:sz w:val="20"/>
                <w:szCs w:val="20"/>
                <w:color w:val="auto"/>
              </w:rPr>
            </w:pPr>
            <w:r>
              <w:rPr>
                <w:rFonts w:ascii="Times New Roman" w:cs="Times New Roman" w:eastAsia="Times New Roman" w:hAnsi="Times New Roman"/>
                <w:sz w:val="18"/>
                <w:szCs w:val="18"/>
                <w:color w:val="auto"/>
              </w:rPr>
              <w:t>SEC/FINRA Expenses</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74,991</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74,991</w:t>
            </w:r>
          </w:p>
        </w:tc>
        <w:tc>
          <w:tcPr>
            <w:tcW w:w="0" w:type="dxa"/>
            <w:vAlign w:val="bottom"/>
          </w:tcPr>
          <w:p>
            <w:pPr>
              <w:spacing w:after="0"/>
              <w:rPr>
                <w:sz w:val="1"/>
                <w:szCs w:val="1"/>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NYSE listing and filing fees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D5EAEA"/>
          </w:tcPr>
          <w:p>
            <w:pPr>
              <w:ind w:left="34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5EAEA"/>
            </w:tcBorders>
            <w:gridSpan w:val="2"/>
          </w:tcPr>
          <w:p>
            <w:pPr>
              <w:ind w:left="340"/>
              <w:spacing w:after="0"/>
              <w:rPr>
                <w:sz w:val="20"/>
                <w:szCs w:val="20"/>
                <w:color w:val="auto"/>
              </w:rPr>
            </w:pPr>
            <w:r>
              <w:rPr>
                <w:rFonts w:ascii="Times New Roman" w:cs="Times New Roman" w:eastAsia="Times New Roman" w:hAnsi="Times New Roman"/>
                <w:sz w:val="18"/>
                <w:szCs w:val="18"/>
                <w:color w:val="auto"/>
              </w:rPr>
              <w:t>Miscellaneous</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40,509</w:t>
            </w:r>
          </w:p>
        </w:tc>
        <w:tc>
          <w:tcPr>
            <w:tcW w:w="100" w:type="dxa"/>
            <w:vAlign w:val="bottom"/>
            <w:tcBorders>
              <w:bottom w:val="single" w:sz="8" w:color="D5EAE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40,509</w:t>
            </w:r>
          </w:p>
        </w:tc>
        <w:tc>
          <w:tcPr>
            <w:tcW w:w="0" w:type="dxa"/>
            <w:vAlign w:val="bottom"/>
          </w:tcPr>
          <w:p>
            <w:pPr>
              <w:spacing w:after="0"/>
              <w:rPr>
                <w:sz w:val="1"/>
                <w:szCs w:val="1"/>
                <w:color w:val="auto"/>
              </w:rPr>
            </w:pPr>
          </w:p>
        </w:tc>
      </w:tr>
      <w:tr>
        <w:trPr>
          <w:trHeight w:val="210"/>
        </w:trPr>
        <w:tc>
          <w:tcPr>
            <w:tcW w:w="8360" w:type="dxa"/>
            <w:vAlign w:val="bottom"/>
            <w:gridSpan w:val="2"/>
            <w:shd w:val="clear" w:color="auto" w:fill="D5EAEA"/>
          </w:tcPr>
          <w:p>
            <w:pPr>
              <w:ind w:left="340"/>
              <w:spacing w:after="0"/>
              <w:rPr>
                <w:sz w:val="20"/>
                <w:szCs w:val="20"/>
                <w:color w:val="auto"/>
              </w:rPr>
            </w:pPr>
            <w:r>
              <w:rPr>
                <w:rFonts w:ascii="Times New Roman" w:cs="Times New Roman" w:eastAsia="Times New Roman" w:hAnsi="Times New Roman"/>
                <w:sz w:val="18"/>
                <w:szCs w:val="18"/>
                <w:color w:val="auto"/>
              </w:rPr>
              <w:t>Total estimated offering expenses (other than underwriting commissions)</w:t>
            </w:r>
          </w:p>
        </w:tc>
        <w:tc>
          <w:tcPr>
            <w:tcW w:w="28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83"/>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after estimated offering expenses</w:t>
            </w:r>
          </w:p>
        </w:tc>
        <w:tc>
          <w:tcPr>
            <w:tcW w:w="280" w:type="dxa"/>
            <w:vAlign w:val="bottom"/>
            <w:gridSpan w:val="2"/>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251,000,000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288,500,000</w:t>
            </w:r>
          </w:p>
        </w:tc>
        <w:tc>
          <w:tcPr>
            <w:tcW w:w="0" w:type="dxa"/>
            <w:vAlign w:val="bottom"/>
          </w:tcPr>
          <w:p>
            <w:pPr>
              <w:spacing w:after="0"/>
              <w:rPr>
                <w:sz w:val="1"/>
                <w:szCs w:val="1"/>
                <w:color w:val="auto"/>
              </w:rPr>
            </w:pPr>
          </w:p>
        </w:tc>
      </w:tr>
      <w:tr>
        <w:trPr>
          <w:trHeight w:val="210"/>
        </w:trPr>
        <w:tc>
          <w:tcPr>
            <w:tcW w:w="8360" w:type="dxa"/>
            <w:vAlign w:val="bottom"/>
            <w:tcBorders>
              <w:top w:val="single" w:sz="8" w:color="D5EAEA"/>
            </w:tcBorders>
            <w:gridSpan w:val="2"/>
            <w:shd w:val="clear" w:color="auto" w:fill="D5EAEA"/>
          </w:tcPr>
          <w:p>
            <w:pPr>
              <w:spacing w:after="0" w:line="210" w:lineRule="exact"/>
              <w:rPr>
                <w:sz w:val="20"/>
                <w:szCs w:val="20"/>
                <w:color w:val="auto"/>
              </w:rPr>
            </w:pPr>
            <w:r>
              <w:rPr>
                <w:rFonts w:ascii="Times New Roman" w:cs="Times New Roman" w:eastAsia="Times New Roman" w:hAnsi="Times New Roman"/>
                <w:sz w:val="15"/>
                <w:szCs w:val="15"/>
                <w:color w:val="auto"/>
              </w:rPr>
              <w:t>Held in trust account</w:t>
            </w:r>
            <w:r>
              <w:rPr>
                <w:rFonts w:ascii="Times New Roman" w:cs="Times New Roman" w:eastAsia="Times New Roman" w:hAnsi="Times New Roman"/>
                <w:sz w:val="24"/>
                <w:szCs w:val="24"/>
                <w:color w:val="auto"/>
                <w:vertAlign w:val="superscript"/>
              </w:rPr>
              <w:t>(3)</w:t>
            </w:r>
          </w:p>
        </w:tc>
        <w:tc>
          <w:tcPr>
            <w:tcW w:w="40" w:type="dxa"/>
            <w:vAlign w:val="bottom"/>
            <w:tcBorders>
              <w:top w:val="single" w:sz="8" w:color="auto"/>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250,000,000</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1300" w:type="dxa"/>
            <w:vAlign w:val="bottom"/>
            <w:tcBorders>
              <w:top w:val="single" w:sz="8" w:color="auto"/>
            </w:tcBorders>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287,500,000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public offering size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Not held in trust account</w:t>
            </w:r>
          </w:p>
        </w:tc>
        <w:tc>
          <w:tcPr>
            <w:tcW w:w="280" w:type="dxa"/>
            <w:vAlign w:val="bottom"/>
            <w:tcBorders>
              <w:bottom w:val="single" w:sz="8" w:color="auto"/>
            </w:tcBorders>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D5EAEA"/>
            </w:tcBorders>
            <w:shd w:val="clear" w:color="auto" w:fill="D5EAEA"/>
          </w:tcPr>
          <w:p>
            <w:pPr>
              <w:spacing w:after="0"/>
              <w:rPr>
                <w:sz w:val="21"/>
                <w:szCs w:val="21"/>
                <w:color w:val="auto"/>
              </w:rPr>
            </w:pPr>
          </w:p>
        </w:tc>
        <w:tc>
          <w:tcPr>
            <w:tcW w:w="10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86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 shows the use of the approximately $1,000,000 of net proceeds not held in the trust account:</w:t>
            </w:r>
            <w:r>
              <w:rPr>
                <w:rFonts w:ascii="Times New Roman" w:cs="Times New Roman" w:eastAsia="Times New Roman" w:hAnsi="Times New Roman"/>
                <w:sz w:val="29"/>
                <w:szCs w:val="29"/>
                <w:color w:val="auto"/>
                <w:w w:val="99"/>
                <w:vertAlign w:val="superscript"/>
              </w:rPr>
              <w:t>(4)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820" w:type="dxa"/>
            <w:vAlign w:val="bottom"/>
            <w:tcBorders>
              <w:bottom w:val="single" w:sz="8" w:color="D5EAEA"/>
            </w:tcBorders>
          </w:tcPr>
          <w:p>
            <w:pPr>
              <w:spacing w:after="0"/>
              <w:rPr>
                <w:sz w:val="24"/>
                <w:szCs w:val="24"/>
                <w:color w:val="auto"/>
              </w:rPr>
            </w:pPr>
          </w:p>
        </w:tc>
        <w:tc>
          <w:tcPr>
            <w:tcW w:w="5540" w:type="dxa"/>
            <w:vAlign w:val="bottom"/>
            <w:tcBorders>
              <w:bottom w:val="single" w:sz="8" w:color="D5EAEA"/>
            </w:tcBorders>
          </w:tcPr>
          <w:p>
            <w:pPr>
              <w:spacing w:after="0"/>
              <w:rPr>
                <w:sz w:val="24"/>
                <w:szCs w:val="24"/>
                <w:color w:val="auto"/>
              </w:rPr>
            </w:pPr>
          </w:p>
        </w:tc>
        <w:tc>
          <w:tcPr>
            <w:tcW w:w="40" w:type="dxa"/>
            <w:vAlign w:val="bottom"/>
            <w:tcBorders>
              <w:bottom w:val="single" w:sz="8" w:color="D5EAEA"/>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D5EAEA"/>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37"/>
        </w:trPr>
        <w:tc>
          <w:tcPr>
            <w:tcW w:w="8360" w:type="dxa"/>
            <w:vAlign w:val="bottom"/>
            <w:gridSpan w:val="2"/>
            <w:shd w:val="clear" w:color="auto" w:fill="D5EAEA"/>
          </w:tcPr>
          <w:p>
            <w:pPr>
              <w:spacing w:after="0" w:line="236" w:lineRule="exact"/>
              <w:rPr>
                <w:sz w:val="20"/>
                <w:szCs w:val="20"/>
                <w:color w:val="auto"/>
              </w:rPr>
            </w:pPr>
            <w:r>
              <w:rPr>
                <w:rFonts w:ascii="Times New Roman" w:cs="Times New Roman" w:eastAsia="Times New Roman" w:hAnsi="Times New Roman"/>
                <w:sz w:val="17"/>
                <w:szCs w:val="17"/>
                <w:color w:val="auto"/>
              </w:rPr>
              <w:t>Legal, accounting, due diligence, travel, and other expenses in connection with any business combination</w:t>
            </w:r>
            <w:r>
              <w:rPr>
                <w:rFonts w:ascii="Times New Roman" w:cs="Times New Roman" w:eastAsia="Times New Roman" w:hAnsi="Times New Roman"/>
                <w:sz w:val="27"/>
                <w:szCs w:val="27"/>
                <w:color w:val="auto"/>
                <w:vertAlign w:val="superscript"/>
              </w:rPr>
              <w:t>(5)</w:t>
            </w:r>
          </w:p>
        </w:tc>
        <w:tc>
          <w:tcPr>
            <w:tcW w:w="40" w:type="dxa"/>
            <w:vAlign w:val="bottom"/>
            <w:shd w:val="clear" w:color="auto" w:fill="D5EAEA"/>
          </w:tcPr>
          <w:p>
            <w:pPr>
              <w:spacing w:after="0"/>
              <w:rPr>
                <w:sz w:val="20"/>
                <w:szCs w:val="20"/>
                <w:color w:val="auto"/>
              </w:rPr>
            </w:pPr>
          </w:p>
        </w:tc>
        <w:tc>
          <w:tcPr>
            <w:tcW w:w="240" w:type="dxa"/>
            <w:vAlign w:val="bottom"/>
            <w:shd w:val="clear" w:color="auto" w:fill="D5EAEA"/>
          </w:tcPr>
          <w:p>
            <w:pPr>
              <w:spacing w:after="0"/>
              <w:rPr>
                <w:sz w:val="20"/>
                <w:szCs w:val="20"/>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and accounting fees related to regulatory reporting obligations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NYSE and other regulatory fees</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office space, utilities, secretarial and administrative support services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Consulting and miscellaneous expenses incurred during search for initial business combination target</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to cover miscellaneous expenses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shd w:val="clear" w:color="auto" w:fill="D5EAEA"/>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5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payable to public shareholders who properly redeem their shares in connection with our successful completion of our initial business combination.</w:t>
      </w:r>
    </w:p>
    <w:p>
      <w:pPr>
        <w:spacing w:after="0" w:line="161"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offering expenses have been paid from the proceeds of a loan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 In the event that the offering expenses are greater than as set forth in this table, we may fund such excess with funds not held in the trust account.</w:t>
      </w:r>
    </w:p>
    <w:p>
      <w:pPr>
        <w:spacing w:after="0" w:line="183" w:lineRule="exact"/>
        <w:rPr>
          <w:rFonts w:ascii="Times New Roman" w:cs="Times New Roman" w:eastAsia="Times New Roman" w:hAnsi="Times New Roman"/>
          <w:sz w:val="18"/>
          <w:szCs w:val="18"/>
          <w:color w:val="auto"/>
        </w:rPr>
      </w:pPr>
    </w:p>
    <w:p>
      <w:pPr>
        <w:ind w:left="340" w:right="38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have agreed to defer underwriting commissions of 3.5% of the gross proceeds of this offering. Upon and concurrently with the completion of our initial business combination, $8,750,000, which constitutes the underwriters’ deferred commissions (or up to $10,062,500 if the underwriters’ over-allotment option is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exercised in full) will be paid to the underwriters from the funds held in the trust account. See “Underwriting”. The remaining funds, less amounts used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83" w:lineRule="exact"/>
        <w:rPr>
          <w:sz w:val="20"/>
          <w:szCs w:val="20"/>
          <w:color w:val="auto"/>
        </w:rPr>
      </w:pPr>
    </w:p>
    <w:p>
      <w:pPr>
        <w:ind w:left="340" w:right="40" w:hanging="332"/>
        <w:spacing w:after="0" w:line="254"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19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estimated amounts that may also be used in connection with our initial business combination to fund a “no shop” provision and commitment fees for financing.</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NYSE rules provide that at least 90% of the gross proceeds from this offering and the sale of the private placement warrants be deposited in a trust account. Of the $257,000,000 in gross proceeds we receive from this offering and the sale of the private placement warrants described in this prospectus, or $295,250,000 if the underwriters’ over-allotment option is exercised in full, $250,000,000 ($10.00 per unit), or $287,500,000 if the underwriters’ over-allotment option is exercised in full ($10.00 per unit), will be deposited into a trust account with Continental Stock Transfer &amp; Trust Company acting as trustee, after deducting $5,000,000 in underwriting discounts and commissions payable upon the closing of this offering (or $5,750,000 if the underwriters’ over-allotment option is exercised in full) and an aggregate of $2.0 million to pay fees and expenses in connection with the closing of this offering and for working capital following the closing of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$250,000 per year, assuming an interest rate of 0.1% per year; however, we can provide no assurances regarding this amount. We expect that the interest earned on the trust account will be sufficient to pay income taxes. We will not be permitted to withdraw any of the principal or interest held in the trust account, except for the withdrawal of interest income to pay our taxes and up to $100,000 to pay dissolution expenses, as applicable, if any, until the earliest of (i) the completion of our initial business combination, (ii) the redemption of our public shares if we have not completed our initial business combination within 24 months from the closing of this offering, subject to applicable law and (iii) the redemption of our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net proceeds released to us from the trust account upon the closing of our initial business combination may be used as consideration to pay the sellers of a target business with which we complete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However, our amended and restated memorandum and articles of association provide that, following this offering and prior to the consummation of our initial business combination, we will be prohibited from issuing additional securities that would entitle the holders thereof to (i) receive funds from the trust account or (ii) vote on any initial business combination.</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9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will pay our sponsor or an affiliate thereof up to $15,000 per month for office space, utilities, secretarial and administrative support services provided to members of our management team and other expenses and obligations of our sponsor. Upon completion of our initial business combination or our liquidation, we will cease paying these monthly fees.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this offering, our sponsor has agreed to loan us up to $300,000 to be used for a portion of the expenses of this offering. These loans are non-interest bearing, unsecured and are due at the earlier of December 31, 2021 and the closing of this offering. The loan will be repaid upon the closing of this offering out of the $1,000,000 of offering proceeds that has been allocated to the payment of offering expenses.</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 warrants of the post business combination entity at a price of $1.50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incur any indebtedness, our ability to declare dividends may be limited by restrictive covenants we may agree to in connection therewith.</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ordinary shares.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At December 31, 2020, our net tangible book deficit was $108,185, or approximately ($0.02) per ordinary share. After giving effect to the sale of 25,000,000 Class A ordinary shares included in the units we are offering by this prospectus (or 28,750,000 Class A ordinary shares if the underwriters’ over-allotment option is exercised in full), the sale of the private placement warrants and the deduction of underwriting commissions and estimated expenses of this offering, our pro forma net tangible book value at December 31, 2020 would have been $5,000,006 or $0.66 per share ($0.58 per share if the underwriters’ over-allotment option is exercised in full), representing an immediate increase in net tangible book value (as decreased by the value of the 23,726,950 Class A ordinary shares that may be redeemed for cash, or 27,345,700 Class A ordinary shares if the underwriters’ over-allotment option is exercised in full) of $0.68 per share (or $0.60 if the underwriters’ over-allotment option is exercised in full) to our initial shareholders as of the date of this prospectus. Total dilution to public shareholders from this offering will be $9.34 per share (or $9.42 if the underwriters’ over-allotment option is exercised in full).</w:t>
      </w:r>
    </w:p>
    <w:p>
      <w:pPr>
        <w:spacing w:after="0" w:line="18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No exercise of</w:t>
            </w: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 over-</w:t>
            </w:r>
          </w:p>
        </w:tc>
      </w:t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over-allotment</w:t>
            </w: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allotment option</w:t>
            </w:r>
          </w:p>
        </w:tc>
      </w:tr>
      <w:tr>
        <w:trPr>
          <w:trHeight w:val="238"/>
        </w:trPr>
        <w:tc>
          <w:tcPr>
            <w:tcW w:w="8360" w:type="dxa"/>
            <w:vAlign w:val="bottom"/>
            <w:tcBorders>
              <w:bottom w:val="single" w:sz="8" w:color="D5EAE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Borders>
              <w:bottom w:val="single" w:sz="8" w:color="D5EAEA"/>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full</w:t>
            </w:r>
          </w:p>
        </w:tc>
      </w:tr>
      <w:tr>
        <w:trPr>
          <w:trHeight w:val="210"/>
        </w:trPr>
        <w:tc>
          <w:tcPr>
            <w:tcW w:w="83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D5EAEA"/>
          </w:tcPr>
          <w:p>
            <w:pPr>
              <w:spacing w:after="0"/>
              <w:rPr>
                <w:sz w:val="18"/>
                <w:szCs w:val="18"/>
                <w:color w:val="auto"/>
              </w:rPr>
            </w:pPr>
          </w:p>
        </w:tc>
        <w:tc>
          <w:tcPr>
            <w:tcW w:w="280" w:type="dxa"/>
            <w:vAlign w:val="bottom"/>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83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Increase attributable to public shareholders</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 and the sale of the private placement warrants</w:t>
            </w:r>
          </w:p>
        </w:tc>
        <w:tc>
          <w:tcPr>
            <w:tcW w:w="1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0.58</w:t>
            </w:r>
          </w:p>
        </w:tc>
      </w:tr>
      <w:tr>
        <w:trPr>
          <w:trHeight w:val="216"/>
        </w:trPr>
        <w:tc>
          <w:tcPr>
            <w:tcW w:w="83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Dilution to public shareholders</w:t>
            </w:r>
          </w:p>
        </w:tc>
        <w:tc>
          <w:tcPr>
            <w:tcW w:w="1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9.34</w:t>
            </w:r>
          </w:p>
        </w:tc>
        <w:tc>
          <w:tcPr>
            <w:tcW w:w="3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9.42</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dilution to public shareholders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bl>
    <w:p>
      <w:pPr>
        <w:spacing w:after="0" w:line="17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purposes of presentation, we have reduced our pro forma net tangible book value after this offering (assuming no exercise of the underwriters’ over-allotment option) by $237,269,500 because holders of up to approximately 94.9% of our public shares may redeem their shares for a pro rata share of the aggregate amount then on deposit in the trust account at a per share redemption price equal to the amount in the trust account, calculated as of two business days prior to the commencement of our initial business combination, including interest earned on the funds held in the trust account and not previously released to us to pay our taxes), divided by the number of Class A ordinary shares sold in this offering.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initial shareholders and the public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r>
      <w:tr>
        <w:trPr>
          <w:trHeight w:val="238"/>
        </w:trPr>
        <w:tc>
          <w:tcPr>
            <w:tcW w:w="2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Per</w:t>
            </w:r>
          </w:p>
        </w:tc>
      </w:tr>
      <w:tr>
        <w:trPr>
          <w:trHeight w:val="223"/>
        </w:trPr>
        <w:tc>
          <w:tcPr>
            <w:tcW w:w="2820" w:type="dxa"/>
            <w:vAlign w:val="bottom"/>
            <w:tcBorders>
              <w:bottom w:val="single" w:sz="8" w:color="D5EAEA"/>
            </w:tcBorders>
          </w:tcPr>
          <w:p>
            <w:pPr>
              <w:spacing w:after="0"/>
              <w:rPr>
                <w:sz w:val="19"/>
                <w:szCs w:val="19"/>
                <w:color w:val="auto"/>
              </w:rPr>
            </w:pPr>
          </w:p>
        </w:tc>
        <w:tc>
          <w:tcPr>
            <w:tcW w:w="12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D5EAEA"/>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D5EAEA"/>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Borders>
              <w:bottom w:val="single" w:sz="8" w:color="D5EAE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50"/>
        </w:trPr>
        <w:tc>
          <w:tcPr>
            <w:tcW w:w="4020" w:type="dxa"/>
            <w:vAlign w:val="bottom"/>
            <w:gridSpan w:val="2"/>
            <w:shd w:val="clear" w:color="auto" w:fill="D5EAEA"/>
          </w:tcPr>
          <w:p>
            <w:pPr>
              <w:spacing w:after="0" w:line="250" w:lineRule="exact"/>
              <w:rPr>
                <w:sz w:val="20"/>
                <w:szCs w:val="20"/>
                <w:color w:val="auto"/>
              </w:rPr>
            </w:pPr>
            <w:r>
              <w:rPr>
                <w:rFonts w:ascii="Times New Roman" w:cs="Times New Roman" w:eastAsia="Times New Roman" w:hAnsi="Times New Roman"/>
                <w:sz w:val="17"/>
                <w:szCs w:val="17"/>
                <w:color w:val="auto"/>
              </w:rPr>
              <w:t>Initial Shareholders</w:t>
            </w:r>
            <w:r>
              <w:rPr>
                <w:rFonts w:ascii="Times New Roman" w:cs="Times New Roman" w:eastAsia="Times New Roman" w:hAnsi="Times New Roman"/>
                <w:sz w:val="28"/>
                <w:szCs w:val="28"/>
                <w:color w:val="auto"/>
                <w:vertAlign w:val="superscript"/>
              </w:rPr>
              <w:t>(1)</w:t>
            </w: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shd w:val="clear" w:color="auto" w:fill="D5EAEA"/>
          </w:tcPr>
          <w:p>
            <w:pPr>
              <w:spacing w:after="0"/>
              <w:rPr>
                <w:sz w:val="21"/>
                <w:szCs w:val="21"/>
                <w:color w:val="auto"/>
              </w:rPr>
            </w:pPr>
          </w:p>
        </w:tc>
        <w:tc>
          <w:tcPr>
            <w:tcW w:w="14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gridSpan w:val="2"/>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D5EAEA"/>
          </w:tcPr>
          <w:p>
            <w:pPr>
              <w:spacing w:after="0"/>
              <w:rPr>
                <w:sz w:val="21"/>
                <w:szCs w:val="21"/>
                <w:color w:val="auto"/>
              </w:rPr>
            </w:pPr>
          </w:p>
        </w:tc>
        <w:tc>
          <w:tcPr>
            <w:tcW w:w="14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gridSpan w:val="2"/>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0.004</w:t>
            </w:r>
          </w:p>
        </w:tc>
      </w:tr>
      <w:tr>
        <w:trPr>
          <w:trHeight w:val="210"/>
        </w:trPr>
        <w:tc>
          <w:tcPr>
            <w:tcW w:w="402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tcBorders>
              <w:bottom w:val="single" w:sz="8" w:color="D5EAEA"/>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D5EAEA"/>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250,000,000</w:t>
            </w:r>
          </w:p>
        </w:tc>
        <w:tc>
          <w:tcPr>
            <w:tcW w:w="100" w:type="dxa"/>
            <w:vAlign w:val="bottom"/>
            <w:tcBorders>
              <w:bottom w:val="single" w:sz="8" w:color="D5EAEA"/>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00" w:type="dxa"/>
            <w:vAlign w:val="bottom"/>
            <w:tcBorders>
              <w:bottom w:val="single" w:sz="8" w:color="D5EAEA"/>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282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31,250,000</w:t>
            </w:r>
          </w:p>
        </w:tc>
        <w:tc>
          <w:tcPr>
            <w:tcW w:w="100" w:type="dxa"/>
            <w:vAlign w:val="bottom"/>
            <w:shd w:val="clear" w:color="auto" w:fill="D5EAEA"/>
          </w:tcPr>
          <w:p>
            <w:pPr>
              <w:spacing w:after="0"/>
              <w:rPr>
                <w:sz w:val="18"/>
                <w:szCs w:val="18"/>
                <w:color w:val="auto"/>
              </w:rPr>
            </w:pPr>
          </w:p>
        </w:tc>
        <w:tc>
          <w:tcPr>
            <w:tcW w:w="140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D5EAEA"/>
          </w:tcPr>
          <w:p>
            <w:pPr>
              <w:spacing w:after="0"/>
              <w:rPr>
                <w:sz w:val="18"/>
                <w:szCs w:val="18"/>
                <w:color w:val="auto"/>
              </w:rPr>
            </w:pPr>
          </w:p>
        </w:tc>
        <w:tc>
          <w:tcPr>
            <w:tcW w:w="20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250,025,000</w:t>
            </w:r>
          </w:p>
        </w:tc>
        <w:tc>
          <w:tcPr>
            <w:tcW w:w="100" w:type="dxa"/>
            <w:vAlign w:val="bottom"/>
            <w:shd w:val="clear" w:color="auto" w:fill="D5EAEA"/>
          </w:tcPr>
          <w:p>
            <w:pPr>
              <w:spacing w:after="0"/>
              <w:rPr>
                <w:sz w:val="18"/>
                <w:szCs w:val="18"/>
                <w:color w:val="auto"/>
              </w:rPr>
            </w:pPr>
          </w:p>
        </w:tc>
        <w:tc>
          <w:tcPr>
            <w:tcW w:w="140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spacing w:after="0"/>
              <w:rPr>
                <w:sz w:val="18"/>
                <w:szCs w:val="18"/>
                <w:color w:val="auto"/>
              </w:rPr>
            </w:pPr>
          </w:p>
        </w:tc>
      </w:tr>
      <w:tr>
        <w:trPr>
          <w:trHeight w:val="48"/>
        </w:trPr>
        <w:tc>
          <w:tcPr>
            <w:tcW w:w="282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r>
    </w:tbl>
    <w:p>
      <w:pPr>
        <w:spacing w:after="0" w:line="49" w:lineRule="exact"/>
        <w:rPr>
          <w:sz w:val="20"/>
          <w:szCs w:val="20"/>
          <w:color w:val="auto"/>
        </w:rPr>
      </w:pPr>
    </w:p>
    <w:p>
      <w:pPr>
        <w:ind w:left="340" w:right="2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937,500 founder shares are surrendered to us for no consideration after the closing of this offering in the event the underwriters do not exercise their over-allotment option.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pro forma net tangible book value per share after the offering (assuming that the underwriters do not exercise their over-allotment option) is calculated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Without Over-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With Over-</w:t>
            </w:r>
          </w:p>
        </w:tc>
        <w:tc>
          <w:tcPr>
            <w:tcW w:w="0" w:type="dxa"/>
            <w:vAlign w:val="bottom"/>
          </w:tcPr>
          <w:p>
            <w:pPr>
              <w:spacing w:after="0"/>
              <w:rPr>
                <w:sz w:val="1"/>
                <w:szCs w:val="1"/>
                <w:color w:val="auto"/>
              </w:rPr>
            </w:pPr>
          </w:p>
        </w:tc>
      </w:tr>
      <w:tr>
        <w:trPr>
          <w:trHeight w:val="238"/>
        </w:trPr>
        <w:tc>
          <w:tcPr>
            <w:tcW w:w="8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allotment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allotment</w:t>
            </w:r>
          </w:p>
        </w:tc>
        <w:tc>
          <w:tcPr>
            <w:tcW w:w="0" w:type="dxa"/>
            <w:vAlign w:val="bottom"/>
          </w:tcPr>
          <w:p>
            <w:pPr>
              <w:spacing w:after="0"/>
              <w:rPr>
                <w:sz w:val="1"/>
                <w:szCs w:val="1"/>
                <w:color w:val="auto"/>
              </w:rPr>
            </w:pPr>
          </w:p>
        </w:tc>
      </w:tr>
      <w:tr>
        <w:trPr>
          <w:trHeight w:val="209"/>
        </w:trPr>
        <w:tc>
          <w:tcPr>
            <w:tcW w:w="8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D5EAEA"/>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12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(108,185)</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(108,185)</w:t>
            </w:r>
          </w:p>
        </w:tc>
        <w:tc>
          <w:tcPr>
            <w:tcW w:w="0" w:type="dxa"/>
            <w:vAlign w:val="bottom"/>
          </w:tcPr>
          <w:p>
            <w:pPr>
              <w:spacing w:after="0"/>
              <w:rPr>
                <w:sz w:val="1"/>
                <w:szCs w:val="1"/>
                <w:color w:val="auto"/>
              </w:rPr>
            </w:pPr>
          </w:p>
        </w:tc>
      </w:tr>
      <w:tr>
        <w:trPr>
          <w:trHeight w:val="257"/>
        </w:trPr>
        <w:tc>
          <w:tcPr>
            <w:tcW w:w="854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Net proceeds from this offering and sale of the private placement warrants</w:t>
            </w:r>
            <w:r>
              <w:rPr>
                <w:rFonts w:ascii="Times New Roman" w:cs="Times New Roman" w:eastAsia="Times New Roman" w:hAnsi="Times New Roman"/>
                <w:sz w:val="29"/>
                <w:szCs w:val="29"/>
                <w:color w:val="auto"/>
                <w:vertAlign w:val="superscript"/>
              </w:rPr>
              <w:t>(1)</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288,500,000</w:t>
            </w: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D5EAEA"/>
          </w:tcPr>
          <w:p>
            <w:pPr>
              <w:spacing w:after="0"/>
              <w:rPr>
                <w:sz w:val="20"/>
                <w:szCs w:val="20"/>
                <w:color w:val="auto"/>
              </w:rPr>
            </w:pPr>
            <w:r>
              <w:rPr>
                <w:rFonts w:ascii="Times New Roman" w:cs="Times New Roman" w:eastAsia="Times New Roman" w:hAnsi="Times New Roman"/>
                <w:sz w:val="18"/>
                <w:szCs w:val="18"/>
                <w:color w:val="auto"/>
              </w:rPr>
              <w:t>Plus: Offering costs paid in advance, excluded from tangible book value</w:t>
            </w:r>
          </w:p>
        </w:tc>
        <w:tc>
          <w:tcPr>
            <w:tcW w:w="126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127,691</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127,691</w:t>
            </w:r>
          </w:p>
        </w:tc>
        <w:tc>
          <w:tcPr>
            <w:tcW w:w="0" w:type="dxa"/>
            <w:vAlign w:val="bottom"/>
          </w:tcPr>
          <w:p>
            <w:pPr>
              <w:spacing w:after="0"/>
              <w:rPr>
                <w:sz w:val="1"/>
                <w:szCs w:val="1"/>
                <w:color w:val="auto"/>
              </w:rPr>
            </w:pPr>
          </w:p>
        </w:tc>
      </w:tr>
      <w:tr>
        <w:trPr>
          <w:trHeight w:val="216"/>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Deferred underwriting commissions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0" w:type="dxa"/>
            <w:vAlign w:val="bottom"/>
          </w:tcPr>
          <w:p>
            <w:pPr>
              <w:spacing w:after="0"/>
              <w:rPr>
                <w:sz w:val="1"/>
                <w:szCs w:val="1"/>
                <w:color w:val="auto"/>
              </w:rPr>
            </w:pPr>
          </w:p>
        </w:tc>
      </w:tr>
      <w:tr>
        <w:trPr>
          <w:trHeight w:val="270"/>
        </w:trPr>
        <w:tc>
          <w:tcPr>
            <w:tcW w:w="8540" w:type="dxa"/>
            <w:vAlign w:val="bottom"/>
            <w:gridSpan w:val="4"/>
            <w:shd w:val="clear" w:color="auto" w:fill="D5EAEA"/>
          </w:tcPr>
          <w:p>
            <w:pPr>
              <w:spacing w:after="0" w:line="270" w:lineRule="exact"/>
              <w:rPr>
                <w:sz w:val="20"/>
                <w:szCs w:val="20"/>
                <w:color w:val="auto"/>
              </w:rPr>
            </w:pPr>
            <w:r>
              <w:rPr>
                <w:rFonts w:ascii="Times New Roman" w:cs="Times New Roman" w:eastAsia="Times New Roman" w:hAnsi="Times New Roman"/>
                <w:sz w:val="18"/>
                <w:szCs w:val="18"/>
                <w:color w:val="auto"/>
              </w:rPr>
              <w:t>Less: Proceeds held in trust subject to redemption</w:t>
            </w:r>
            <w:r>
              <w:rPr>
                <w:rFonts w:ascii="Times New Roman" w:cs="Times New Roman" w:eastAsia="Times New Roman" w:hAnsi="Times New Roman"/>
                <w:sz w:val="29"/>
                <w:szCs w:val="29"/>
                <w:color w:val="auto"/>
                <w:vertAlign w:val="superscript"/>
              </w:rPr>
              <w:t>(2)</w:t>
            </w:r>
          </w:p>
        </w:tc>
        <w:tc>
          <w:tcPr>
            <w:tcW w:w="12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(237,269,500)</w:t>
            </w:r>
          </w:p>
        </w:tc>
        <w:tc>
          <w:tcPr>
            <w:tcW w:w="100" w:type="dxa"/>
            <w:vAlign w:val="bottom"/>
            <w:shd w:val="clear" w:color="auto" w:fill="D5EAEA"/>
          </w:tcPr>
          <w:p>
            <w:pPr>
              <w:spacing w:after="0"/>
              <w:rPr>
                <w:sz w:val="23"/>
                <w:szCs w:val="23"/>
                <w:color w:val="auto"/>
              </w:rPr>
            </w:pPr>
          </w:p>
        </w:tc>
        <w:tc>
          <w:tcPr>
            <w:tcW w:w="160" w:type="dxa"/>
            <w:vAlign w:val="bottom"/>
            <w:shd w:val="clear" w:color="auto" w:fill="D5EAEA"/>
          </w:tcPr>
          <w:p>
            <w:pPr>
              <w:spacing w:after="0"/>
              <w:rPr>
                <w:sz w:val="23"/>
                <w:szCs w:val="23"/>
                <w:color w:val="auto"/>
              </w:rPr>
            </w:pPr>
          </w:p>
        </w:tc>
        <w:tc>
          <w:tcPr>
            <w:tcW w:w="11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(273,457,000)</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D5EAEA"/>
            </w:tcBorders>
          </w:tcPr>
          <w:p>
            <w:pPr>
              <w:spacing w:after="0"/>
              <w:rPr>
                <w:sz w:val="18"/>
                <w:szCs w:val="18"/>
                <w:color w:val="auto"/>
              </w:rPr>
            </w:pPr>
          </w:p>
        </w:tc>
        <w:tc>
          <w:tcPr>
            <w:tcW w:w="1300" w:type="dxa"/>
            <w:vAlign w:val="bottom"/>
            <w:tcBorders>
              <w:bottom w:val="single" w:sz="8" w:color="D5EAEA"/>
            </w:tcBorders>
          </w:tcPr>
          <w:p>
            <w:pPr>
              <w:spacing w:after="0"/>
              <w:rPr>
                <w:sz w:val="18"/>
                <w:szCs w:val="18"/>
                <w:color w:val="auto"/>
              </w:rPr>
            </w:pPr>
          </w:p>
        </w:tc>
        <w:tc>
          <w:tcPr>
            <w:tcW w:w="4320" w:type="dxa"/>
            <w:vAlign w:val="bottom"/>
            <w:tcBorders>
              <w:bottom w:val="single" w:sz="8" w:color="D5EAEA"/>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5,000,006</w:t>
            </w:r>
          </w:p>
        </w:tc>
        <w:tc>
          <w:tcPr>
            <w:tcW w:w="100" w:type="dxa"/>
            <w:vAlign w:val="bottom"/>
            <w:tcBorders>
              <w:bottom w:val="single" w:sz="8" w:color="D5EAEA"/>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5,000,006</w:t>
            </w:r>
          </w:p>
        </w:tc>
        <w:tc>
          <w:tcPr>
            <w:tcW w:w="0" w:type="dxa"/>
            <w:vAlign w:val="bottom"/>
          </w:tcPr>
          <w:p>
            <w:pPr>
              <w:spacing w:after="0"/>
              <w:rPr>
                <w:sz w:val="1"/>
                <w:szCs w:val="1"/>
                <w:color w:val="auto"/>
              </w:rPr>
            </w:pPr>
          </w:p>
        </w:tc>
      </w:tr>
      <w:tr>
        <w:trPr>
          <w:trHeight w:val="209"/>
        </w:trPr>
        <w:tc>
          <w:tcPr>
            <w:tcW w:w="8440" w:type="dxa"/>
            <w:vAlign w:val="bottom"/>
            <w:gridSpan w:val="3"/>
            <w:shd w:val="clear" w:color="auto" w:fill="D5EAEA"/>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 B ordinary shares outstanding prior to this offering</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7,187,500</w:t>
            </w:r>
          </w:p>
        </w:tc>
        <w:tc>
          <w:tcPr>
            <w:tcW w:w="0" w:type="dxa"/>
            <w:vAlign w:val="bottom"/>
          </w:tcPr>
          <w:p>
            <w:pPr>
              <w:spacing w:after="0"/>
              <w:rPr>
                <w:sz w:val="1"/>
                <w:szCs w:val="1"/>
                <w:color w:val="auto"/>
              </w:rPr>
            </w:pPr>
          </w:p>
        </w:tc>
      </w:tr>
      <w:tr>
        <w:trPr>
          <w:trHeight w:val="257"/>
        </w:trPr>
        <w:tc>
          <w:tcPr>
            <w:tcW w:w="8540" w:type="dxa"/>
            <w:vAlign w:val="bottom"/>
            <w:gridSpan w:val="4"/>
            <w:shd w:val="clear" w:color="auto" w:fill="D5EAEA"/>
          </w:tcPr>
          <w:p>
            <w:pPr>
              <w:spacing w:after="0" w:line="256" w:lineRule="exact"/>
              <w:rPr>
                <w:sz w:val="20"/>
                <w:szCs w:val="20"/>
                <w:color w:val="auto"/>
              </w:rPr>
            </w:pPr>
            <w:r>
              <w:rPr>
                <w:rFonts w:ascii="Times New Roman" w:cs="Times New Roman" w:eastAsia="Times New Roman" w:hAnsi="Times New Roman"/>
                <w:sz w:val="18"/>
                <w:szCs w:val="18"/>
                <w:color w:val="auto"/>
              </w:rPr>
              <w:t>Class B ordinary shares forfeited if over-allotment is not exercised</w:t>
            </w:r>
            <w:r>
              <w:rPr>
                <w:rFonts w:ascii="Times New Roman" w:cs="Times New Roman" w:eastAsia="Times New Roman" w:hAnsi="Times New Roman"/>
                <w:sz w:val="29"/>
                <w:szCs w:val="29"/>
                <w:color w:val="auto"/>
                <w:vertAlign w:val="superscript"/>
              </w:rPr>
              <w:t>(3)</w:t>
            </w:r>
          </w:p>
        </w:tc>
        <w:tc>
          <w:tcPr>
            <w:tcW w:w="12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100" w:type="dxa"/>
            <w:vAlign w:val="bottom"/>
            <w:shd w:val="clear" w:color="auto" w:fill="D5EAEA"/>
          </w:tcPr>
          <w:p>
            <w:pPr>
              <w:spacing w:after="0"/>
              <w:rPr>
                <w:sz w:val="22"/>
                <w:szCs w:val="22"/>
                <w:color w:val="auto"/>
              </w:rPr>
            </w:pPr>
          </w:p>
        </w:tc>
        <w:tc>
          <w:tcPr>
            <w:tcW w:w="160" w:type="dxa"/>
            <w:vAlign w:val="bottom"/>
            <w:shd w:val="clear" w:color="auto" w:fill="D5EAEA"/>
          </w:tcPr>
          <w:p>
            <w:pPr>
              <w:spacing w:after="0"/>
              <w:rPr>
                <w:sz w:val="22"/>
                <w:szCs w:val="22"/>
                <w:color w:val="auto"/>
              </w:rPr>
            </w:pPr>
          </w:p>
        </w:tc>
        <w:tc>
          <w:tcPr>
            <w:tcW w:w="11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 A ordinary shares included in the units offered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28,750,000</w:t>
            </w:r>
          </w:p>
        </w:tc>
        <w:tc>
          <w:tcPr>
            <w:tcW w:w="0" w:type="dxa"/>
            <w:vAlign w:val="bottom"/>
          </w:tcPr>
          <w:p>
            <w:pPr>
              <w:spacing w:after="0"/>
              <w:rPr>
                <w:sz w:val="1"/>
                <w:szCs w:val="1"/>
                <w:color w:val="auto"/>
              </w:rPr>
            </w:pPr>
          </w:p>
        </w:tc>
      </w:tr>
      <w:tr>
        <w:trPr>
          <w:trHeight w:val="230"/>
        </w:trPr>
        <w:tc>
          <w:tcPr>
            <w:tcW w:w="8540" w:type="dxa"/>
            <w:vAlign w:val="bottom"/>
            <w:gridSpan w:val="4"/>
            <w:shd w:val="clear" w:color="auto" w:fill="D5EAEA"/>
          </w:tcPr>
          <w:p>
            <w:pPr>
              <w:spacing w:after="0"/>
              <w:rPr>
                <w:sz w:val="20"/>
                <w:szCs w:val="20"/>
                <w:color w:val="auto"/>
              </w:rPr>
            </w:pPr>
            <w:r>
              <w:rPr>
                <w:rFonts w:ascii="Times New Roman" w:cs="Times New Roman" w:eastAsia="Times New Roman" w:hAnsi="Times New Roman"/>
                <w:sz w:val="18"/>
                <w:szCs w:val="18"/>
                <w:color w:val="auto"/>
              </w:rPr>
              <w:t>Less: Class A ordinary shares subject to redemption</w:t>
            </w:r>
          </w:p>
        </w:tc>
        <w:tc>
          <w:tcPr>
            <w:tcW w:w="12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(23,726,950)</w:t>
            </w:r>
          </w:p>
        </w:tc>
        <w:tc>
          <w:tcPr>
            <w:tcW w:w="100" w:type="dxa"/>
            <w:vAlign w:val="bottom"/>
            <w:shd w:val="clear" w:color="auto" w:fill="D5EAEA"/>
          </w:tcPr>
          <w:p>
            <w:pPr>
              <w:spacing w:after="0"/>
              <w:rPr>
                <w:sz w:val="19"/>
                <w:szCs w:val="19"/>
                <w:color w:val="auto"/>
              </w:rPr>
            </w:pPr>
          </w:p>
        </w:tc>
        <w:tc>
          <w:tcPr>
            <w:tcW w:w="160" w:type="dxa"/>
            <w:vAlign w:val="bottom"/>
            <w:shd w:val="clear" w:color="auto" w:fill="D5EAEA"/>
          </w:tcPr>
          <w:p>
            <w:pPr>
              <w:spacing w:after="0"/>
              <w:rPr>
                <w:sz w:val="19"/>
                <w:szCs w:val="19"/>
                <w:color w:val="auto"/>
              </w:rPr>
            </w:pPr>
          </w:p>
        </w:tc>
        <w:tc>
          <w:tcPr>
            <w:tcW w:w="11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(27,345,700)</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7,523,050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8,591,800</w:t>
            </w: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8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4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2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applied against gross proceeds include offering expenses of $1,000,000 and underwriting commissions of $5,000,000, or $5,750,000 if the underwriters’ over-allotment option is exercised (excluding deferred underwriting fees). See “Use of Proceeds.”</w:t>
      </w:r>
    </w:p>
    <w:p>
      <w:pPr>
        <w:spacing w:after="0" w:line="161" w:lineRule="exact"/>
        <w:rPr>
          <w:rFonts w:ascii="Times New Roman" w:cs="Times New Roman" w:eastAsia="Times New Roman" w:hAnsi="Times New Roman"/>
          <w:sz w:val="18"/>
          <w:szCs w:val="18"/>
          <w:color w:val="auto"/>
        </w:rPr>
      </w:pPr>
    </w:p>
    <w:p>
      <w:pPr>
        <w:ind w:left="340" w:right="60" w:hanging="332"/>
        <w:spacing w:after="0" w:line="25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initial shareholders, directors,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Business—Effecting Our Initial Business Combination—Permitted Purchases of Our Securities.”</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937,500 founder shares are surrendered to us for no consideration, if the over-allotment is not exercised.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December 31, 2020, and as adjusted to give effect to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2820" w:type="dxa"/>
            <w:vAlign w:val="bottom"/>
            <w:tcBorders>
              <w:bottom w:val="single" w:sz="8" w:color="D5EAEA"/>
            </w:tcBorders>
          </w:tcPr>
          <w:p>
            <w:pPr>
              <w:spacing w:after="0"/>
              <w:rPr>
                <w:sz w:val="19"/>
                <w:szCs w:val="19"/>
                <w:color w:val="auto"/>
              </w:rPr>
            </w:pPr>
          </w:p>
        </w:tc>
        <w:tc>
          <w:tcPr>
            <w:tcW w:w="1300" w:type="dxa"/>
            <w:vAlign w:val="bottom"/>
            <w:tcBorders>
              <w:bottom w:val="single" w:sz="8" w:color="D5EAEA"/>
            </w:tcBorders>
          </w:tcPr>
          <w:p>
            <w:pPr>
              <w:spacing w:after="0"/>
              <w:rPr>
                <w:sz w:val="19"/>
                <w:szCs w:val="19"/>
                <w:color w:val="auto"/>
              </w:rPr>
            </w:pPr>
          </w:p>
        </w:tc>
        <w:tc>
          <w:tcPr>
            <w:tcW w:w="4180" w:type="dxa"/>
            <w:vAlign w:val="bottom"/>
            <w:tcBorders>
              <w:bottom w:val="single" w:sz="8" w:color="D5EAEA"/>
            </w:tcBorders>
          </w:tcPr>
          <w:p>
            <w:pPr>
              <w:spacing w:after="0"/>
              <w:rPr>
                <w:sz w:val="19"/>
                <w:szCs w:val="19"/>
                <w:color w:val="auto"/>
              </w:rPr>
            </w:pPr>
          </w:p>
        </w:tc>
        <w:tc>
          <w:tcPr>
            <w:tcW w:w="140" w:type="dxa"/>
            <w:vAlign w:val="bottom"/>
            <w:tcBorders>
              <w:bottom w:val="single" w:sz="8" w:color="D5EAE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Borders>
              <w:bottom w:val="single" w:sz="8" w:color="D5EAEA"/>
            </w:tcBorders>
          </w:tcPr>
          <w:p>
            <w:pPr>
              <w:spacing w:after="0"/>
              <w:rPr>
                <w:sz w:val="19"/>
                <w:szCs w:val="19"/>
                <w:color w:val="auto"/>
              </w:rPr>
            </w:pPr>
          </w:p>
        </w:tc>
        <w:tc>
          <w:tcPr>
            <w:tcW w:w="20" w:type="dxa"/>
            <w:vAlign w:val="bottom"/>
            <w:tcBorders>
              <w:bottom w:val="single" w:sz="8" w:color="D5EAE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Adjusted</w:t>
            </w:r>
          </w:p>
        </w:tc>
      </w:tr>
      <w:tr>
        <w:trPr>
          <w:trHeight w:val="237"/>
        </w:trPr>
        <w:tc>
          <w:tcPr>
            <w:tcW w:w="8300" w:type="dxa"/>
            <w:vAlign w:val="bottom"/>
            <w:gridSpan w:val="3"/>
            <w:shd w:val="clear" w:color="auto" w:fill="D5EAEA"/>
          </w:tcPr>
          <w:p>
            <w:pPr>
              <w:spacing w:after="0" w:line="236" w:lineRule="exact"/>
              <w:rPr>
                <w:sz w:val="20"/>
                <w:szCs w:val="20"/>
                <w:color w:val="auto"/>
              </w:rPr>
            </w:pPr>
            <w:r>
              <w:rPr>
                <w:rFonts w:ascii="Times New Roman" w:cs="Times New Roman" w:eastAsia="Times New Roman" w:hAnsi="Times New Roman"/>
                <w:sz w:val="17"/>
                <w:szCs w:val="17"/>
                <w:color w:val="auto"/>
              </w:rPr>
              <w:t>Notes payable and due to related party</w:t>
            </w:r>
            <w:r>
              <w:rPr>
                <w:rFonts w:ascii="Times New Roman" w:cs="Times New Roman" w:eastAsia="Times New Roman" w:hAnsi="Times New Roman"/>
                <w:sz w:val="27"/>
                <w:szCs w:val="27"/>
                <w:color w:val="auto"/>
                <w:vertAlign w:val="superscript"/>
              </w:rPr>
              <w:t>(1)</w:t>
            </w:r>
          </w:p>
        </w:tc>
        <w:tc>
          <w:tcPr>
            <w:tcW w:w="400" w:type="dxa"/>
            <w:vAlign w:val="bottom"/>
            <w:gridSpan w:val="2"/>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8,750,000</w:t>
            </w:r>
          </w:p>
        </w:tc>
      </w:tr>
      <w:tr>
        <w:trPr>
          <w:trHeight w:val="201"/>
        </w:trPr>
        <w:tc>
          <w:tcPr>
            <w:tcW w:w="8300" w:type="dxa"/>
            <w:vAlign w:val="bottom"/>
            <w:gridSpan w:val="3"/>
            <w:shd w:val="clear" w:color="auto" w:fill="D5EAEA"/>
          </w:tcPr>
          <w:p>
            <w:pPr>
              <w:spacing w:after="0" w:line="201"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-0- and 23,726,950 shares are subject</w:t>
            </w:r>
          </w:p>
        </w:tc>
        <w:tc>
          <w:tcPr>
            <w:tcW w:w="14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r>
      <w:tr>
        <w:trPr>
          <w:trHeight w:val="271"/>
        </w:trPr>
        <w:tc>
          <w:tcPr>
            <w:tcW w:w="8300" w:type="dxa"/>
            <w:vAlign w:val="bottom"/>
            <w:gridSpan w:val="3"/>
            <w:shd w:val="clear" w:color="auto" w:fill="D5EAEA"/>
          </w:tcPr>
          <w:p>
            <w:pPr>
              <w:ind w:left="180"/>
              <w:spacing w:after="0" w:line="271" w:lineRule="exact"/>
              <w:rPr>
                <w:sz w:val="20"/>
                <w:szCs w:val="20"/>
                <w:color w:val="auto"/>
              </w:rPr>
            </w:pPr>
            <w:r>
              <w:rPr>
                <w:rFonts w:ascii="Times New Roman" w:cs="Times New Roman" w:eastAsia="Times New Roman" w:hAnsi="Times New Roman"/>
                <w:sz w:val="18"/>
                <w:szCs w:val="18"/>
                <w:color w:val="auto"/>
              </w:rPr>
              <w:t>to possible redemption, actual and as adjusted, respectively</w:t>
            </w:r>
            <w:r>
              <w:rPr>
                <w:rFonts w:ascii="Times New Roman" w:cs="Times New Roman" w:eastAsia="Times New Roman" w:hAnsi="Times New Roman"/>
                <w:sz w:val="29"/>
                <w:szCs w:val="29"/>
                <w:color w:val="auto"/>
                <w:vertAlign w:val="superscript"/>
              </w:rPr>
              <w:t>(2)</w:t>
            </w:r>
          </w:p>
        </w:tc>
        <w:tc>
          <w:tcPr>
            <w:tcW w:w="140" w:type="dxa"/>
            <w:vAlign w:val="bottom"/>
            <w:shd w:val="clear" w:color="auto" w:fill="D5EAEA"/>
          </w:tcPr>
          <w:p>
            <w:pPr>
              <w:spacing w:after="0"/>
              <w:rPr>
                <w:sz w:val="23"/>
                <w:szCs w:val="23"/>
                <w:color w:val="auto"/>
              </w:rPr>
            </w:pPr>
          </w:p>
        </w:tc>
        <w:tc>
          <w:tcPr>
            <w:tcW w:w="260" w:type="dxa"/>
            <w:vAlign w:val="bottom"/>
            <w:shd w:val="clear" w:color="auto" w:fill="D5EAEA"/>
          </w:tcPr>
          <w:p>
            <w:pPr>
              <w:spacing w:after="0"/>
              <w:rPr>
                <w:sz w:val="23"/>
                <w:szCs w:val="23"/>
                <w:color w:val="auto"/>
              </w:rPr>
            </w:pPr>
          </w:p>
        </w:tc>
        <w:tc>
          <w:tcPr>
            <w:tcW w:w="120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AEA"/>
          </w:tcPr>
          <w:p>
            <w:pPr>
              <w:spacing w:after="0"/>
              <w:rPr>
                <w:sz w:val="23"/>
                <w:szCs w:val="23"/>
                <w:color w:val="auto"/>
              </w:rPr>
            </w:pPr>
          </w:p>
        </w:tc>
        <w:tc>
          <w:tcPr>
            <w:tcW w:w="120" w:type="dxa"/>
            <w:vAlign w:val="bottom"/>
            <w:shd w:val="clear" w:color="auto" w:fill="D5EAEA"/>
          </w:tcPr>
          <w:p>
            <w:pPr>
              <w:spacing w:after="0"/>
              <w:rPr>
                <w:sz w:val="23"/>
                <w:szCs w:val="23"/>
                <w:color w:val="auto"/>
              </w:rPr>
            </w:pPr>
          </w:p>
        </w:tc>
        <w:tc>
          <w:tcPr>
            <w:tcW w:w="12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237,269,500</w:t>
            </w:r>
          </w:p>
        </w:tc>
      </w:tr>
      <w:tr>
        <w:trPr>
          <w:trHeight w:val="198"/>
        </w:trPr>
        <w:tc>
          <w:tcPr>
            <w:tcW w:w="83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 actual and as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98"/>
        </w:trPr>
        <w:tc>
          <w:tcPr>
            <w:tcW w:w="8300" w:type="dxa"/>
            <w:vAlign w:val="bottom"/>
            <w:gridSpan w:val="3"/>
            <w:shd w:val="clear" w:color="auto" w:fill="D5EAEA"/>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-0- and 1,273,050 shares issued and</w:t>
            </w:r>
          </w:p>
        </w:tc>
        <w:tc>
          <w:tcPr>
            <w:tcW w:w="14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r>
      <w:tr>
        <w:trPr>
          <w:trHeight w:val="234"/>
        </w:trPr>
        <w:tc>
          <w:tcPr>
            <w:tcW w:w="8300" w:type="dxa"/>
            <w:vAlign w:val="bottom"/>
            <w:gridSpan w:val="3"/>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outstanding, actual and as adjusted, respectively</w:t>
            </w:r>
          </w:p>
        </w:tc>
        <w:tc>
          <w:tcPr>
            <w:tcW w:w="140" w:type="dxa"/>
            <w:vAlign w:val="bottom"/>
            <w:shd w:val="clear" w:color="auto" w:fill="D5EAEA"/>
          </w:tcPr>
          <w:p>
            <w:pPr>
              <w:spacing w:after="0"/>
              <w:rPr>
                <w:sz w:val="20"/>
                <w:szCs w:val="20"/>
                <w:color w:val="auto"/>
              </w:rPr>
            </w:pPr>
          </w:p>
        </w:tc>
        <w:tc>
          <w:tcPr>
            <w:tcW w:w="260" w:type="dxa"/>
            <w:vAlign w:val="bottom"/>
            <w:shd w:val="clear" w:color="auto" w:fill="D5EAEA"/>
          </w:tcPr>
          <w:p>
            <w:pPr>
              <w:spacing w:after="0"/>
              <w:rPr>
                <w:sz w:val="20"/>
                <w:szCs w:val="20"/>
                <w:color w:val="auto"/>
              </w:rPr>
            </w:pPr>
          </w:p>
        </w:tc>
        <w:tc>
          <w:tcPr>
            <w:tcW w:w="120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2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01"/>
        </w:trPr>
        <w:tc>
          <w:tcPr>
            <w:tcW w:w="83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7,187,500 and 6,250,000 shares issued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71"/>
        </w:trPr>
        <w:tc>
          <w:tcPr>
            <w:tcW w:w="8300" w:type="dxa"/>
            <w:vAlign w:val="bottom"/>
            <w:gridSpan w:val="3"/>
          </w:tcPr>
          <w:p>
            <w:pPr>
              <w:ind w:left="180"/>
              <w:spacing w:after="0" w:line="271" w:lineRule="exact"/>
              <w:rPr>
                <w:sz w:val="20"/>
                <w:szCs w:val="20"/>
                <w:color w:val="auto"/>
              </w:rPr>
            </w:pPr>
            <w:r>
              <w:rPr>
                <w:rFonts w:ascii="Times New Roman" w:cs="Times New Roman" w:eastAsia="Times New Roman" w:hAnsi="Times New Roman"/>
                <w:sz w:val="18"/>
                <w:szCs w:val="18"/>
                <w:color w:val="auto"/>
              </w:rPr>
              <w:t>and outstanding, actual and as adjusted, respectively</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300" w:type="dxa"/>
            <w:vAlign w:val="bottom"/>
            <w:gridSpan w:val="3"/>
            <w:shd w:val="clear" w:color="auto" w:fill="D5EAEA"/>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24,281</w:t>
            </w: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5,004,748</w:t>
            </w:r>
          </w:p>
        </w:tc>
      </w:tr>
      <w:tr>
        <w:trPr>
          <w:trHeight w:val="229"/>
        </w:trPr>
        <w:tc>
          <w:tcPr>
            <w:tcW w:w="8300" w:type="dxa"/>
            <w:vAlign w:val="bottom"/>
            <w:tcBorders>
              <w:bottom w:val="single" w:sz="8" w:color="D5EAEA"/>
            </w:tcBorders>
            <w:gridSpan w:val="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D5EAE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tcBorders>
              <w:bottom w:val="single" w:sz="8" w:color="D5EAEA"/>
            </w:tcBorders>
          </w:tcPr>
          <w:p>
            <w:pPr>
              <w:spacing w:after="0"/>
              <w:rPr>
                <w:sz w:val="19"/>
                <w:szCs w:val="19"/>
                <w:color w:val="auto"/>
              </w:rPr>
            </w:pPr>
          </w:p>
        </w:tc>
        <w:tc>
          <w:tcPr>
            <w:tcW w:w="20" w:type="dxa"/>
            <w:vAlign w:val="bottom"/>
            <w:tcBorders>
              <w:bottom w:val="single" w:sz="8" w:color="D5EAE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09"/>
        </w:trPr>
        <w:tc>
          <w:tcPr>
            <w:tcW w:w="8300" w:type="dxa"/>
            <w:vAlign w:val="bottom"/>
            <w:gridSpan w:val="3"/>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shd w:val="clear" w:color="auto" w:fill="D5EAEA"/>
          </w:tcPr>
          <w:p>
            <w:pPr>
              <w:spacing w:after="0"/>
              <w:rPr>
                <w:sz w:val="18"/>
                <w:szCs w:val="18"/>
                <w:color w:val="auto"/>
              </w:rPr>
            </w:pPr>
          </w:p>
        </w:tc>
        <w:tc>
          <w:tcPr>
            <w:tcW w:w="260" w:type="dxa"/>
            <w:vAlign w:val="bottom"/>
            <w:tcBorders>
              <w:bottom w:val="single" w:sz="8" w:color="auto"/>
            </w:tcBorders>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5,000,006</w:t>
            </w:r>
          </w:p>
        </w:tc>
      </w:tr>
      <w:tr>
        <w:trPr>
          <w:trHeight w:val="210"/>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251,019,506</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4"/>
        </w:trPr>
        <w:tc>
          <w:tcPr>
            <w:tcW w:w="28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r>
    </w:tbl>
    <w:p>
      <w:pPr>
        <w:spacing w:after="0" w:line="49" w:lineRule="exact"/>
        <w:rPr>
          <w:sz w:val="20"/>
          <w:szCs w:val="20"/>
          <w:color w:val="auto"/>
        </w:rPr>
      </w:pPr>
    </w:p>
    <w:p>
      <w:pPr>
        <w:ind w:left="340" w:right="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has agreed to loan us up to $300,000 under an unsecured promissory note to be used for a portion of the expenses of this offering. The “as adjusted” information gives effect to the repayment of any loans received from our sponsor out of the proceeds from this offering and the sale of the private placement warrants.</w:t>
      </w:r>
    </w:p>
    <w:p>
      <w:pPr>
        <w:spacing w:after="0" w:line="175" w:lineRule="exact"/>
        <w:rPr>
          <w:rFonts w:ascii="Times New Roman" w:cs="Times New Roman" w:eastAsia="Times New Roman" w:hAnsi="Times New Roman"/>
          <w:sz w:val="18"/>
          <w:szCs w:val="18"/>
          <w:color w:val="auto"/>
        </w:rPr>
      </w:pPr>
    </w:p>
    <w:p>
      <w:pPr>
        <w:ind w:left="340" w:hanging="332"/>
        <w:spacing w:after="0" w:line="25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our initial business combination, we will provide our public shareholders with the opportunity to redeem their public shares for cash at a per-share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whereby redemptions cannot cause our net tangible assets to be less than $5,000,001 and any limitations (including, but not limited to, cash requirements) created by the terms of the proposed business combination.</w:t>
      </w:r>
    </w:p>
    <w:p>
      <w:pPr>
        <w:spacing w:after="0" w:line="187"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share amount is prior to any forfeiture of founder shares and as adjusted amount assumes no exercise of the underwriters’ over-allotment option and forfeiture of an aggregate of 937,500 founder shares.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 blank check company incorporated on December 23, 2020 as a Cayman Islands exempted company for the purpose of effecting a merger, share exchange, asset acquisition, share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companies in the financial services sector. We intend to effectuate our initial business combination using cash from the proceeds of this offering and the sale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issuance of additional shares in connection with a business combination to the owners of the target or other investors may:</w:t>
      </w:r>
    </w:p>
    <w:p>
      <w:pPr>
        <w:spacing w:after="0" w:line="225" w:lineRule="exact"/>
        <w:rPr>
          <w:sz w:val="20"/>
          <w:szCs w:val="20"/>
          <w:color w:val="auto"/>
        </w:rPr>
      </w:pPr>
    </w:p>
    <w:p>
      <w:pPr>
        <w:jc w:val="both"/>
        <w:ind w:left="660" w:right="34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the rights of holders of Class A ordinary shares if preferred shares are issued with rights senior to those afforded our Class A ordinary shares;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effect of delaying or preventing a change of control of us by diluting the share ownership or voting rights of a person seeking to obtain control of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prevailing market prices for our units, Class A ordinary shares and/or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result in adjustment to the exercise price of our 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debt to bank or other lenders or the owners of a target, it could result in:</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225"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As indicated in the accompanying financial statements, at December 31, 2020, we had no cash and deferred offering costs of $127,691. Further, we expect to incur significant costs in the pursuit of our initial business combination. We cannot assure you that our plans to raise capital or to complete our initial business combination will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229"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liquidity needs have been satisfied prior to the completion of this offering through receipt of a $25,000 capital contribution from our sponsor in exchange for the issuance of the founder shares to our sponsor and $300,000 in loans from our sponsor.</w:t>
      </w:r>
    </w:p>
    <w:p>
      <w:pPr>
        <w:spacing w:after="0" w:line="16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estimate that the net proceeds from the sale of the units in this offering and the sale of the private placement warrants for an aggregate purchase price of $257,000,000 (or $295,250,000 if the underwriters’ over-allotment option is exercised in full), after deducting offering expenses of approximately $1,000,000 and underwriting commissions of $5,000,000 (or $5,750,000 if the underwriters’ over-allotment option is exercised in full) (excluding deferred underwriting commissions of $8,750,000, or $10,062,500 if the underwriters’ over-allotment option is exercised in full), will be $251,000,000 (or $288,500,000 if the underwriters’ over-allotment option is exercised in full). $250,000,000 (or $287,500,000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9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funds held in the trust account and not previously released to us to pay our taxes (excluding deferred underwriting commissions) to complete our initial business combination. We may withdraw interest income to pay our taxes, if any. Our annual income tax obligations will depend on the amount of interest and other income earned on the amounts held in the trust account. We expect the interest earned on the amount in the trust account will be sufficient to pay our income taxes.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$1.50 per warrant at the option of the lender. Such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expect our primary liquidity requirements during that period to include approximately $400,000 for legal, accounting, due diligence, travel and other expenses associated with structuring, negotiating and documenting successful business combinations; $50,000 for legal and accounting fees related to regulatory reporting requirements; $85,000 for listing and other regulatory fees; $75,000 for consulting and miscellaneous expenses incurred during the search for a business combination target; and approximately $30,000 for general working capital that will be used for miscellaneous expenses and reserves. We will also pay our sponsor or an affiliate thereof up to $15,000 per month for office space, utilities, secretarial and administrative services provided to members of our management team and other expenses and obligations of our sponsor.</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Moreover, we may need to obtain additional financing to complete our initial business combination, either because the transaction requires more cash than is available from the funds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solely with the net proceeds of this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expect to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reporting requirements of the Sarbanes-Oxley Act for the fiscal year ending December 31, 2022. Only in the event that we are deemed to be a large accelerated filer or an accelerated filer and no longer qualify as an emerging growth company would we be required to comply with the independent registered public accounting firm attestation requirement on our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8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the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Freedom Acquisition I Corp. is a newly incorporated blank check company, incorporated as a Cayman Islands exempted company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While we may pursue an initial business combination with any target business and in any sector or geographical location, we intend to focus our search for an initial business combination in the area of Financial Services, in businesses that are technology-enabled and demonstrate growth and scalability potential. We anticipate that these target businesses may be located in developed markets, such as North America or Europe, or emerging markets, which may include Asia, Latin America and select countries in Africa.</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Freedom Acquisition I Corp. was established by Tidjane Thiam, Adam Gishen and Abhishek Bhatia to leverage their extensive experience in acquiring, building, operating and scaling global financial services businesses in constantly evolving environments. Mr. Thiam, with his more than 30 years of experience in financial services businesses, led global institutions like Credit Suisse and Prudential as CEO for 5 years and 6 years, respectively. Mr. Gishen has over 20 years of experience in financial services and has held senior leadership responsibilities in recent years at Credit Suisse running its Global Investor Relations and Corporate Communications functions. Mr. Bhatia has more than 20 years of global experience in life and general insurance and asset management and has created businesses from scratch, including a technology-enabled life insurer in Europe and a full-stack digital insurer in Asia for which he served as CEO.</w:t>
      </w:r>
    </w:p>
    <w:p>
      <w:pPr>
        <w:spacing w:after="0" w:line="18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collective experience of our founders, in combination with their deep and broad global network of relationships across public and private sectors in both mature as well as emerging markets, provides us with a competitive advantage to identify, structure, finance and acquire the operations of a compelling target business. In pursuing our strategy of creating a global financial services group, we intend to add value to the target business through active engagement with its management team, and enabling that company to leverage the benefits of scale to grow and increase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22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Tidjane Thiam</w:t>
      </w:r>
      <w:r>
        <w:rPr>
          <w:rFonts w:ascii="Times New Roman" w:cs="Times New Roman" w:eastAsia="Times New Roman" w:hAnsi="Times New Roman"/>
          <w:sz w:val="18"/>
          <w:szCs w:val="18"/>
          <w:color w:val="auto"/>
        </w:rPr>
        <w:t>, our Executive Chairman, has over 30 years of experience in global financial services. Mr. Thiam was the CEO of Credit Suisse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 from 2015 to 2020, where he successfully turned around the performance of Credit Suisse and delivered record-breaking profits in 2019, Credit Suisse’s most profitable year in over a decade. He was able to significantly restructure the bank’s trading and investment banking business, while simultaneously growing its wealth management activities with a focus on entrepreneurs and ultra-high net worth individuals. For these achievements, Mr. Thiam was awarded with the Banker of the Year - Euromoney award in 2018.</w:t>
      </w:r>
    </w:p>
    <w:p>
      <w:pPr>
        <w:spacing w:after="0" w:line="183"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Prior to joining Credit Suisse, Mr. Thiam served as the Group CEO of Prudential plc from 2009 to 2015, after being Group CFO from 2008 to 2009. While at the helm of Prudential, Mr. Thiam foresaw the latent potential of insurance markets in Asia and spearheaded the strategy of transforming Prudential’s Asia business into a best-in-class franchise across the region. Within six years, new business premiums from the region nearly doubled to £2.2bn, operating profit more than doubled and dividends to the group increased by 10x. Mr. Thiam also played a key role in navigating Jackson National Life through the 2008-2009 market dislocation. Jackson emerged from the 2008-2009 market dislocation a few years later as a leader in the US variable annuities market. Under Mr. Thiam’s leadership, Prudential created substantial shareholder value by increasing the group’s market capitalization by 3.3x from approximately £10.6 billion in 2009 to approximately £35.3 billion in 2014 (based on 12-month volume-weighted average price). Mr. Thiam also served as a Director of Prudential plc from 2008 to 2015.</w:t>
      </w:r>
    </w:p>
    <w:p>
      <w:pPr>
        <w:spacing w:after="0" w:line="19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Previously, Mr. Thiam served in a variety of leadership roles at Aviva from 2002 to 2007, holding successively the positions of Group Strategy and Development Director, Managing Director of Aviva International, Group Executive Director and Chief Executive Officer, Europe, and being appointed to the Aviva plc board in 2007. Mr. Thiam joined Aviva in 2002 from McKinsey &amp; Company, the consulting firm, where he was a partner. From 1994 to 1999, he was successively CEO of the National Bureau for Technical Studies and Development, and Secretary of</w:t>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Development and Planning, Côte d’Ivoire. Mr. Thiam served as Chairman of the Board of the Association of British Insurers from 2012 to 2014. In addition, Mr. Thiam is a chevalier of the French Legion of Honor, a member of Group of 30, a member of the Board of Directors and the Chair of the Audit Committee of Kering S.A., a member of the International Olympic Committee and a member of its Finance Commission. Mr. Thiam is a graduate from the École Polytechnique in Paris and the École Nationale Supérieure des Mines de Paris (top of his class) and holds an MBA from INSEAD, with distinction.</w:t>
      </w:r>
    </w:p>
    <w:p>
      <w:pPr>
        <w:spacing w:after="0" w:line="160"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Adam Gishen</w:t>
      </w:r>
      <w:r>
        <w:rPr>
          <w:rFonts w:ascii="Times New Roman" w:cs="Times New Roman" w:eastAsia="Times New Roman" w:hAnsi="Times New Roman"/>
          <w:sz w:val="18"/>
          <w:szCs w:val="18"/>
          <w:color w:val="auto"/>
        </w:rPr>
        <w:t>, our Chief Executive Officer, has over 20 years of experience in financial services. Mr. Gishen served in several senior roles at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Suisse from 2015 to 2020, including Head of Investor Relations, Corporate Communications, Marketing and Branding from 2019 to 2020 and Head of Investor Relations and Corporate Communications from 2017 to 2019. Prior to 2015, Mr. Gishen was a Partner at Ondra Partners, a financial advisory firm and prior to that a Managing Director at Nomura in London and Lehman Brothers from 1999 to 2008 where he specialized in the area of Equity Capital Markets. He graduated from University of Leeds.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Abhishek Bhatia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our board of directors, has over 20 years of experience across various geographies and industries. Mr. Bhatia was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FWD group from 2015 to 2020 and served as Group Chief Officer of New Business Models in his last role. Prior to the group role, he served as the CEO of FWD's business in Singapore and established it as an exemplar in digital insurance within four years.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Before joining FWD, Mr. Bhatia spent 15 years with Prudential plc in senior roles across the globe. In his last job with the company, he was Chief Executive Officer, Prudential Poland, where he oversaw the establishment of the company and was instrumental in achieving Prudential’s leadership position in sales technology and product innovation. Prior to that, he was the Regional Director of Insurance based out of Hong Kong. He also held senior roles with Prudential in Malaysia and India. Mr. Bhatia is an Economics Graduate from SRCC, University of Delhi and holds a post-graduate in Management from IIM Kolkata.</w:t>
      </w:r>
    </w:p>
    <w:p>
      <w:pPr>
        <w:spacing w:after="0" w:line="183"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The past performance of our management team is not a guarantee (i) that we will be able to identify a suitable candidate for our initial business combination or (ii) of success with respect to any business combination we may consummate. You should not rely on the historical record of our management team’s or their respective affiliates’ performance as indicative of our future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will seek to acquire one or more businesses which currently or may in the future have the potential to benefit from disruption caused by the convergence of financial services and technology, driven by the exponential increase in data generation, advances in artificial intelligence and robotics, rising processing power and/or ubiquitous global connectivity through smartphones, among other technologies. COVID-19 has accelerated many of these trends and introduced changes in consumer behavior that we believe are here to stay, such as: insurers’ relationship with policyholders shifting away from one that is merely transactional to that of a value-added service provider; increasing usage of telemedicine and digital channels in accessing healthcare; and banks responding to the demands for multi-product and multi-geography solutions and alternative payment methods. We believe that these trends are generating significant market opportunities, and we plan to focus (based on the principles outlined in Business Strategy section) on these technology-</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enabled challenger businesses demonstrating differentiated growth and high scalability potential and that are valued between approximately $ billion and $ billion.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business strategy is to identify opportunities where a combination of capital, talent and network will improve the customer experience and drive value for all stakeholders. Our business strategy focuses on leveraging our proven management team, led by Mr. Thiam with over a decade of combined experience as CEO of Prudential and Credit Suisse, to execute our business strategy, improve profitability and demonstrate growth across mature and emerging markets.</w:t>
      </w:r>
    </w:p>
    <w:p>
      <w:pPr>
        <w:spacing w:after="0" w:line="18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We have chosen our independent board members for the purposes of assisting our sponsors with sourcing and evaluating business combination opportunities and developing plans and strategies to optimize any business that we acquire.</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independent board members are:</w:t>
      </w:r>
    </w:p>
    <w:p>
      <w:pPr>
        <w:spacing w:after="0" w:line="215" w:lineRule="exact"/>
        <w:rPr>
          <w:sz w:val="20"/>
          <w:szCs w:val="20"/>
          <w:color w:val="auto"/>
        </w:rPr>
      </w:pPr>
    </w:p>
    <w:p>
      <w:pPr>
        <w:ind w:left="1420" w:hanging="1088"/>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420" w:hanging="1088"/>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independent board members have been selected for their extensive sector and geographic expertise, operating experience, access to proprietary deal flow, strong relationships with business leaders and entrepreneurs and their ability to source attractive targets and assist us in implementing our business combination strategy. They have held senior leadership positions with companies where they have a strong track record of creating shareholder value, organically and through transformational acquisitions or corporate restructurings, as well as extensive relationships with owners and operators of companies within their respective industries.</w:t>
      </w:r>
    </w:p>
    <w:p>
      <w:pPr>
        <w:spacing w:after="0" w:line="183"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networks and experience of our management team and independent board members provide us with specific competitive advantages over other blank check companies in sourcing attractive targets for the following reasons: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World-class leadership team fueled by the combination of proven management team and Board of Directors.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leadership team has extensive expertise across the target regions and sectors, with private and public board experience as well as a proven track record of generating value for investors across macroeconomic and industry cycles.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Diverse global network drives sourcing of unique opportunities.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leadership team has a broad network of relationships in both the public and private sectors, with access to both mature (U.S. and Europe) and emerging markets (Asia, Latin America and Africa), which we believe will provide us with a range of attractive potential business combinations.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Proven track record of deploying technology in regulated businesses.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management team has substantial experience in managing change and leveraging technology to drive improved business performance across a broad range of sectors, including insurance, banking and wealth/asset management. Their experience covers a diverse range of technology strategies, including both in-house development and joint-venture creation, and have a track-record of successfully deploying these strategies in the past.</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Demonstrated track-record of attracting talent and business scale-up.</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vastly experienced leadership team has experience fostering a company culture which both attracts and retains talent. Our team has a strong track record of achieving sustained business growth as well as significant value creation for investors, with experience in leadership roles at prominent companies.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Extensive experience of disciplined M&amp;A.</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management team and independent board members have a significant background in executing competitive, sizeable and complex transactions. The rigorous and disciplined criteria we intend to use to assess potential acquisitions derives from our leadership team’s collective industry experience across a range of leading companies, which has provided them with a deep understanding of the market as well as expertise in scaling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Criteria</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prospective target businesses. We intend to use these criteria and guidelines in</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evaluating business combination opportunities, although we may decide to enter into our initial business combination with a target business that does not meet these criteria and guidelines.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Large addressable market underpinning long term growth prospects.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will seek to acquire one or more businesses with significant runway to capture market share in a large addressable market, with attractive long-term growth prospects, favorable secular trends and superior unit economics that can be further enhanced through diverse revenue drivers. We will evaluate companies with significant potential to grow both organically and through strategic mergers and acquisitions.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with significant revenue and earnings growth potential.</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will seek to acquire one or more businesses with a leading market position in an attractive industry, with a focus on the financial services sector. We believe scale and technological differentiation can provide a basis for superior competitive performance relative to industry peers. Our team’s deep understanding of the industry as well as our experience in managing businesses and achieving sustainable growth is unparalleled when compared to other sources of equity and growth capital.</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Distinct business strengths driving competitive differentiation and attractive unit economics.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will seek to acquire one or more businesses that has long-term, sustainable competitive differentiation coupled with superior unit economics. We are focused on companies with strong business models and favorable sector tailwinds which we believe can lead to durable and profitable growth.</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Scalable operations.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will seek to acquire one or more businesses that will be able to significantly scale its operations to take advantage of its opportunities. We intend to leverage our management team’s experience in scaling businesses in order to help accelerate growth.</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Uncorrelated returns with minimal cyclicality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seek to acquire one or more businesses with limited susceptibility to cyclical risk and shifts in the macroeconomic environment.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Reputable management team with well-defined vision and credible track record.</w:t>
      </w:r>
    </w:p>
    <w:p>
      <w:pPr>
        <w:spacing w:after="0" w:line="229"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auto"/>
        </w:rPr>
        <w:t>We will seek to acquire one or more businesses with a professional management team which has a clear and compelling vision for the company, with skills that complement the expertise of our founders and whose interests are aligned with those of our investors. Where necessary, we may also look to complement and enhance the capabilities of the target business’ management team by recruiting additional talent through our deep network of contacts.</w:t>
      </w:r>
    </w:p>
    <w:p>
      <w:pPr>
        <w:spacing w:after="0" w:line="15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materials or tender offer documents that we would file with the SEC. In addition to any potential business candidates we may identify on our own, we anticipate that other target business candidates will be brought to our attention from various unaffiliated sources, including investment market participants, private equity funds, and large business enterprises seeking to divest non-core assets or divisions.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rules of the NYSE require and our amended and restated memorandum and articles of association provide that we must consummate an initial business combination with one or more operating businesses or assets with a fair market value equal to at least 80% of the net assets held in the trust account (excluding the amount of any deferred underwriting commission held in trust) as determined at the time of our signing a definitive agreement in connection with our initial business combination. Our board of directors will make the determination as to the fair market value of our initial business combination upon standards generally accepted by the financial community. If our board of directors is not able to independently determine the fair market value of our initial business combination (including with the assistance of financial advisors), we will obtain an opinion from an independent investment banking firm that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including if such company is at an early stage of development, operations or growth, or if the anticipated transaction involves a complex financial analysis or other specialized skills and the board of directors determines that outside expertise would be helpful or necessary in conducting such analysis. As any such opinion, if obtained, would only state that the fair market value meets the 80% of net assets threshold, unless such opinion includes material information regarding the valuation of the target or the consideration to be provided, it is not anticipated that copies of such opinion would be distributed to our shareholders. However, if required by Schedule 14A of the Exchange Act, any proxy solicitation materials or tender offer documents that we will file with the SEC in connection with our initial business combination will include such opinion.</w:t>
      </w:r>
    </w:p>
    <w:p>
      <w:pPr>
        <w:spacing w:after="0" w:line="19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post-transaction company in which our public shareholders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third-parties in connection with financing our initial business combination.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outstanding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of Potential Business Combination Targets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management team’s significant operating and transaction experience and relationships will provide us with a substantial number of potential initial business combination targets. Over the course of their careers, the members of our management team have developed a broad network of contacts and corporate relationships around the world. This network has grown through the activities of our management team sourcing, acquiring and financing businesses, the reputation of our management team for integrity and fair dealing with sellers, financing sources and target management teams and the experience of our management team in executing transactions under varying economic and financial market conditions.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network has provided our management team with a flow of referrals that has resulted in numerous transactions which were proprietary or where a limited group of investors were invited to participate in the sale process. We believe that the network of contacts and relationships of our management team will provide us with important sources of investment opportunities. In addition, we anticipate that target business combination candidates will be brought to our attention from various unaffiliated sources, including investment market participants, private equity funds and large business enterprises seeking to divest non-core assets or divisions.</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and disinterested directors, would obtain an opinion from an independent investment banking firm that is a member of FINRA or a valuation or appraisal firm that such an initial business combination is fair to our company from a financial point of view. We are not required to obtain such an opinion in any other context.</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the fiduciary duties or contractual obligations of our officers or directors will materially affect our ability to complete our initial business combination.</w:t>
      </w:r>
    </w:p>
    <w:p>
      <w:pPr>
        <w:spacing w:after="0" w:line="194" w:lineRule="exact"/>
        <w:rPr>
          <w:sz w:val="20"/>
          <w:szCs w:val="20"/>
          <w:color w:val="auto"/>
        </w:rPr>
      </w:pPr>
    </w:p>
    <w:p>
      <w:pPr>
        <w:ind w:right="320" w:firstLine="324"/>
        <w:spacing w:after="0" w:line="281" w:lineRule="auto"/>
        <w:rPr>
          <w:sz w:val="20"/>
          <w:szCs w:val="20"/>
          <w:color w:val="auto"/>
        </w:rPr>
      </w:pPr>
      <w:r>
        <w:rPr>
          <w:rFonts w:ascii="Times New Roman" w:cs="Times New Roman" w:eastAsia="Times New Roman" w:hAnsi="Times New Roman"/>
          <w:sz w:val="17"/>
          <w:szCs w:val="17"/>
          <w:color w:val="auto"/>
        </w:rPr>
        <w:t>In addition, our sponsor and our officers and directors may sponsor, form, invest in or otherwise become involved with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6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a Public Company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stock, shares or other equity interests in the target business for our Class A ordinary shares (or shares of a new holding company) or for a combination of our Class A ordinary shares and cash, allowing us to tailor the consideration to the specific needs of the sellers. We believe target businesses will</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market and other uncertainties in the initial public offering process, including underwriting discounts and commissions, marketing and road show efforts that may not be present to the same extent in connection with a business combination with us.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8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the possible requirement that we seek shareholder approval of a proposed initial business combination, negatively.</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 and (2) the date on which we have issued more than $1.0 billion in non-convertible debt securities during the prior three-year period.</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With funds available for a business combination initially in the amount of $241,250,000 (assuming no redemptions), after payment of $8,750,000 of deferred underwriting fees (or $277,437,500 (assuming no redemptions) after payment of $10,062,500 of deferred underwriting fees if the underwriters’ over-allotment option is exercised in full), in each case, after estimated offering expenses and working capital costs of $2,000,000,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Effecting Our Initial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companies in the financial services sector. Accordingly, there is no current basis for investors in this offering to evaluate the possible merits or risks of the target business with which we may ultimately complete our initial business combination.</w:t>
      </w:r>
    </w:p>
    <w:p>
      <w:pPr>
        <w:spacing w:after="0" w:line="183"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with enterprise values that are greater than we could acquire solely with the net proceeds of this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shareholder approval of such financing.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At this time, we are not a party to any arrangement or understanding with any third party with respect to raising any additional funds through the sale of securities or otherwise. None of our sponsors, officers, directors or shareholders is required to provide any financing to us in connection with or after our initial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Target Businesses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bankers and private investment funds. Target businesses may be brought to our attention by such unaffiliated sources as a result of being solicited through calls or mailings. These sources may also introduce us to target businesses in which they think we may be interested on an unsolicited basis, since many of these sources will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track record and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or an affiliate thereof up to $15,000 per month for office space, utilities, secretarial and administrative support services provided to members of our management team and other expenses and obligations of our sponsor. Any such payments prior to our initial business combination will be made from funds held outside the trust account.</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and disinterested directors, would obtain an opinion from an independent investment banking firm that is a member of FINRA or a valuation or appraisal firm that such an initial business combination is fair to our company from a financial point of view. We are not required to obtain such an opinion in any other context.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a Target Business and Structuring of Our Initial Business Combination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Business Diversification</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80" w:lineRule="exact"/>
        <w:rPr>
          <w:sz w:val="20"/>
          <w:szCs w:val="20"/>
          <w:color w:val="auto"/>
        </w:rPr>
      </w:pPr>
    </w:p>
    <w:p>
      <w:pPr>
        <w:ind w:left="660" w:right="44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Ability to Evaluate the Target’s Management Team</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May Not Have the Ability to Approve Our Initial Business Combination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reasons.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NYSE’s listing rules, shareholder approval would be required for our initial business combination if, for example:</w:t>
      </w:r>
    </w:p>
    <w:p>
      <w:pPr>
        <w:spacing w:after="0" w:line="225" w:lineRule="exact"/>
        <w:rPr>
          <w:sz w:val="20"/>
          <w:szCs w:val="20"/>
          <w:color w:val="auto"/>
        </w:rPr>
      </w:pPr>
    </w:p>
    <w:p>
      <w:pPr>
        <w:ind w:left="660" w:right="3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ordinary shares that will either (a) be equal to or in excess of 20% of the number of our ordinary shares then outstanding or (b) have voting power equal to or in excess of 20% of the voting power then outstanding (in each case, other than in a public offering for cash);</w:t>
      </w:r>
    </w:p>
    <w:p>
      <w:pPr>
        <w:spacing w:after="0" w:line="161"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or substantial security holders (as defined by the NYSE rules) has a 5% or greater interest (or such persons collectively have a 10% or greater interest), directly or indirectly, in the target business or assets to be acquired and if the number of ordinary shares to be issued, or if the number of ordinary shares into which the securities may be convertible or exercisable, exceeds either (a) 1% of the number of ordinary shares or 1% of the voting power outstanding before the issuance in the case of any of our directors and officers or (b) 5% of the number of ordinary shares or 5% of the voting power outstanding before the issuance in the case of any substantial security holders; or</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Companies Act and Cayman Islands law do not currently require, and we are not aware of any other applicable law that will require, shareholder approval of our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Permitted Purchases of Our Securities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initial shareholders, directors, officers, advisors or their affiliates may purchase public shares or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NYSE rules.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be restricted from making any such purchases when they are in possession of any material non-public information or if such purchases are prohibited by Regulation M under the Exchange Act.</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the event that our initial shareholders,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purpose of any such purchases of shares could be to (i) vote such shares in favor of the initial business combination and thereby increase the likelihood of obtaining shareholder approval of the initial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sponsor, officers, directors and/or their affiliates anticipate that they may identify the shareholders with whom our initial shareholders,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officers, directors, advisors or any of their affiliates will select which shareholders to purchase shares from based on a negotiated price and number of shares and any other factors that they may deem relevant, and will be restricted from making any such purchases unless they comply with Regulation M under the Exchange Act and the other federal securities laws. Our sponsor, officers, directors and/or their affiliates will be restricted from making purchases of shares if the purchases would violate Section 9(a)(2) or Rule 10b-5 of the Exchange Act. Any such purchases may be required to be reported pursuant to Section 13 and Section 16 of the Exchange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 for Public Shareholders upon Completion of Our Initial Business Combination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At the completion of our initial business combination, we will be required to purchase any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public shares held by them in connection with the completion of our initial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Redemptions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Conducting Redemptions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Class A ordinary shares upon the completion of our initial business combination either (i) in connection with a general meeting called to approve the initial business combination or (ii) without a shareholder vote by means of a tender offer. The decision as to whether we will seek shareholder approval of a proposed initial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Asset acquisitions and share purchases would not typically require shareholder approval while direct mergers with our company and any transactions where we issue more than 20% of our issued and outstanding ordinary shares or seek to amend our amended and restated memorandum and articles of association would typically require shareholder approval. So long as we obtain and maintain a listing for our securities on the NYSE, we will be required to comply with the NYSE’s shareholder approval rules.</w:t>
      </w:r>
    </w:p>
    <w:p>
      <w:pPr>
        <w:spacing w:after="0" w:line="18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requirement that we provide our public shareholders with the opportunity to redeem their public shares by one of the two methods listed above will be contained in provisions of our amended and restated memorandum and articles of association and will apply whether or not we maintain our registration under the Exchange Act or our listing on the NYSE. Such provisions may be amended if approved by holders of two-thirds of our ordinary shares entitled to vote thereon, so long as we offer redemption in connection with such amendment.</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we provide our public shareholders with the opportunity to redeem their public shares in connection with a general meeting, we will, pursuant to our amended and restated memorandum and articles of association:</w:t>
      </w:r>
    </w:p>
    <w:p>
      <w:pPr>
        <w:spacing w:after="0" w:line="162" w:lineRule="exact"/>
        <w:rPr>
          <w:sz w:val="20"/>
          <w:szCs w:val="20"/>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22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the event that we seek shareholder approval of our initial business combination, we will distribute proxy materials and, in connection therewith, provide our public shareholders with the redemption rights described above.</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A quorum for such meeting will be present if the holders of a majority of issued and outstanding shares entitled to vote at the meeting are represented in person or by proxy. Our sponsor, officers and directors will count toward this quorum and, pursuant to the letter agreement, our sponsor, officers and directors have agreed to vote any founder shares and public shares held by them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9,375,001, or 37.5%, of the 25,000,000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 of our initial shareholders, officers and directors, may make it more likely that we will consummate our initial business combination. Each public shareholder may elect to redeem their public shares without voting and, if they do vote, irrespective of whether they vote for or against the proposed transaction.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 shareholder vote is not required and we do not decide to hold a shareholder vote for business or other reasons, we will:</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9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 However, our amended and restated memorandum and articles of association provide, among other things, that prior to our initial business combination, we may not issue additional securities that would entitle the holders thereof to (i) receive funds from the trust account or (ii) vote on any initial business combination.</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Redemption upon Completion of Our Initial Business Combination If We Seek Shareholder Approval</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redeem their shares as a means to force us, our sponsor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9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However, we would not be restricting our shareholders’ ability to vote all of their shares (including Excess Shares) for or against our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Delivering Share Certificates in Connection with the Exercise of Redemption Rights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Any request to redeem such shares, once made, may be withdrawn at any time up to the date set forth in the proxy materials or tender offer documents, as applicable (unless we elect to allow additional withdrawal rights).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our initial proposed business combination is not completed, we may continue to try to complete a business combination with a different target until 24 months from the closing of this offering or during any Extension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Public Shares and Liquidation if No Initial Business Combination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we will have only 24 months from the closing of this offering to complete our initial business combination. If we have not completed our initial business combination within such 24-month period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 or during any Extension Period.</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sponsor, officers and directors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9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income taxes on interest income earned on the trust account balance, we may request the trustee to release to us an additional amount of up to $100,000 of such accrued interest income to pay those costs and expenses.</w:t>
      </w:r>
    </w:p>
    <w:p>
      <w:pPr>
        <w:spacing w:after="0" w:line="187"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funds deposited in the trust account could, however, become subject to the claims of our creditors</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76"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LLP, our independent registered public accounting firm, and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(other than Marcum LLP, our independent registered public accounting firm)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the event that the funds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for example, the cost of such legal action is deemed by the independent directors to be too high relative to the amount recoverable or if the independent directors determine that a favorable outcome is not likely. Accordingly, we cannot assure you that due to claims of creditors the actual value of the per-share redemption price will not be substantially less than $10.00 per share.</w:t>
      </w:r>
    </w:p>
    <w:p>
      <w:pPr>
        <w:spacing w:after="0" w:line="18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vendors, service providers, prospective target businesses and other entities with</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8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we file a bankruptcy or winding-up petition or an involuntary bankruptcy or winding-up petition is filed against us that is not dismissed, the funds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or winding-up petition or an involuntary bankruptcy or winding-up petition is filed against us that is not dismissed, any distributions received by shareholders could be viewed under applicable debtor/creditor and/or bankruptcy or insolvency laws as either a “preferential transfer” or a “fraudulent conveyance.” As a result, a bankruptcy or insolvency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(i) in the event of the redemption of our public shares if we do not complete our initial business combination within 24 months from the closing of this offering, (ii)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or (iii) if they redeem their respective shares for cash upon the completion of our initial business combination.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88" w:lineRule="exact"/>
        <w:rPr>
          <w:sz w:val="20"/>
          <w:szCs w:val="20"/>
          <w:color w:val="auto"/>
        </w:rPr>
      </w:pPr>
    </w:p>
    <w:p>
      <w:pPr>
        <w:jc w:val="center"/>
        <w:ind w:left="360" w:right="22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Redemption or Purchase Prices in Connection with Our Initial Business Combination and if We Fail to Complete Our Initial Business Combination.</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compares the redemptions and other permitted purchases of public shares that may take place in connection with the completion of our initial business combination and if we have not completed our initial business combination within 24 months from the closing of this offering or during any Extension Period.</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98"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Redemptions in Connection with</w:t>
            </w: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Our Initial Business</w:t>
            </w:r>
          </w:p>
        </w:tc>
        <w:tc>
          <w:tcPr>
            <w:tcW w:w="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Other Permitted Purchases of</w:t>
            </w:r>
          </w:p>
        </w:tc>
      </w:tr>
      <w:tr>
        <w:trPr>
          <w:trHeight w:val="238"/>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Combination</w:t>
            </w:r>
          </w:p>
        </w:tc>
        <w:tc>
          <w:tcPr>
            <w:tcW w:w="20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Shares by Our Affiliates</w:t>
            </w: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17233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8220" w:space="480"/>
            <w:col w:w="2440"/>
          </w:cols>
          <w:pgMar w:left="320" w:top="225" w:right="439" w:bottom="1440" w:gutter="0" w:footer="0" w:header="0"/>
        </w:sectPr>
      </w:pPr>
    </w:p>
    <w:p>
      <w:pPr>
        <w:ind w:left="180"/>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Calculation of redemption or</w:t>
      </w:r>
      <w:r>
        <w:rPr>
          <w:sz w:val="20"/>
          <w:szCs w:val="20"/>
          <w:color w:val="auto"/>
        </w:rPr>
        <w:tab/>
      </w:r>
      <w:r>
        <w:rPr>
          <w:rFonts w:ascii="Times New Roman" w:cs="Times New Roman" w:eastAsia="Times New Roman" w:hAnsi="Times New Roman"/>
          <w:sz w:val="17"/>
          <w:szCs w:val="17"/>
          <w:color w:val="auto"/>
        </w:rPr>
        <w:t>Redemptions at the time of our</w:t>
      </w:r>
    </w:p>
    <w:p>
      <w:pPr>
        <w:spacing w:after="0" w:line="31" w:lineRule="exact"/>
        <w:rPr>
          <w:sz w:val="20"/>
          <w:szCs w:val="20"/>
          <w:color w:val="auto"/>
        </w:rPr>
      </w:pPr>
    </w:p>
    <w:p>
      <w:pPr>
        <w:ind w:left="340"/>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purchase price</w:t>
      </w:r>
      <w:r>
        <w:rPr>
          <w:sz w:val="20"/>
          <w:szCs w:val="20"/>
          <w:color w:val="auto"/>
        </w:rPr>
        <w:tab/>
      </w:r>
      <w:r>
        <w:rPr>
          <w:rFonts w:ascii="Times New Roman" w:cs="Times New Roman" w:eastAsia="Times New Roman" w:hAnsi="Times New Roman"/>
          <w:sz w:val="17"/>
          <w:szCs w:val="17"/>
          <w:color w:val="auto"/>
        </w:rPr>
        <w:t>initial business combination may be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made pursuant to a tender offer or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 connection with a shareholder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vote. The redemption price will be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the same whether we conduct</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redemptions pursuant to a tender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offer or in connection with a</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shareholder vote. In either case, our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public shareholders may redeem</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their public shares for cash equal to</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the aggregate amount then on</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deposit in the trust account</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calculated as of two business days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prior to the consummation of the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initial business combination (which</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is initially anticipated to be $10.00</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per share), including interest earned</w:t>
      </w:r>
    </w:p>
    <w:p>
      <w:pPr>
        <w:spacing w:after="0" w:line="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on the funds held in the trust</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account and not previously released</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to us to pay our taxes, divided by</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the number of then outstanding</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public shares, subject to the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limitation that no redemptions will</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take place if all of the redemptions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would cause our net tangible assets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to be less than $5,000,001 and any</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limitations (including but not</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limited to cash requirements)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agreed to in connection with the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negotiation of terms of a proposed</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our initial shareholders, directors, officers, advisors or their affiliates may purchase shares in privately negotiated transactions or in the open market either prior to or following completion of our initial business combination. There is no limit to the prices that our initial shareholders, directors, officers, advisors or their affiliates may pay in these transactions. If they engage in such transactions, they will be restricted from making any such purchases when they are in possession of any material nonpublic information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If we have not completed our initial business combination within 24 months from the closing of this offering or during any Extension Period,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(less taxes payable and up to $100,000 of interest income to pay dissolution expenses) divided by the number of then outstanding public shares.</w:t>
      </w:r>
    </w:p>
    <w:p>
      <w:pPr>
        <w:spacing w:after="0" w:line="3375" w:lineRule="exact"/>
        <w:rPr>
          <w:sz w:val="20"/>
          <w:szCs w:val="20"/>
          <w:color w:val="auto"/>
        </w:rPr>
      </w:pPr>
    </w:p>
    <w:p>
      <w:pPr>
        <w:sectPr>
          <w:pgSz w:w="11900" w:h="16838" w:orient="portrait"/>
          <w:cols w:equalWidth="0" w:num="3">
            <w:col w:w="5400" w:space="220"/>
            <w:col w:w="2600" w:space="220"/>
            <w:col w:w="2700"/>
          </w:cols>
          <w:pgMar w:left="320" w:top="225" w:right="4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Impact to remaining shareholder </w:t>
      </w:r>
      <w:r>
        <w:rPr>
          <w:rFonts w:ascii="Times New Roman" w:cs="Times New Roman" w:eastAsia="Times New Roman" w:hAnsi="Times New Roman"/>
          <w:sz w:val="18"/>
          <w:szCs w:val="18"/>
          <w:color w:val="auto"/>
        </w:rPr>
        <w:t>The redemptions in connection with</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our initial business combination</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will reduce the book value per share</w:t>
      </w:r>
    </w:p>
    <w:p>
      <w:pPr>
        <w:spacing w:after="0" w:line="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for our remaining shareholders,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who will bear the burden of the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deferred underwriting commissions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and interest withdrawn in order to</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pay our taxes (to the extent not paid</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from amounts accrued as interest on</w:t>
      </w:r>
    </w:p>
    <w:p>
      <w:pPr>
        <w:spacing w:after="0" w:line="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the funds held in the trust account).</w:t>
      </w:r>
    </w:p>
    <w:p>
      <w:pPr>
        <w:spacing w:after="0" w:line="20" w:lineRule="exact"/>
        <w:rPr>
          <w:sz w:val="20"/>
          <w:szCs w:val="20"/>
          <w:color w:val="auto"/>
        </w:rPr>
      </w:pPr>
      <w:r>
        <w:rPr>
          <w:sz w:val="20"/>
          <w:szCs w:val="20"/>
          <w:color w:val="auto"/>
        </w:rPr>
        <w:br w:type="column"/>
      </w:r>
    </w:p>
    <w:p>
      <w:pPr>
        <w:ind w:left="100"/>
        <w:spacing w:after="0" w:line="258" w:lineRule="auto"/>
        <w:rPr>
          <w:sz w:val="20"/>
          <w:szCs w:val="20"/>
          <w:color w:val="auto"/>
        </w:rPr>
      </w:pPr>
      <w:r>
        <w:rPr>
          <w:rFonts w:ascii="Times New Roman" w:cs="Times New Roman" w:eastAsia="Times New Roman" w:hAnsi="Times New Roman"/>
          <w:sz w:val="18"/>
          <w:szCs w:val="18"/>
          <w:color w:val="auto"/>
        </w:rPr>
        <w:t>If the permitted purchases described above are made, there would be no impact to our remaining shareholders because the purchase price would not be paid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Times New Roman" w:cs="Times New Roman" w:eastAsia="Times New Roman" w:hAnsi="Times New Roman"/>
          <w:sz w:val="17"/>
          <w:szCs w:val="17"/>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3">
            <w:col w:w="5420" w:space="100"/>
            <w:col w:w="2720" w:space="200"/>
            <w:col w:w="2700"/>
          </w:cols>
          <w:pgMar w:left="320" w:top="225" w:right="43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This Offering to Those of Blank Check Companies Subject to Rule 419</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40"/>
          </w:cols>
          <w:pgMar w:left="320" w:top="225" w:right="439" w:bottom="1440" w:gutter="0" w:footer="0" w:header="0"/>
        </w:sectPr>
      </w:pP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Terms of Our Offering</w:t>
            </w:r>
          </w:p>
        </w:tc>
      </w:tr>
      <w:tr>
        <w:trPr>
          <w:trHeight w:val="353"/>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Escrow of offering proceeds</w:t>
            </w:r>
          </w:p>
        </w:tc>
        <w:tc>
          <w:tcPr>
            <w:tcW w:w="4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$250,000,000 of the net proceeds of this offering</w:t>
            </w:r>
          </w:p>
        </w:tc>
      </w:tr>
      <w:tr>
        <w:trPr>
          <w:trHeight w:val="216"/>
        </w:trPr>
        <w:tc>
          <w:tcPr>
            <w:tcW w:w="284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and the sale of the private placement warrants</w:t>
            </w:r>
          </w:p>
        </w:tc>
      </w:tr>
      <w:tr>
        <w:trPr>
          <w:trHeight w:val="216"/>
        </w:trPr>
        <w:tc>
          <w:tcPr>
            <w:tcW w:w="284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will be deposited into a trust account at J.P.</w:t>
            </w:r>
          </w:p>
        </w:tc>
      </w:tr>
      <w:tr>
        <w:trPr>
          <w:trHeight w:val="216"/>
        </w:trPr>
        <w:tc>
          <w:tcPr>
            <w:tcW w:w="284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Morgan Chase Bank, N.A., located in the United</w:t>
            </w:r>
          </w:p>
        </w:tc>
      </w:tr>
      <w:tr>
        <w:trPr>
          <w:trHeight w:val="216"/>
        </w:trPr>
        <w:tc>
          <w:tcPr>
            <w:tcW w:w="284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States with Continental Stock Transfer &amp; Trust</w:t>
            </w:r>
          </w:p>
        </w:tc>
      </w:tr>
      <w:tr>
        <w:trPr>
          <w:trHeight w:val="234"/>
        </w:trPr>
        <w:tc>
          <w:tcPr>
            <w:tcW w:w="2840" w:type="dxa"/>
            <w:vAlign w:val="bottom"/>
          </w:tcPr>
          <w:p>
            <w:pPr>
              <w:spacing w:after="0"/>
              <w:rPr>
                <w:sz w:val="20"/>
                <w:szCs w:val="20"/>
                <w:color w:val="auto"/>
              </w:rPr>
            </w:pPr>
          </w:p>
        </w:tc>
        <w:tc>
          <w:tcPr>
            <w:tcW w:w="4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Company acting as trustee.</w:t>
            </w: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2289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Approximately $212,625,000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19" w:lineRule="exact"/>
        <w:rPr>
          <w:sz w:val="20"/>
          <w:szCs w:val="20"/>
          <w:color w:val="auto"/>
        </w:rPr>
      </w:pPr>
    </w:p>
    <w:p>
      <w:pPr>
        <w:sectPr>
          <w:pgSz w:w="11900" w:h="16838" w:orient="portrait"/>
          <w:cols w:equalWidth="0" w:num="2">
            <w:col w:w="7340" w:space="200"/>
            <w:col w:w="3600"/>
          </w:cols>
          <w:pgMar w:left="320" w:top="225" w:right="439" w:bottom="1440" w:gutter="0" w:footer="0" w:header="0"/>
          <w:type w:val="continuous"/>
        </w:sectPr>
      </w:pPr>
    </w:p>
    <w:p>
      <w:pPr>
        <w:ind w:left="1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Investment of net proceeds</w:t>
      </w:r>
      <w:r>
        <w:rPr>
          <w:sz w:val="20"/>
          <w:szCs w:val="20"/>
          <w:color w:val="auto"/>
        </w:rPr>
        <w:tab/>
      </w:r>
      <w:r>
        <w:rPr>
          <w:rFonts w:ascii="Times New Roman" w:cs="Times New Roman" w:eastAsia="Times New Roman" w:hAnsi="Times New Roman"/>
          <w:sz w:val="17"/>
          <w:szCs w:val="17"/>
          <w:color w:val="auto"/>
        </w:rPr>
        <w:t>$250,000,000 of the net proceeds of this offering</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and the sale of the private placement warrants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held in trust will be invested only in U.S.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government treasury obligations with a maturity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 185 days or less or in money market funds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meeting certain conditions under Rule 2a-7 under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the Investment Company Act which invest only in</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direct U.S. government treasury obligations.</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561" w:lineRule="exact"/>
        <w:rPr>
          <w:sz w:val="20"/>
          <w:szCs w:val="20"/>
          <w:color w:val="auto"/>
        </w:rPr>
      </w:pPr>
    </w:p>
    <w:p>
      <w:pPr>
        <w:sectPr>
          <w:pgSz w:w="11900" w:h="16838" w:orient="portrait"/>
          <w:cols w:equalWidth="0" w:num="2">
            <w:col w:w="7340" w:space="200"/>
            <w:col w:w="3600"/>
          </w:cols>
          <w:pgMar w:left="320" w:top="225" w:right="439" w:bottom="1440" w:gutter="0" w:footer="0" w:header="0"/>
          <w:type w:val="continuous"/>
        </w:sectPr>
      </w:pPr>
    </w:p>
    <w:p>
      <w:pPr>
        <w:ind w:left="1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Receipt of interest on escrowed funds</w:t>
      </w:r>
      <w:r>
        <w:rPr>
          <w:sz w:val="20"/>
          <w:szCs w:val="20"/>
          <w:color w:val="auto"/>
        </w:rPr>
        <w:tab/>
      </w:r>
      <w:r>
        <w:rPr>
          <w:rFonts w:ascii="Times New Roman" w:cs="Times New Roman" w:eastAsia="Times New Roman" w:hAnsi="Times New Roman"/>
          <w:sz w:val="18"/>
          <w:szCs w:val="18"/>
          <w:color w:val="auto"/>
        </w:rPr>
        <w:t>Interest on proceeds from the trust account to be</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paid to shareholders is reduced by (i) any taxes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paid or payable and (ii) in the event of our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liquidation for failure to complete our initial</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business combination within the allotted time, up</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to $100,000 of net interest that may be released to</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us should we have no or insufficient working</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capital to fund the costs and expenses of our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dissolution and liquidation.</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040" w:lineRule="exact"/>
        <w:rPr>
          <w:sz w:val="20"/>
          <w:szCs w:val="20"/>
          <w:color w:val="auto"/>
        </w:rPr>
      </w:pPr>
    </w:p>
    <w:p>
      <w:pPr>
        <w:sectPr>
          <w:pgSz w:w="11900" w:h="16838" w:orient="portrait"/>
          <w:cols w:equalWidth="0" w:num="2">
            <w:col w:w="7320" w:space="220"/>
            <w:col w:w="3600"/>
          </w:cols>
          <w:pgMar w:left="320" w:top="225" w:right="439" w:bottom="1440" w:gutter="0" w:footer="0" w:header="0"/>
          <w:type w:val="continuous"/>
        </w:sectPr>
      </w:pP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98" w:lineRule="exact"/>
        <w:rPr>
          <w:sz w:val="20"/>
          <w:szCs w:val="20"/>
          <w:color w:val="auto"/>
        </w:rPr>
      </w:pPr>
    </w:p>
    <w:p>
      <w:pPr>
        <w:jc w:val="right"/>
        <w:ind w:right="52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Terms of Our Offering</w:t>
      </w:r>
      <w:r>
        <w:rPr>
          <w:sz w:val="20"/>
          <w:szCs w:val="20"/>
          <w:color w:val="auto"/>
        </w:rPr>
        <w:tab/>
      </w:r>
      <w:r>
        <w:rPr>
          <w:rFonts w:ascii="Times New Roman" w:cs="Times New Roman" w:eastAsia="Times New Roman" w:hAnsi="Times New Roman"/>
          <w:sz w:val="17"/>
          <w:szCs w:val="17"/>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19685</wp:posOffset>
            </wp:positionV>
            <wp:extent cx="47148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185" w:lineRule="exact"/>
        <w:rPr>
          <w:sz w:val="20"/>
          <w:szCs w:val="20"/>
          <w:color w:val="auto"/>
        </w:rPr>
      </w:pPr>
    </w:p>
    <w:p>
      <w:pPr>
        <w:ind w:left="50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as determined at the time of the agreement to enter into the initial business combination.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fair value or net assets of a target business must represent at least 80% of the maximum offering proceeds.</w:t>
      </w:r>
    </w:p>
    <w:p>
      <w:pPr>
        <w:spacing w:after="0" w:line="1198" w:lineRule="exact"/>
        <w:rPr>
          <w:sz w:val="20"/>
          <w:szCs w:val="20"/>
          <w:color w:val="auto"/>
        </w:rPr>
      </w:pPr>
    </w:p>
    <w:p>
      <w:pPr>
        <w:sectPr>
          <w:pgSz w:w="11900" w:h="16838" w:orient="portrait"/>
          <w:cols w:equalWidth="0" w:num="3">
            <w:col w:w="3180" w:space="540"/>
            <w:col w:w="3620" w:space="200"/>
            <w:col w:w="3600"/>
          </w:cols>
          <w:pgMar w:left="320" w:top="225" w:right="4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Class A ordinary shares and warrants comprising the units will begin separate trading on the 52nd day following the date of this prospectus (or the immediately following business day if such 52nd day is not a business day) unless J.P. Morgan Securities LLC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20" w:lineRule="exact"/>
        <w:rPr>
          <w:sz w:val="20"/>
          <w:szCs w:val="20"/>
          <w:color w:val="auto"/>
        </w:rPr>
      </w:pPr>
      <w:r>
        <w:rPr>
          <w:sz w:val="20"/>
          <w:szCs w:val="20"/>
          <w:color w:val="auto"/>
        </w:rPr>
        <w:br w:type="column"/>
      </w: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No trading of the units or the underlying Class A ordinary shares and warrants would be permitted until the completion of a business combination.</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this period, the securities would be held in the escrow or trust account.</w:t>
      </w:r>
    </w:p>
    <w:p>
      <w:pPr>
        <w:spacing w:after="0" w:line="3362" w:lineRule="exact"/>
        <w:rPr>
          <w:sz w:val="20"/>
          <w:szCs w:val="20"/>
          <w:color w:val="auto"/>
        </w:rPr>
      </w:pPr>
    </w:p>
    <w:p>
      <w:pPr>
        <w:sectPr>
          <w:pgSz w:w="11900" w:h="16838" w:orient="portrait"/>
          <w:cols w:equalWidth="0" w:num="3">
            <w:col w:w="3000" w:space="720"/>
            <w:col w:w="3580" w:space="240"/>
            <w:col w:w="3600"/>
          </w:cols>
          <w:pgMar w:left="320" w:top="225" w:right="4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The warrants cannot be exercised until the later of 30 days after the completion of our initial business combination and 12 months from the closing of this offering.</w:t>
      </w:r>
    </w:p>
    <w:p>
      <w:pPr>
        <w:spacing w:after="0" w:line="34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We will provide our public shareholders with the opportunity to redeem their public shares for cash at a per-share price equal to the aggregate amount then on deposit in the trust account calculated as of two business days prior to the consummation of our initial business combination, including interest earned on the funds held in the trust account and not previously released</w:t>
      </w:r>
    </w:p>
    <w:p>
      <w:pPr>
        <w:spacing w:after="0" w:line="20" w:lineRule="exact"/>
        <w:rPr>
          <w:sz w:val="20"/>
          <w:szCs w:val="20"/>
          <w:color w:val="auto"/>
        </w:rPr>
      </w:pPr>
      <w:r>
        <w:rPr>
          <w:sz w:val="20"/>
          <w:szCs w:val="20"/>
          <w:color w:val="auto"/>
        </w:rPr>
        <w:br w:type="column"/>
      </w:r>
    </w:p>
    <w:p>
      <w:pPr>
        <w:ind w:right="220"/>
        <w:spacing w:after="0" w:line="258" w:lineRule="auto"/>
        <w:rPr>
          <w:sz w:val="20"/>
          <w:szCs w:val="20"/>
          <w:color w:val="auto"/>
        </w:rPr>
      </w:pPr>
      <w:r>
        <w:rPr>
          <w:rFonts w:ascii="Times New Roman" w:cs="Times New Roman" w:eastAsia="Times New Roman" w:hAnsi="Times New Roman"/>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w:t>
      </w:r>
    </w:p>
    <w:p>
      <w:pPr>
        <w:spacing w:after="0" w:line="219" w:lineRule="exact"/>
        <w:rPr>
          <w:sz w:val="20"/>
          <w:szCs w:val="20"/>
          <w:color w:val="auto"/>
        </w:rPr>
      </w:pPr>
    </w:p>
    <w:p>
      <w:pPr>
        <w:sectPr>
          <w:pgSz w:w="11900" w:h="16838" w:orient="portrait"/>
          <w:cols w:equalWidth="0" w:num="3">
            <w:col w:w="3000" w:space="720"/>
            <w:col w:w="3600" w:space="220"/>
            <w:col w:w="3600"/>
          </w:cols>
          <w:pgMar w:left="320" w:top="225" w:right="439" w:bottom="1440" w:gutter="0" w:footer="0" w:header="0"/>
          <w:type w:val="continuous"/>
        </w:sectPr>
      </w:pP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98" w:lineRule="exact"/>
        <w:rPr>
          <w:sz w:val="20"/>
          <w:szCs w:val="20"/>
          <w:color w:val="auto"/>
        </w:rPr>
      </w:pPr>
    </w:p>
    <w:p>
      <w:pPr>
        <w:jc w:val="right"/>
        <w:ind w:right="48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Terms of Our Offering</w:t>
      </w:r>
      <w:r>
        <w:rPr>
          <w:sz w:val="20"/>
          <w:szCs w:val="20"/>
          <w:color w:val="auto"/>
        </w:rPr>
        <w:tab/>
      </w:r>
      <w:r>
        <w:rPr>
          <w:rFonts w:ascii="Times New Roman" w:cs="Times New Roman" w:eastAsia="Times New Roman" w:hAnsi="Times New Roman"/>
          <w:sz w:val="17"/>
          <w:szCs w:val="17"/>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19685</wp:posOffset>
            </wp:positionV>
            <wp:extent cx="47148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p>
      <w:pPr>
        <w:spacing w:after="0" w:line="18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to us to pay our taxes, divided by the number of</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then outstanding public shares, upon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completion of our initial business combination,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subject to the limitations and on the conditions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described herein. We may not be required by law</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to hold a shareholder vote. If we are not required</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by law and do not otherwise decide to hold a</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 vote, we will, pursuant to our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amended and restated memorandum and articles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 association, conduct the redemptions pursuant</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to the tender offer rules of the SEC and file tender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offer documents with the SEC which will contain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substantially the same financial and other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information about the initial business combination</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and the redemption rights as is required under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SEC’s proxy rules. If, however, we hold a</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 vote, we will, like many blank check</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companies, offer to redeem shares in conjunction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with a proxy solicitation pursuant to the proxy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rules and not pursuant to the tender offer rules. If</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we seek shareholder approval, we will complete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our initial business combination only if we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receive an ordinary resolution under Cayman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Islands law, which requires the affirmative vote of</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 majority of the shareholders who attend and</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vote at a general meeting of the company.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Additionally, each public shareholder may elect to</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redeem their public shares without voting and, if</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they do vote, irrespective of whether they vote for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or against the proposed transaction.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pacing w:after="0" w:line="4019" w:lineRule="exact"/>
        <w:rPr>
          <w:sz w:val="20"/>
          <w:szCs w:val="20"/>
          <w:color w:val="auto"/>
        </w:rPr>
      </w:pPr>
    </w:p>
    <w:p>
      <w:pPr>
        <w:sectPr>
          <w:pgSz w:w="11900" w:h="16838" w:orient="portrait"/>
          <w:cols w:equalWidth="0" w:num="2">
            <w:col w:w="7340" w:space="200"/>
            <w:col w:w="3560"/>
          </w:cols>
          <w:pgMar w:left="320" w:top="225" w:right="479" w:bottom="1440" w:gutter="0" w:footer="0" w:header="0"/>
          <w:type w:val="continuous"/>
        </w:sectPr>
      </w:pPr>
    </w:p>
    <w:p>
      <w:pPr>
        <w:ind w:left="1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Business combination deadline</w:t>
      </w:r>
      <w:r>
        <w:rPr>
          <w:sz w:val="20"/>
          <w:szCs w:val="20"/>
          <w:color w:val="auto"/>
        </w:rPr>
        <w:tab/>
      </w:r>
      <w:r>
        <w:rPr>
          <w:rFonts w:ascii="Times New Roman" w:cs="Times New Roman" w:eastAsia="Times New Roman" w:hAnsi="Times New Roman"/>
          <w:sz w:val="17"/>
          <w:szCs w:val="17"/>
          <w:color w:val="auto"/>
        </w:rPr>
        <w:t>If we have not completed an initial business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combination within 24 months from the closing</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 this offering or during any Extension Period,</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we will (i) cease all operations except for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purpose of winding up, (ii) as promptly as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reasonably possible but not more than ten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business days thereafter, redeem the public</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shares, at a per-share price, payable in cash, equal</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to the aggregate amount then on deposit in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trust account, including interest earned on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funds held in the trust</w:t>
      </w:r>
    </w:p>
    <w:p>
      <w:pPr>
        <w:spacing w:after="0" w:line="3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Times New Roman" w:cs="Times New Roman" w:eastAsia="Times New Roman" w:hAnsi="Times New Roman"/>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300" w:space="240"/>
            <w:col w:w="3560"/>
          </w:cols>
          <w:pgMar w:left="320" w:top="225" w:right="47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98" w:lineRule="exact"/>
        <w:rPr>
          <w:sz w:val="20"/>
          <w:szCs w:val="20"/>
          <w:color w:val="auto"/>
        </w:rPr>
      </w:pPr>
    </w:p>
    <w:p>
      <w:pPr>
        <w:jc w:val="right"/>
        <w:ind w:right="38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Terms of Our Offering</w:t>
      </w:r>
      <w:r>
        <w:rPr>
          <w:sz w:val="20"/>
          <w:szCs w:val="20"/>
          <w:color w:val="auto"/>
        </w:rPr>
        <w:tab/>
      </w:r>
      <w:r>
        <w:rPr>
          <w:rFonts w:ascii="Times New Roman" w:cs="Times New Roman" w:eastAsia="Times New Roman" w:hAnsi="Times New Roman"/>
          <w:sz w:val="17"/>
          <w:szCs w:val="17"/>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19685</wp:posOffset>
            </wp:positionV>
            <wp:extent cx="47148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p>
      <w:pPr>
        <w:spacing w:after="0" w:line="18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account (less taxes payable and up to $100,000 of</w:t>
      </w:r>
    </w:p>
    <w:p>
      <w:pPr>
        <w:spacing w:after="0" w:line="3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interest income to pay dissolution expenses),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divided by the number of then outstanding public</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shares, which redemption will completely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extinguish public shareholders’ rights as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shareholders (including the right to receive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further liquidation distributions, if any) and (iii)</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as promptly as reasonably possible following</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such redemption, subject to the approval of our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remaining shareholders and our board of</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directors, liquidate and dissolve, subject, in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case of clauses (ii) and (iii), to our obligations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under Cayman Islands law to provide for claims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 creditors and in all cases subject to the other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requirements of applicable law.</w:t>
      </w:r>
    </w:p>
    <w:p>
      <w:pPr>
        <w:spacing w:after="0" w:line="149" w:lineRule="exact"/>
        <w:rPr>
          <w:sz w:val="20"/>
          <w:szCs w:val="20"/>
          <w:color w:val="auto"/>
        </w:rPr>
      </w:pPr>
    </w:p>
    <w:p>
      <w:pPr>
        <w:ind w:left="1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Release of funds</w:t>
      </w:r>
      <w:r>
        <w:rPr>
          <w:sz w:val="20"/>
          <w:szCs w:val="20"/>
          <w:color w:val="auto"/>
        </w:rPr>
        <w:tab/>
      </w:r>
      <w:r>
        <w:rPr>
          <w:rFonts w:ascii="Times New Roman" w:cs="Times New Roman" w:eastAsia="Times New Roman" w:hAnsi="Times New Roman"/>
          <w:sz w:val="17"/>
          <w:szCs w:val="17"/>
          <w:color w:val="auto"/>
        </w:rPr>
        <w:t>Except for the withdrawal of interest income to</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pay our taxes, if any, none of the funds held in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trust will be released from the trust account until</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the earliest of (i) the completion of our initial</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business combination, (ii) the redemption of our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public shares if we have not completed our initial</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business combination within 24 months from the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closing of this offering, subject to applicable law,</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and (iii) the redemption of our public shares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properly submitted in connection with a</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 vote to approve an amendment to our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amended and restated memorandum and articles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 association (A) to modify the substance 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timing of our obligation to allow redemption in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connection with our initial business combination</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or to redeem 100% of our public shares if we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have not consummated an initial business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combination within 24 months from the closing</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 this offering or (B) with respect to any other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material provisions relating to shareholders’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rights or pre-initial business combination activity.</w:t>
      </w:r>
    </w:p>
    <w:p>
      <w:pPr>
        <w:spacing w:after="0" w:line="200" w:lineRule="exact"/>
        <w:rPr>
          <w:sz w:val="20"/>
          <w:szCs w:val="20"/>
          <w:color w:val="auto"/>
        </w:rPr>
      </w:pP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300" w:space="240"/>
            <w:col w:w="3460"/>
          </w:cols>
          <w:pgMar w:left="320" w:top="225" w:right="57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98" w:lineRule="exact"/>
        <w:rPr>
          <w:sz w:val="20"/>
          <w:szCs w:val="20"/>
          <w:color w:val="auto"/>
        </w:rPr>
      </w:pPr>
    </w:p>
    <w:p>
      <w:pPr>
        <w:jc w:val="right"/>
        <w:ind w:right="52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Terms of Our Offering</w:t>
      </w:r>
      <w:r>
        <w:rPr>
          <w:sz w:val="20"/>
          <w:szCs w:val="20"/>
          <w:color w:val="auto"/>
        </w:rPr>
        <w:tab/>
      </w:r>
      <w:r>
        <w:rPr>
          <w:rFonts w:ascii="Times New Roman" w:cs="Times New Roman" w:eastAsia="Times New Roman" w:hAnsi="Times New Roman"/>
          <w:sz w:val="17"/>
          <w:szCs w:val="17"/>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19685</wp:posOffset>
            </wp:positionV>
            <wp:extent cx="47148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185" w:lineRule="exact"/>
        <w:rPr>
          <w:sz w:val="20"/>
          <w:szCs w:val="20"/>
          <w:color w:val="auto"/>
        </w:rPr>
      </w:pPr>
    </w:p>
    <w:p>
      <w:pPr>
        <w:jc w:val="center"/>
        <w:ind w:left="180" w:right="180"/>
        <w:spacing w:after="0" w:line="317" w:lineRule="auto"/>
        <w:rPr>
          <w:sz w:val="20"/>
          <w:szCs w:val="20"/>
          <w:color w:val="auto"/>
        </w:rPr>
      </w:pPr>
      <w:r>
        <w:rPr>
          <w:rFonts w:ascii="Times New Roman" w:cs="Times New Roman" w:eastAsia="Times New Roman" w:hAnsi="Times New Roman"/>
          <w:sz w:val="17"/>
          <w:szCs w:val="17"/>
          <w:b w:val="1"/>
          <w:bCs w:val="1"/>
          <w:color w:val="auto"/>
        </w:rPr>
        <w:t>Delivering share certificates in connection with the exercise of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161"/>
        <w:spacing w:after="0" w:line="262" w:lineRule="auto"/>
        <w:rPr>
          <w:sz w:val="20"/>
          <w:szCs w:val="20"/>
          <w:color w:val="auto"/>
        </w:rPr>
      </w:pPr>
      <w:r>
        <w:rPr>
          <w:rFonts w:ascii="Times New Roman" w:cs="Times New Roman" w:eastAsia="Times New Roman" w:hAnsi="Times New Roman"/>
          <w:sz w:val="18"/>
          <w:szCs w:val="18"/>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w:t>
      </w:r>
    </w:p>
    <w:p>
      <w:pPr>
        <w:spacing w:after="0" w:line="2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Accordingly, a public shareholder would have up to two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Many blank check companies provide that a shareholder can vote against a proposed business combination and check a box on the proxy card indicating that such shareholder is seeking to exercise its redemption rights.</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After the business combination is approved, the company would contact such shareholder to arrange for delivery of its share certificates to verify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blank check companies provide no restrictions on the ability of shareholders to redeem shares based on the number of shares held by such shareholders in connection with an initial business combination.</w:t>
      </w:r>
    </w:p>
    <w:p>
      <w:pPr>
        <w:spacing w:after="0" w:line="412" w:lineRule="exact"/>
        <w:rPr>
          <w:sz w:val="20"/>
          <w:szCs w:val="20"/>
          <w:color w:val="auto"/>
        </w:rPr>
      </w:pPr>
    </w:p>
    <w:p>
      <w:pPr>
        <w:sectPr>
          <w:pgSz w:w="11900" w:h="16838" w:orient="portrait"/>
          <w:cols w:equalWidth="0" w:num="3">
            <w:col w:w="3560" w:space="160"/>
            <w:col w:w="3720" w:space="100"/>
            <w:col w:w="3600"/>
          </w:cols>
          <w:pgMar w:left="320" w:top="225" w:right="439" w:bottom="1440" w:gutter="0" w:footer="0" w:header="0"/>
          <w:type w:val="continuous"/>
        </w:sectPr>
      </w:pP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98" w:lineRule="exact"/>
        <w:rPr>
          <w:sz w:val="20"/>
          <w:szCs w:val="20"/>
          <w:color w:val="auto"/>
        </w:rPr>
      </w:pPr>
    </w:p>
    <w:p>
      <w:pPr>
        <w:ind w:left="4640"/>
        <w:spacing w:after="0"/>
        <w:tabs>
          <w:tab w:leader="none" w:pos="8020" w:val="left"/>
        </w:tabs>
        <w:rPr>
          <w:sz w:val="20"/>
          <w:szCs w:val="20"/>
          <w:color w:val="auto"/>
        </w:rPr>
      </w:pPr>
      <w:r>
        <w:rPr>
          <w:rFonts w:ascii="Times New Roman" w:cs="Times New Roman" w:eastAsia="Times New Roman" w:hAnsi="Times New Roman"/>
          <w:sz w:val="18"/>
          <w:szCs w:val="18"/>
          <w:b w:val="1"/>
          <w:bCs w:val="1"/>
          <w:color w:val="auto"/>
        </w:rPr>
        <w:t>Terms of Our Offering</w:t>
      </w:r>
      <w:r>
        <w:rPr>
          <w:sz w:val="20"/>
          <w:szCs w:val="20"/>
          <w:color w:val="auto"/>
        </w:rPr>
        <w:tab/>
      </w:r>
      <w:r>
        <w:rPr>
          <w:rFonts w:ascii="Times New Roman" w:cs="Times New Roman" w:eastAsia="Times New Roman" w:hAnsi="Times New Roman"/>
          <w:sz w:val="17"/>
          <w:szCs w:val="17"/>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19685</wp:posOffset>
            </wp:positionV>
            <wp:extent cx="47148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 together with any affiliate of such</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 or any other person with whom such</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 is acting in concert as a “group” (as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defined under Section 13 of the Exchange Act),</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will be restricted from seeking redemption rights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with respect to Excess Shares without our prior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consent. However, we would not restrict our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shareholders’ ability to vote all of their shares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(including Excess Shares) for or against our initial</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similar or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issued and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We currently utilize office space at 14 Wall Street, 20th Floor, New York, 10005. We consider our current office space adequate for our current operations.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currently have one officer, Adam Gishen. Mr. Gishen and any additional officers that may be appointed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will provide shareholders with audited financial statements of the prospective target business as part of the proxy solicitation materials or tender offer documents sent to shareholders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will be required to evaluate our internal control procedures for the fiscal year ending December 31, 2022 as required by the Sarbanes-Oxley Act. Only in the event that we are deemed to be a large accelerated filer or an accelerated filer and no longer qualify as an emerging growth company would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received a tax exemption undertaking from the Cayman Islands government that, in accordance with Section 6 of the Tax Concessions Act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 and (2) the date on which we have issued more than $1.0 billion in non-convertible debt securities during the prior three-year period.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 in their capacity as such.</w:t>
      </w: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7220" w:type="dxa"/>
            <w:vAlign w:val="bottom"/>
            <w:gridSpan w:val="5"/>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MANAGEMENT</w:t>
            </w:r>
          </w:p>
        </w:tc>
      </w:tr>
      <w:tr>
        <w:trPr>
          <w:trHeight w:val="432"/>
        </w:trPr>
        <w:tc>
          <w:tcPr>
            <w:tcW w:w="4020" w:type="dxa"/>
            <w:vAlign w:val="bottom"/>
          </w:tcPr>
          <w:p>
            <w:pPr>
              <w:spacing w:after="0"/>
              <w:rPr>
                <w:sz w:val="24"/>
                <w:szCs w:val="24"/>
                <w:color w:val="auto"/>
              </w:rPr>
            </w:pPr>
          </w:p>
        </w:tc>
        <w:tc>
          <w:tcPr>
            <w:tcW w:w="7220" w:type="dxa"/>
            <w:vAlign w:val="bottom"/>
            <w:gridSpan w:val="5"/>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Officers and Directors</w:t>
            </w:r>
          </w:p>
        </w:tc>
      </w:tr>
      <w:tr>
        <w:trPr>
          <w:trHeight w:val="432"/>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officers and directors are as follows: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2"/>
        </w:trPr>
        <w:tc>
          <w:tcPr>
            <w:tcW w:w="402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60" w:type="dxa"/>
            <w:vAlign w:val="bottom"/>
          </w:tcPr>
          <w:p>
            <w:pPr>
              <w:spacing w:after="0"/>
              <w:rPr>
                <w:sz w:val="24"/>
                <w:szCs w:val="24"/>
                <w:color w:val="auto"/>
              </w:rPr>
            </w:pPr>
          </w:p>
        </w:tc>
        <w:tc>
          <w:tcPr>
            <w:tcW w:w="50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40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Tidjane Thiam</w:t>
            </w:r>
          </w:p>
        </w:tc>
        <w:tc>
          <w:tcPr>
            <w:tcW w:w="2020" w:type="dxa"/>
            <w:vAlign w:val="bottom"/>
            <w:gridSpan w:val="3"/>
            <w:shd w:val="clear" w:color="auto" w:fill="D5EAEA"/>
          </w:tcPr>
          <w:p>
            <w:pPr>
              <w:jc w:val="center"/>
              <w:ind w:left="111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shd w:val="clear" w:color="auto" w:fill="D5EAEA"/>
          </w:tcPr>
          <w:p>
            <w:pPr>
              <w:spacing w:after="0"/>
              <w:rPr>
                <w:sz w:val="18"/>
                <w:szCs w:val="18"/>
                <w:color w:val="auto"/>
              </w:rPr>
            </w:pPr>
          </w:p>
        </w:tc>
        <w:tc>
          <w:tcPr>
            <w:tcW w:w="50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Abhishek Bhatia</w:t>
            </w:r>
          </w:p>
        </w:tc>
        <w:tc>
          <w:tcPr>
            <w:tcW w:w="202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Adam Gishen</w:t>
            </w:r>
          </w:p>
        </w:tc>
        <w:tc>
          <w:tcPr>
            <w:tcW w:w="2020" w:type="dxa"/>
            <w:vAlign w:val="bottom"/>
            <w:gridSpan w:val="3"/>
            <w:shd w:val="clear" w:color="auto" w:fill="D5EAEA"/>
          </w:tcPr>
          <w:p>
            <w:pPr>
              <w:jc w:val="center"/>
              <w:ind w:left="1110"/>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shd w:val="clear" w:color="auto" w:fill="D5EAEA"/>
          </w:tcPr>
          <w:p>
            <w:pPr>
              <w:spacing w:after="0"/>
              <w:rPr>
                <w:sz w:val="18"/>
                <w:szCs w:val="18"/>
                <w:color w:val="auto"/>
              </w:rPr>
            </w:pPr>
          </w:p>
        </w:tc>
        <w:tc>
          <w:tcPr>
            <w:tcW w:w="50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Tidjane Thiam, Executive Chairman</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Tidjane Thiam has served as our Executive Chairman since inception. Since 2020, Mr. Thiam has been a Director and Chair of the Audit Committee of Kering S.A., the French luxury group. From 2015 to 2020, Mr. Thiam was Chief Executive Officer of Credit Suisse Group AG. From 2014 to 2019,</w:t>
      </w:r>
    </w:p>
    <w:p>
      <w:pPr>
        <w:ind w:right="40"/>
        <w:spacing w:after="0" w:line="253" w:lineRule="auto"/>
        <w:rPr>
          <w:sz w:val="20"/>
          <w:szCs w:val="20"/>
          <w:color w:val="auto"/>
        </w:rPr>
      </w:pPr>
      <w:r>
        <w:rPr>
          <w:rFonts w:ascii="Times New Roman" w:cs="Times New Roman" w:eastAsia="Times New Roman" w:hAnsi="Times New Roman"/>
          <w:sz w:val="18"/>
          <w:szCs w:val="18"/>
          <w:color w:val="auto"/>
        </w:rPr>
        <w:t>Mr. Thiam was a Director of 21st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 We believe Mr. Thiam's extensive leadership experience, broad network and deep understanding of the financial services sector make him a valuable addition to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Abhishek Bhatia, Director</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Abhishek Bhatia has served as a member of our board of directors since January 2021. From 2015 to 2020, Mr. Bhatia served as Chief Executive Officer of FWD Singapore Pte Ltd, a full-stack online insurance business based in Singapore, and from 2018 to 2020, Mr. Bhatia also served as Group Chief Officer, New Business Models of FWD Group. Prior to 2015, Mr. Bhatia served in several senior roles at Prudential plc, including Chief Executive Officer of Prudential Poland. Mr. Bhatia received a post-graduate in management from the Indian Institute of Management in 1998 and graduated with a degree in economics from Delhi University. We believe Mr. Bhatia's experience leading a full-stack online insurer and extensive knowledge of the insurance industry make him a valuable addition to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 Gishen, Chief Executive Officer</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Adam Gishen has served as our Chief Executive Officer since inception.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229" w:lineRule="exact"/>
        <w:rPr>
          <w:sz w:val="20"/>
          <w:szCs w:val="20"/>
          <w:color w:val="auto"/>
        </w:rPr>
      </w:pPr>
    </w:p>
    <w:p>
      <w:pPr>
        <w:ind w:right="300" w:firstLine="324"/>
        <w:spacing w:after="0" w:line="270" w:lineRule="auto"/>
        <w:rPr>
          <w:sz w:val="20"/>
          <w:szCs w:val="20"/>
          <w:color w:val="auto"/>
        </w:rPr>
      </w:pPr>
      <w:r>
        <w:rPr>
          <w:rFonts w:ascii="Times New Roman" w:cs="Times New Roman" w:eastAsia="Times New Roman" w:hAnsi="Times New Roman"/>
          <w:sz w:val="17"/>
          <w:szCs w:val="17"/>
          <w:color w:val="auto"/>
        </w:rPr>
        <w:t>Upon the effectiveness of the registration statement of which this prospectus forms a part, we expect that our board of directors will consist of five members and be divided into three classes with only one class of directors being appointed in each year, and with each class (except for those directors appointed prior to our first general meeting) serving a three-year term. In accordance with the NYSE corporate governance requirements, we are not required to hold an annual general meeting until one year after our first fiscal year end following our listing on the NYSE. The term of office of the first</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class of directors, consisting of , will expire at our first annual general meeting. The term of office of the second class of directors, consisting of and , will expire at the second annual general meeting. The term of office of the third class of directors, consisting of and , will expire at the third annual general meeting.</w:t>
      </w:r>
    </w:p>
    <w:p>
      <w:pPr>
        <w:spacing w:after="0" w:line="186"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Only holders of Class B ordinary shares will have the right to appoint or remove directors in any general meeting held prior to or in connection with the completion of our initial business combination. Holders of our public shares will not be entitled to vote on the appointment of directors during such time. These provisions of our amended and restated memorandum and articles of association relating to the rights of holders of Class B ordinary shares to appoint or remove directors may be amended by a special resolution passed by a majority of at least 90% of our ordinary shares voting in a general meeting. 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The rules of the NYSE require that a majority of our board of directors be independent within one year of our initial public offering. An “independent director” is defined generally as a person who, in the opinion of the company’s board of directors, has no material relationship with the listed company (either directly or as a partner, shareholder, stockholder or officer of an organization that has a relationship with the company). Upon the effectiveness of</w:t>
      </w:r>
    </w:p>
    <w:p>
      <w:pPr>
        <w:sectPr>
          <w:pgSz w:w="11900" w:h="16838" w:orient="portrait"/>
          <w:cols w:equalWidth="0" w:num="1">
            <w:col w:w="11240"/>
          </w:cols>
          <w:pgMar w:left="320" w:top="225" w:right="339" w:bottom="1440" w:gutter="0" w:footer="0" w:header="0"/>
        </w:sectPr>
      </w:pP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we expect to have “independent directors” as defined in the NYSE rules and applicable SEC rules prior to completion of this offering. Our board of directors has determined that , and “independent directors” as defined in the NYSE listing standards and applicable SEC rules. Our independent directors will have regularly scheduled meetings at which only independent directors are present.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653" w:lineRule="exact"/>
        <w:rPr>
          <w:sz w:val="20"/>
          <w:szCs w:val="20"/>
          <w:color w:val="auto"/>
        </w:rPr>
      </w:pPr>
    </w:p>
    <w:p>
      <w:pPr>
        <w:sectPr>
          <w:pgSz w:w="11900" w:h="16838" w:orient="portrait"/>
          <w:cols w:equalWidth="0" w:num="2">
            <w:col w:w="10680" w:space="220"/>
            <w:col w:w="340"/>
          </w:cols>
          <w:pgMar w:left="320" w:top="22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 and Director Compensation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None of our officers or directors have received any cash compensation for services rendered to us. Commencing on the date that our securities are first listed on the NYSE through the earlier of consummation of our initial business combination and our liquidation, we will pay our sponsor or an affiliate thereof up to $15,000 per month for office space, utilities, secretarial and administrative support services provided to members of our management team and other expenses and obligations of our sponsor.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9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expect that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the NYSE and Rule 10A-3 of the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Exchange Act require that the audit committee of a listed company be comprised solely of independent directors, and the rules of the NYSE require that the compensation committee and the nominating and corporate governance committee of a listed company be comprised solely of independent directors. Each committee will operate under a charter that will be approved by our board of directors and will have the composition and responsibilities described below. The charter of each committee will be available on our website following the closing of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an audit committee of the board of</w:t>
      </w:r>
    </w:p>
    <w:p>
      <w:pPr>
        <w:spacing w:after="0" w:line="27" w:lineRule="exact"/>
        <w:rPr>
          <w:sz w:val="20"/>
          <w:szCs w:val="20"/>
          <w:color w:val="auto"/>
        </w:rPr>
      </w:pPr>
    </w:p>
    <w:p>
      <w:pPr>
        <w:spacing w:after="0"/>
        <w:tabs>
          <w:tab w:leader="none" w:pos="1780" w:val="left"/>
          <w:tab w:leader="none" w:pos="2960" w:val="left"/>
          <w:tab w:leader="none" w:pos="4340" w:val="left"/>
          <w:tab w:leader="none" w:pos="7640" w:val="left"/>
        </w:tabs>
        <w:rPr>
          <w:sz w:val="20"/>
          <w:szCs w:val="20"/>
          <w:color w:val="auto"/>
        </w:rPr>
      </w:pP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will serve as the members and</w:t>
      </w:r>
      <w:r>
        <w:rPr>
          <w:sz w:val="20"/>
          <w:szCs w:val="20"/>
          <w:color w:val="auto"/>
        </w:rPr>
        <w:tab/>
      </w:r>
      <w:r>
        <w:rPr>
          <w:rFonts w:ascii="Times New Roman" w:cs="Times New Roman" w:eastAsia="Times New Roman" w:hAnsi="Times New Roman"/>
          <w:sz w:val="17"/>
          <w:szCs w:val="17"/>
          <w:color w:val="auto"/>
        </w:rPr>
        <w:t>will serve as chair of the audit</w:t>
      </w:r>
    </w:p>
    <w:p>
      <w:pPr>
        <w:spacing w:after="0" w:line="9" w:lineRule="exact"/>
        <w:rPr>
          <w:sz w:val="20"/>
          <w:szCs w:val="20"/>
          <w:color w:val="auto"/>
        </w:rPr>
      </w:pPr>
    </w:p>
    <w:p>
      <w:pPr>
        <w:spacing w:after="0"/>
        <w:tabs>
          <w:tab w:leader="none" w:pos="1920" w:val="left"/>
          <w:tab w:leader="none" w:pos="3080" w:val="left"/>
          <w:tab w:leader="none" w:pos="4480" w:val="left"/>
        </w:tabs>
        <w:rPr>
          <w:sz w:val="20"/>
          <w:szCs w:val="20"/>
          <w:color w:val="auto"/>
        </w:rPr>
      </w:pPr>
      <w:r>
        <w:rPr>
          <w:rFonts w:ascii="Times New Roman" w:cs="Times New Roman" w:eastAsia="Times New Roman" w:hAnsi="Times New Roman"/>
          <w:sz w:val="18"/>
          <w:szCs w:val="18"/>
          <w:color w:val="auto"/>
        </w:rPr>
        <w:t>committee.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are independent of and unaffiliated with our sponsor and our underwriters. Under the NYSE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standards and applicable SEC rules, all the directors on the audit committee must be independent.</w:t>
      </w:r>
    </w:p>
    <w:p>
      <w:pPr>
        <w:sectPr>
          <w:pgSz w:w="11900" w:h="16838" w:orient="portrait"/>
          <w:cols w:equalWidth="0" w:num="1">
            <w:col w:w="11220"/>
          </w:cols>
          <w:pgMar w:left="320" w:top="225" w:right="359" w:bottom="1440" w:gutter="0" w:footer="0" w:header="0"/>
        </w:sectPr>
      </w:pPr>
    </w:p>
    <w:p>
      <w:pPr>
        <w:spacing w:after="0" w:line="207" w:lineRule="exact"/>
        <w:rPr>
          <w:sz w:val="20"/>
          <w:szCs w:val="20"/>
          <w:color w:val="auto"/>
        </w:rPr>
      </w:pPr>
    </w:p>
    <w:p>
      <w:pPr>
        <w:ind w:left="1460"/>
        <w:spacing w:after="0"/>
        <w:tabs>
          <w:tab w:leader="none" w:pos="2600" w:val="left"/>
          <w:tab w:leader="none" w:pos="4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are financially literate and our board of directors has determined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financial expert” as defined in applicable SEC rules and has accounting or related financial management expertise.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qualifies as an</w:t>
      </w:r>
    </w:p>
    <w:p>
      <w:pPr>
        <w:spacing w:after="0" w:line="434" w:lineRule="exact"/>
        <w:rPr>
          <w:sz w:val="20"/>
          <w:szCs w:val="20"/>
          <w:color w:val="auto"/>
        </w:rPr>
      </w:pPr>
    </w:p>
    <w:p>
      <w:pPr>
        <w:sectPr>
          <w:pgSz w:w="11900" w:h="16838" w:orient="portrait"/>
          <w:cols w:equalWidth="0" w:num="2">
            <w:col w:w="9560" w:space="520"/>
            <w:col w:w="1140"/>
          </w:cols>
          <w:pgMar w:left="320" w:top="225" w:right="359" w:bottom="1440" w:gutter="0" w:footer="0" w:header="0"/>
          <w:type w:val="continuous"/>
        </w:sectPr>
      </w:pPr>
    </w:p>
    <w:p>
      <w:pPr>
        <w:spacing w:after="0" w:line="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we will adopt an audit committee charter, which will detail the purpose and principal functions of the audit committee, including:</w:t>
      </w:r>
    </w:p>
    <w:p>
      <w:pPr>
        <w:spacing w:after="0" w:line="162" w:lineRule="exact"/>
        <w:rPr>
          <w:sz w:val="20"/>
          <w:szCs w:val="20"/>
          <w:color w:val="auto"/>
        </w:rPr>
      </w:pPr>
    </w:p>
    <w:p>
      <w:pPr>
        <w:ind w:left="660" w:right="52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79" w:lineRule="exact"/>
        <w:rPr>
          <w:rFonts w:ascii="Times New Roman" w:cs="Times New Roman" w:eastAsia="Times New Roman" w:hAnsi="Times New Roman"/>
          <w:sz w:val="18"/>
          <w:szCs w:val="18"/>
          <w:color w:val="auto"/>
        </w:rPr>
      </w:pPr>
    </w:p>
    <w:p>
      <w:pPr>
        <w:jc w:val="both"/>
        <w:ind w:left="660" w:right="160" w:hanging="328"/>
        <w:spacing w:after="0" w:line="289" w:lineRule="auto"/>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registered public accounting firm has with us in order to evaluate their continued independence;</w:t>
      </w:r>
    </w:p>
    <w:p>
      <w:pPr>
        <w:spacing w:after="0" w:line="15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independent registered public accounting firm, or by any inquiry or investigation by governmental or professional authorities, within the preceding five years respecting one or more independent audits carried out by the firm and any steps taken to deal with such issues;</w:t>
      </w:r>
    </w:p>
    <w:p>
      <w:pPr>
        <w:spacing w:after="0" w:line="183"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7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Upon the effectiveness of the registration statement of which this prospectus forms a part, we will establish a compensation committee of the board of</w:t>
      </w:r>
    </w:p>
    <w:p>
      <w:pPr>
        <w:spacing w:after="0" w:line="3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directors. , and will serve as the members and as chair of the compensation committee. Under the NYSE listing standards, all the directors on the compensation committee must be independent.</w:t>
      </w:r>
    </w:p>
    <w:p>
      <w:pPr>
        <w:spacing w:after="0" w:line="18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we will adopt a compensation committee charter, which will detail the purpose and responsibilities of the compensation committee, including:</w:t>
      </w:r>
    </w:p>
    <w:p>
      <w:pPr>
        <w:spacing w:after="0" w:line="162" w:lineRule="exact"/>
        <w:rPr>
          <w:sz w:val="20"/>
          <w:szCs w:val="20"/>
          <w:color w:val="auto"/>
        </w:rPr>
      </w:pPr>
    </w:p>
    <w:p>
      <w:pPr>
        <w:ind w:left="660" w:right="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special perquisites, special cash payments and other special compensation and benefit arrangements for our officers and employees;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the foregoing, as indicated above, other than the payment to an affiliate of our sponsor of up to $15,000 per month, for up to 24 months, for office space, utilities, secretarial and administrative support, other expenses and obligations of our sponsor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nominating and corporate governance</w:t>
      </w:r>
    </w:p>
    <w:p>
      <w:pPr>
        <w:spacing w:after="0" w:line="27" w:lineRule="exact"/>
        <w:rPr>
          <w:sz w:val="20"/>
          <w:szCs w:val="20"/>
          <w:color w:val="auto"/>
        </w:rPr>
      </w:pPr>
    </w:p>
    <w:p>
      <w:pPr>
        <w:spacing w:after="0"/>
        <w:tabs>
          <w:tab w:leader="none" w:pos="9320" w:val="left"/>
        </w:tabs>
        <w:rPr>
          <w:sz w:val="20"/>
          <w:szCs w:val="20"/>
          <w:color w:val="auto"/>
        </w:rPr>
      </w:pPr>
      <w:r>
        <w:rPr>
          <w:rFonts w:ascii="Times New Roman" w:cs="Times New Roman" w:eastAsia="Times New Roman" w:hAnsi="Times New Roman"/>
          <w:sz w:val="18"/>
          <w:szCs w:val="18"/>
          <w:color w:val="auto"/>
        </w:rPr>
        <w:t>committee of the board of directors. The members of our nominating and corporate governance committee will be</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spacing w:after="0"/>
        <w:tabs>
          <w:tab w:leader="none" w:pos="1380" w:val="left"/>
          <w:tab w:leader="none" w:pos="258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will serve as chair of the nominating and corporate governance committee. Under the NYSE listing standards, all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on the nominating and corporate governance committee must be independent.</w:t>
      </w:r>
    </w:p>
    <w:p>
      <w:pPr>
        <w:spacing w:after="0" w:line="20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we will adopt a nominating and corporate governance committee charter, which will detail the purpose and responsibilities of the nominating and corporate governance committee, including:</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screening and reviewing individuals qualified to serve as directors, consistent with criteria approved by the board of directors, and recommending to the board of directors candidates for nomination for appointment at the annual general meeting or to fill vacancies on the board of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and overseeing implementation of our corporate governance guidelines;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overseeing the annual self-evaluation of the board of directors, its committees, individual directors and management in the governance of the company;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in the past year has served, as a member of the compensation committee of any entity that has one or more officers serving on our board of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Prior to the consummation of this offering, we adopted a Code of Business Conduct and Ethics applicable to our directors, officers and employees. We have filed a copy of our Code of Business Conduct and Ethics as an exhibit to the registration statement of which this prospectus is a part. You will be able to review this document by accessing our public filings at the SEC’s web site at www.sec.gov. In addition, a copy of the Code of Business Conduct and Ethics and the charters of the committees of our board of directors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NYSE rules, we will disclose the nature of such amendment or waiver on our website. Our website and the information contained on, or that can be accessed through, the website is not deemed to be incorporated by reference in, and is not considered part of, this prospectus or the registration statement of which this prospectus is a part.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the fiduciary duties or contractual obligations of our officers or directors will materially affect our ability to complete our initial business combination.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table summarizing the other entities to which our officers and directors currently have fiduciary duties or contractual obligations: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Individual</w:t>
            </w:r>
          </w:p>
        </w:tc>
        <w:tc>
          <w:tcPr>
            <w:tcW w:w="100" w:type="dxa"/>
            <w:vAlign w:val="bottom"/>
          </w:tcPr>
          <w:p>
            <w:pPr>
              <w:spacing w:after="0"/>
              <w:rPr>
                <w:sz w:val="20"/>
                <w:szCs w:val="20"/>
                <w:color w:val="auto"/>
              </w:rPr>
            </w:pPr>
          </w:p>
        </w:tc>
        <w:tc>
          <w:tcPr>
            <w:tcW w:w="24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Entity/Organization</w:t>
            </w:r>
          </w:p>
        </w:tc>
        <w:tc>
          <w:tcPr>
            <w:tcW w:w="100" w:type="dxa"/>
            <w:vAlign w:val="bottom"/>
          </w:tcPr>
          <w:p>
            <w:pPr>
              <w:spacing w:after="0"/>
              <w:rPr>
                <w:sz w:val="20"/>
                <w:szCs w:val="20"/>
                <w:color w:val="auto"/>
              </w:rPr>
            </w:pPr>
          </w:p>
        </w:tc>
        <w:tc>
          <w:tcPr>
            <w:tcW w:w="36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Entity’s Business</w:t>
            </w:r>
          </w:p>
        </w:tc>
        <w:tc>
          <w:tcPr>
            <w:tcW w:w="100" w:type="dxa"/>
            <w:vAlign w:val="bottom"/>
          </w:tcPr>
          <w:p>
            <w:pPr>
              <w:spacing w:after="0"/>
              <w:rPr>
                <w:sz w:val="20"/>
                <w:szCs w:val="20"/>
                <w:color w:val="auto"/>
              </w:rPr>
            </w:pPr>
          </w:p>
        </w:tc>
        <w:tc>
          <w:tcPr>
            <w:tcW w:w="24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Affiliation</w:t>
            </w:r>
          </w:p>
        </w:tc>
      </w:tr>
      <w:tr>
        <w:trPr>
          <w:trHeight w:val="35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Tidjane Thiam</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Kering S.A.</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Luxury goods</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and Chair of Audit</w:t>
            </w:r>
          </w:p>
        </w:tc>
      </w:tr>
      <w:tr>
        <w:trPr>
          <w:trHeight w:val="234"/>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w:t>
            </w:r>
          </w:p>
        </w:tc>
      </w:tr>
      <w:tr>
        <w:trPr>
          <w:trHeight w:val="360"/>
        </w:trPr>
        <w:tc>
          <w:tcPr>
            <w:tcW w:w="228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Rwanda Finance Limited</w:t>
            </w: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State-owned enterprise to promote and develop</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w:t>
            </w:r>
          </w:p>
        </w:tc>
      </w:tr>
      <w:tr>
        <w:trPr>
          <w:trHeight w:val="234"/>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Rwanda as a business and financial center</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225" w:lineRule="exact"/>
        <w:rPr>
          <w:sz w:val="20"/>
          <w:szCs w:val="20"/>
          <w:color w:val="auto"/>
        </w:rPr>
      </w:pPr>
    </w:p>
    <w:p>
      <w:pPr>
        <w:ind w:left="660" w:right="22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completion of our initial business combination. Each of our officers is engaged in several other business endeavors for which he may be entitled to substantial compensation, and our officers are not obligated to contribute any specified amount of time to our affairs.</w:t>
      </w:r>
    </w:p>
    <w:p>
      <w:pPr>
        <w:spacing w:after="0" w:line="162" w:lineRule="exact"/>
        <w:rPr>
          <w:sz w:val="20"/>
          <w:szCs w:val="20"/>
          <w:color w:val="auto"/>
        </w:rPr>
      </w:pPr>
    </w:p>
    <w:p>
      <w:pPr>
        <w:ind w:left="660" w:right="20" w:hanging="328"/>
        <w:spacing w:after="0" w:line="25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shareholders purchased founder shares prior to the date of this prospectus and will purchase private placement warrants in a transaction that will close simultaneously with the closing of this offering. Our sponsor, officers and directors have entered into a letter agreement with us, pursuant to which they have agreed to waive their redemption rights with respect to any founder shares and public shares held by them in connection with the completion of our initial business combination. Additionally, our sponsor, officers and directors have agreed to waive their rights to liquidating distributions from the trust account with respect to any founder shares held by them if we fail to complete our initial business combination within the prescribed time frame. If we do not complete our initial business combination within the prescribed time frame, the private placement warrants will expire worthless. Furthermore, our sponsor, officers and directors have agreed not to transfer, assign or sell any of any founder shares (including the Class A ordinary shares issuable upon conversion thereof) until the earlier to occur of: (i) one year after the completion of our initial business combination and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last reported sales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97" w:lineRule="exact"/>
        <w:rPr>
          <w:rFonts w:ascii="Times New Roman" w:cs="Times New Roman" w:eastAsia="Times New Roman" w:hAnsi="Times New Roman"/>
          <w:sz w:val="18"/>
          <w:szCs w:val="18"/>
          <w:color w:val="auto"/>
        </w:rPr>
      </w:pPr>
    </w:p>
    <w:p>
      <w:pPr>
        <w:ind w:left="660" w:right="4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warrants (including the Class A ordinary shares issuable upon exercise of the private placement warrants) will not be transferable until 30 days following the completion of our initial business combination. Because each of our officers and directors will own ordinary shares or warrants directly or indirectly, they may have a conflict of interest in determining whether a particular target business is an appropriate business with which to effectuate our initial business combination.</w:t>
      </w:r>
    </w:p>
    <w:p>
      <w:pPr>
        <w:spacing w:after="0" w:line="179"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and disinterested directors, would obtain an opinion from an independent investment banking firm that is a member of FINRA or a valuation or appraisal firm that such an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the NYSE, we will also pay our sponsor or an affiliate thereof up to $15,000 per month for office space, utilities, secretarial and administrative services provided to members of our management team and other expenses and obligations of our sponsor.</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22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the event that we submit our initial business combination to our public shareholders for a vote, our sponsor, officers and directors have agreed to vote any founder shares held by them, and they have agreed to vote any founder shares and public shares held by them in favor of our initial business combination.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6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officers and directors as a group.</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30, 2020, we issued to our sponsor an aggregate of 7,187,500 founder shares in exchange for a capital contribution of $25,000, or</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approximately $0.003 per share, to cover certain of our expenses. Prior to this offering, our sponsor intends to transfer of our founder shares to each of our independent directors. These shares will not be subject to forfeiture in the event the underwriters’ over-allotment option is not</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exercised. Prior to the initial investment in the company of $25,000 by the sponsor, the company had no assets, tangible or intangible. The number of founder shares outstanding was determined based on the expectation that the total size of this offering would be a maximum of 28,750,000 units if the underwriters’ over-allotment option is exercised in full, and therefore that such founder shares would represent 20% of the outstanding shares after this offering. If we increase or decrease the size of this offering, we will effect a capitalization or share repurchase or redemption or other appropriate mechanism, as applicable, with respect to our Class B ordinary shares immediately prior to the consummation of this offering in such amount as to maintain the number of founder shares at 20% of our issued and outstanding ordinary shares upon the consummation of this offering. Up to 937,500 of the founder shares may be surrendered by our sponsor for no consideration depending on the extent to which the underwriters’ over-allotment is exercised. The post-offering percentages in the following table assume that the underwriters do not exercise their over-allotment option, that 937,500 founder shares have been surrendered to us for no consideration, and that there are 31,250,000 ordinary shares issued and outstanding after this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Numbering of Shares</w:t>
            </w:r>
          </w:p>
        </w:tc>
        <w:tc>
          <w:tcPr>
            <w:tcW w:w="28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Approximate Percentage of</w:t>
            </w:r>
          </w:p>
        </w:tc>
      </w:tr>
      <w:tr>
        <w:trPr>
          <w:trHeight w:val="238"/>
        </w:trPr>
        <w:tc>
          <w:tcPr>
            <w:tcW w:w="2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 Owned(2)</w:t>
            </w:r>
          </w:p>
        </w:tc>
        <w:tc>
          <w:tcPr>
            <w:tcW w:w="28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Outstanding Ordinary Shares</w:t>
            </w:r>
          </w:p>
        </w:tc>
      </w:tr>
      <w:tr>
        <w:trPr>
          <w:trHeight w:val="223"/>
        </w:trPr>
        <w:tc>
          <w:tcPr>
            <w:tcW w:w="2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Before Offering</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After Offering</w:t>
            </w:r>
          </w:p>
        </w:tc>
        <w:tc>
          <w:tcPr>
            <w:tcW w:w="100" w:type="dxa"/>
            <w:vAlign w:val="bottom"/>
          </w:tcPr>
          <w:p>
            <w:pPr>
              <w:spacing w:after="0"/>
              <w:rPr>
                <w:sz w:val="19"/>
                <w:szCs w:val="19"/>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Before Offering</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After Offering</w:t>
            </w:r>
          </w:p>
        </w:tc>
      </w:tr>
      <w:tr>
        <w:trPr>
          <w:trHeight w:val="210"/>
        </w:trPr>
        <w:tc>
          <w:tcPr>
            <w:tcW w:w="282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Freedom Acquisition I LLC(3)</w:t>
            </w:r>
          </w:p>
        </w:tc>
        <w:tc>
          <w:tcPr>
            <w:tcW w:w="1300" w:type="dxa"/>
            <w:vAlign w:val="bottom"/>
            <w:tcBorders>
              <w:top w:val="single" w:sz="8" w:color="D5EAEA"/>
            </w:tcBorders>
            <w:shd w:val="clear" w:color="auto" w:fill="D5EAEA"/>
          </w:tcPr>
          <w:p>
            <w:pPr>
              <w:spacing w:after="0"/>
              <w:rPr>
                <w:sz w:val="18"/>
                <w:szCs w:val="18"/>
                <w:color w:val="auto"/>
              </w:rPr>
            </w:pPr>
          </w:p>
        </w:tc>
        <w:tc>
          <w:tcPr>
            <w:tcW w:w="128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7,187,500(4)</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400" w:type="dxa"/>
            <w:vAlign w:val="bottom"/>
            <w:tcBorders>
              <w:top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Tidjane Thiam</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Adam Gishen</w:t>
            </w:r>
          </w:p>
        </w:tc>
        <w:tc>
          <w:tcPr>
            <w:tcW w:w="130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D5EA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Abhishek Bhatia</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All officers and directors as a group (</w:t>
            </w:r>
          </w:p>
        </w:tc>
        <w:tc>
          <w:tcPr>
            <w:tcW w:w="2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individuals)</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r>
      <w:tr>
        <w:trPr>
          <w:trHeight w:val="48"/>
        </w:trPr>
        <w:tc>
          <w:tcPr>
            <w:tcW w:w="282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Less than one percent.</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9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is 14 Wall Street, 20th Floor, New York, 10005.</w:t>
      </w:r>
    </w:p>
    <w:p>
      <w:pPr>
        <w:spacing w:after="0" w:line="22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in the section entitled “Description of Securities.”</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1"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Freedom Acquisition I LLC, our sponsor, is the record holder of such shares, and Freedom Acquisition I LLC is wholly owned by Freedom Acquisition LLC. There are three managers of Freedom Acquisition I LLC’s board of managers: Tidjane Thiam, Adam Gishen and Abhishek Bhatia. Each manager of Freedom Acquisition I LLC has one vote, and the approval of two of the three members of the board of managers is required to approve an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action of Freedom Acquisition I LLC. Under the so-called “rule of three,” if voting and dispositive decisions regarding an entity’s securities are made by three or more individuals, and a voting and dispositive decision requires the approval of a majority of those individuals, then none of the individuals is deemed a beneficial owner of the entity’s securities. This is the situation with regard to Freedom Acquisition I LLC. Based upon the foregoing analysis, no individual manager of Freedom Acquisition I LLC exercises voting or dispositive control over any of the securities held by Freedom Acquisition I LLC even those in which he directly holds a pecuniary interest. Accordingly, none of them will be deemed to have or share beneficial ownership of such shares and, for the avoidance of doubt, expressly disclaims any such beneficial interest to the extent of any pecuniary interest he may have therein, directly or indirectly.</w:t>
      </w:r>
    </w:p>
    <w:p>
      <w:pPr>
        <w:spacing w:after="0" w:line="189" w:lineRule="exact"/>
        <w:rPr>
          <w:sz w:val="20"/>
          <w:szCs w:val="20"/>
          <w:color w:val="auto"/>
        </w:rPr>
      </w:pPr>
    </w:p>
    <w:p>
      <w:pPr>
        <w:ind w:left="340" w:right="6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937,500 founder shares that may be surrendered for no consideration depending on the extent to which the underwriters’ over-allotment option is exercised.</w:t>
      </w:r>
    </w:p>
    <w:p>
      <w:pPr>
        <w:spacing w:after="0" w:line="162"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Immediately after this offering, our initial shareholders will beneficially own 20.0% of the then issued and outstanding ordinary shares (assuming they do not purchase any units in this offering). Only holders of Class B ordinary shares will have the right to appoint and remove directors in any general meeting held prior to or in connection with the completion of our initial business combination. Holders of our public shares will not have the right to appoint or remove any directors to our board of directors prior to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7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 4,666,667 private placement warrants (or 5,166,667 private placement warrants if the underwriters’ over-allotment option is exercised in full), each exercisable to purchase one Class A ordinary share at $11.50 per share, subject to adjustment as described herein, at a price of $1.50 per warrant, or $7,000,000 in the aggregate (or $7,750,000 if the underwriters’ over-allotment option is exercised in full), in a private placement that will occur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“Description of Securities—Warrants—Public Shareholders’ Warrants— Redemption of Warrants When the Price per Class A Ordinary Share Equals or Exceeds $18.00”), (ii) will be subject to the transfer restrictions described below, (iii) may be exercised by the holders on a cashless basis and (iv) will be entitled to registration rights. If we do not complete our initial business combination within 24 months from the closing of this offering or during any Extension Period, the private placement warrants will expire worthless.</w:t>
      </w:r>
    </w:p>
    <w:p>
      <w:pPr>
        <w:spacing w:after="0" w:line="18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Freedom Acquisition I LLC, our sponsor, and our officers and directors are deemed to be our “promoters” as such term is defined under the federal securities laws.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Transfers of Founder Shares and Private Placement Warrants</w:t>
      </w:r>
    </w:p>
    <w:p>
      <w:pPr>
        <w:spacing w:after="0" w:line="229"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7"/>
          <w:szCs w:val="17"/>
          <w:color w:val="auto"/>
        </w:rPr>
        <w:t>The founder shares, private placement warrants and any Class A ordinary shares issued upon conversion or exercise thereof are each subject to transfer restrictions pursuant to lock-up provisions in the agreement entered into by our sponsor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last reported sales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and (ii) in the case of the private placement warrants and any Class A ordinary shares issuable upon conversion or exercise thereof, until 30 days after the completion of our initial business combination except in each case</w:t>
      </w:r>
    </w:p>
    <w:p>
      <w:pPr>
        <w:spacing w:after="0" w:line="5" w:lineRule="exact"/>
        <w:rPr>
          <w:sz w:val="20"/>
          <w:szCs w:val="20"/>
          <w:color w:val="auto"/>
        </w:rPr>
      </w:pPr>
    </w:p>
    <w:p>
      <w:pPr>
        <w:ind w:right="160" w:firstLine="8"/>
        <w:spacing w:after="0" w:line="253"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officers or directors, any affiliate or family member of any of our officers or directors, any affiliate of our sponsor or to any member of the sponsor or any of their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w:t>
      </w:r>
    </w:p>
    <w:p>
      <w:pPr>
        <w:ind w:firstLine="8"/>
        <w:spacing w:after="0" w:line="252" w:lineRule="auto"/>
        <w:tabs>
          <w:tab w:leader="none" w:pos="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laws of the Cayman Islands or our sponsor’s limited liability company agreement upon dissolution of our sponsor, (g) in the event of our liquidation prior to our consummation of our initial business combination; or (h) in the event that, subsequent to our consummation of an initial business combination, we complete a liquidation, merger, share exchange or other similar transaction which results in all of our shareholders having the right to exchange their Class A ordinary shares for cash, securities or other property; provided, however, that in the case of clauses (a) through (f) these permitted transferees must enter into a written agreement agreeing to be bound by these transfer restrictions and the other restrictions contained in the letter agreements.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the resale of any of our securities held by them pursuant to a registration rights agreement. Pursuant to the registration rights agreement and assuming the underwriters exercise their over-allotment option in full and $1,500,000 of working capital loans are converted into private placement warrants, we will be obligated to register up to 13,354,167 Class A ordinary shares and 6,166,667 warrants. The number of Class A ordinary shares includes (i) 7,187,500 Class A ordinary shares to be issued upon conversion of the founder shares, (ii) 5,166,667 Class A ordinary shares underlying the private placement warrants and (iii) 1,000,000 Class A ordinary shares underlying the private placement warrants issuable upon conversion of working capital loans. The number of warrants includes 5,166,667 private placement warrants issued in a private placement simultaneously with the closing of this offering and 1,000,000 private placement warrants issuable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30, 2020, we issued to our sponsor an aggregate of 7,187,500 founder shares in exchange for a capital contribution of $25,000, or</w:t>
      </w:r>
    </w:p>
    <w:p>
      <w:pPr>
        <w:spacing w:after="0" w:line="2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approximately $0.003 per share, to cover certain of our expenses. Prior to this offering, our sponsor intends to transfer of our founder shares to each of our independent directors. These shares will not be subject to forfeiture in the event the underwriters’ over-allotment option is not</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exercised. If we increase or decrease the size of this offering, we will effect a capitalization or share repurchase or redemption or other appropriate mechanism, as applicable, with respect to our Class B ordinary shares immediately prior to the consummation of this offering in such amount as to maintain the number of founder shares at 20% of our issued and outstanding ordinary shares upon the consummation of this offering. Up to 937,500 of the founder shares may be surrendered by our sponsor for no consideration depending on the extent to which the underwriters’ over-allotment is exercised.</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sponsor has committed to, pursuant to a written agreement, to purchase an aggregate of 4,666,667 private placement warrants (or 5,166,667 private placement warrants if the underwriters’ over-allotment option is exercised in full), each exercisable to purchase one Class A ordinary share at $11.50 per share, subject to adjustment as described herein, at a price of $1.50 per warrant, or $7,000,000 in the aggregate (or $7,750,000 if the underwriters’ over-allotment option is exercised in full), in a private placement that will close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“Description of Securities—Warrants—Public Shareholders’ Warrants—Redemption of Warrants When the Price per Class A Ordinary Share Equals or Exceeds $18.00”), (ii) may not (including the Class A ordinary shares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currently utilize office space at 14 Wall Street, 20th Floor, New York, 10005 as our executive offices. Commencing on the date of this prospectus, we will pay our sponsor or an affiliate thereof up to $15,000 per month for office space, utilities, secretarial and administrative support services provided to members of our management team and other expenses and obligations of our sponsor. Upon completion of our initial business combination or our liquidation, we will cease paying these monthly fees.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by the company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their affiliates.</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Prior to the closing of this offering, our sponsor may loan us funds to be used for a portion of the expenses of this offering. These loans would be non-interest bearing, unsecured and are due at the earlier of December 31, 2021 or the closing of this offering.</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$1.50 per warrant at the option of the lender. Such warrants would be identical to the private placement warrants described above.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proxy solicitation or tender offer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8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a registration rights agreement with respect to the founder shares and private placement warrants, which is described under the heading “Principal Shareholders—Registration Rights.”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Policy for Approval of Related Party Transactions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are a Cayman Islands exempted company (company number 369502) and our affairs will be governed by our amended and restated memorandum and articles of association, the Companies Act and the common law of the Cayman Islands. Pursuant to our amended and restated memorandum and articles of association which will be adopted upon the consummation of this offering, we will be authorized to issue 220,000,000 ordinary shares, $0.0001 par value each, including 200,000,000 Class A ordinary shares and 20,000,000 Class B ordinary shares, as well as 1,000,000 preferred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Each unit has an offering price of $10.00 and consists of one Class A ordinary share and one-third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For example, if a warrant holder holds one-third of one warrant to purchase a Class A ordinary share, such warrant will not be exercisable. If a warrant holder holds three-thirds of one warrant, such whole warrant will be exercisable for one Class A ordinary share at a price of $11.50 per share. The Class A ordinary shares and warrants comprising the units are expected to begin separate trading on the 52nd day following the date of this prospectus (or the immediately following business day if such 52nd day is not a business day) unless J.P. Morgan Securities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Additionally, the units will automatically separate into their component parts and will not be traded after completion of our initial business combination. No fractional warrants will be issued upon separation of the units and only whole warrants will trade. Accordingly, unless you purchase at least three units, you will not be able to receive or trade a whole warrant.</w:t>
      </w:r>
    </w:p>
    <w:p>
      <w:pPr>
        <w:spacing w:after="0" w:line="19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Prior to the date of this prospectus, there were 7,187,500 Class B ordinary shares outstanding, all of which were held of record by our initial shareholders, so that our initial shareholders will own 20% of our issued and outstanding shares after this offering (assuming our initial shareholders do not purchase any units in this offering). Up to 937,500 of the founder shares may be surrendered by our sponsor for no consideration depending on the extent to which the underwriters’ over-allotment is exercised. Upon the closing of this offering, 31,250,000 of our ordinary shares will be outstanding (assuming no exercise of the underwriters’ over-allotment option and the corresponding surrender for no consideration of 937,500 founder shares) including:</w:t>
      </w:r>
    </w:p>
    <w:p>
      <w:pPr>
        <w:spacing w:after="0" w:line="18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Class A ordinary shares underlying units issued as part of this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6,250,000 Class B ordinary shares held by our initial shareholders.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we increase or decrease the size of this offering, we will effect a capitalization or share repurchase or redemption or other appropriate mechanism, as applicable, with respect to our Class B ordinary shares immediately prior to the consummation of this offering in such amount as to maintain the number of founder shares at 20% of our issued and outstanding ordinary shares upon the consummation of this offering.</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Except as described below, 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provided that only holders of Class B ordinary shares will have the right to appoint and remove directors in any general meeting held prior to or in connection with the completion of our initial business combination, meaning that holders of Class A ordinary shares will not have the right to appoint and remove any directors until after the completion of our initial business combination. Unless specified in our amended and restated memorandum and articles of association, or as required by applicable provisions of the Companies Act or applicable stock exchange rules, the affirmative vote of a majority of our ordinary shares that are voted is required to approve any such matter voted on by our shareholders. Approval of certain actions will require a special resolution under Cayman Islands law, which requires the affirmative vote of a majority of at least two-thirds of the shareholders who attend and vote at a general meeting of the company,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Class B ordinary shares voted for the appointment of directors can appoint all of the directors prior to our initial business combination. Our shareholders are entitled to receive ratable dividends when, as and if declared by the board of directors out of funds legally available therefor.</w:t>
      </w:r>
    </w:p>
    <w:p>
      <w:pPr>
        <w:spacing w:after="0" w:line="197"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Because our amended and restated memorandum and articles of association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 Our board of directors is divided into three classes with only one class of directors being appointed in each year and each class (except for those directors appointed prior to our first annual general meeting) serving a three-year term.</w:t>
      </w:r>
    </w:p>
    <w:p>
      <w:pPr>
        <w:spacing w:after="0" w:line="1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NYSE corporate governance requirements, we are not required to hold an annual general meeting until one year after our first fiscal year end following our listing on the NYSE. There is no requirement under the Companies Act for us to hold annual or extraordinary general meetings to appoint directors. We may not hold an annual general meeting prior to the consummation of our initial business combination.</w:t>
      </w:r>
    </w:p>
    <w:p>
      <w:pPr>
        <w:spacing w:after="0" w:line="176"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any founder shares and public shares held by them in connection with the completion of our initial business combination. Unlike some special purpose acquisition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our initial business combination and the redemption rights as is required under the SEC’s proxy rules. If, however, a shareholder approval of the transaction is required by law, or we decide to obtain shareholder approval for business or other reasons, we will, like many special purpose acquisition companies, offer to redeem shares in conjunction with a proxy solicitation pursuant to the proxy rules and not pursuant to the tender offer rules. If we</w:t>
      </w: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an ordinary resolution, non-votes will have no effect on the approval of our initial business combination once a quorum is obtained. Our amended and restated memorandum and articles of association require that at least five days’ notice will be given of any general meeting.</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94"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If we seek shareholder approval in connection with our initial business combination, our sponsor, officers and directors have agreed to vote any founder shares and public shares held by them in favor of our initial business combination. As a result, in addition to our initial shareholders’ founder shares, we would need 9,375,001, or 37.5%, of the 25,000,000 public shares sold in this offering to be voted in favor of an initial business combination in order to have our initial business combination approved (assuming all outstanding shares are voted and the over-allotment option is not exercised). Additionally, each public shareholder may elect to redeem their public shares without voting and, if they do vote, irrespective of whether they vote for or against the proposed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have not completed our initial business combination within 24 months from the closing of this offering or during any Extension Period, we will</w:t>
      </w:r>
    </w:p>
    <w:p>
      <w:pPr>
        <w:spacing w:after="0" w:line="27" w:lineRule="exact"/>
        <w:rPr>
          <w:sz w:val="20"/>
          <w:szCs w:val="20"/>
          <w:color w:val="auto"/>
        </w:rPr>
      </w:pPr>
    </w:p>
    <w:p>
      <w:pPr>
        <w:ind w:right="60" w:firstLine="8"/>
        <w:spacing w:after="0" w:line="251" w:lineRule="auto"/>
        <w:tabs>
          <w:tab w:leader="none" w:pos="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24 months from the closing of this offering or during any Extension Period. However, if our sponsor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the founder shares are entitled to registration rights; (iii) our sponsor, officers and directors have entered into a letter agreement with us, pursuant to which they have agreed to (A) waive their redemption rights with respect to any founder shares and public shares held by them in connection with the completion of our initial business combination, (B) waive their redemption rights with respect to any founder shares and public shares held by them in connection with a shareholder vote to amend our amended and restated memorandum and articles of association (x) to modify the substance or timing of our obligation to allow redemption in connection with our initial business combination or to redeem 100% of our public shares if we have not consummated an initial business combination within 24 months from the closing of this offering or (y) with respect to any other material provisions relating to shareholders’ rights or pre-initial business combination activity, (C) waive their rights to liquidating distributions from the trust account with respect to any founder shares held by them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such time period and (D) vote any founder shares and public shares held by them in favor of our initial business combination, (iv) the founder shares are automatically convertible into Class A ordinary shares concurrently with or immediately following the consummation of our initial business combination on a one-for-one basis, subject to adjustment as described herein and in our amended and restated memorandum and articles of association, and (v) only holders of Class B ordinary shares will have the right to appoint or remove directors in any general meeting held prior to or in connection with the completion of our initial business combination.</w:t>
      </w:r>
    </w:p>
    <w:p>
      <w:pPr>
        <w:spacing w:after="0" w:line="19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issued or deemed issued, by the Company in connection with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19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last reported sales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Up to 937,500 founder shares may be surrendered to us for no consideration depending on the exercise of the over-allotment option.</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will be entered therein:</w:t>
      </w:r>
    </w:p>
    <w:p>
      <w:pPr>
        <w:spacing w:after="0" w:line="225" w:lineRule="exact"/>
        <w:rPr>
          <w:sz w:val="20"/>
          <w:szCs w:val="20"/>
          <w:color w:val="auto"/>
        </w:rPr>
      </w:pPr>
    </w:p>
    <w:p>
      <w:pPr>
        <w:ind w:left="660" w:right="30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 and the voting rights of shares of each member;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authorize 1,000,000 preferred shares and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outstanding at the date hereof. Although we do not currently intend to issue any preferred shares, we cannot assure you that we will not do so in the future. No preferred shares are being issued or registered in this offering.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Shareholders’ Warrants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Class A ordinary share at a price of $11.50 per share, subject to adjustment as discussed below, at any time commencing on the later of one year from the closing of this offering and 30 days after the completion of our initial business combination, except as described below.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current prospectus relating thereto is available (or we permit holders to exercise their warrants on a cashless basis under the circumstances specified in the warrant agreement). No warrant will be exercisable and we will not be obligated to issue a Class A ordinary share upon exercise of a warrant unless the Class A ordinary share issuable upon such warrant exercise has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fifteen (15) business days after the closing of our initial business combination, we will use our commercially reasonable efforts to file with the SEC a registration statement covering the issuance, under the Securities Act, of the Class A ordinary shares issuable upon exercise of the warrants. We will use our commercially reasonable efforts to cause the same to become effective within 60 business days following our initial business combination and to maintain the effectiveness of such registration statement, and a current prospectus relating thereto, until the expiration or redemption of the warrants in accordance with the provisions of the warrant agreement. If a registration statement covering the issuance of the Class A ordinary shares issuable upon exercise of the warrants is not effective by the sixtieth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efforts to register or qualify the shares under applicable blue sky laws to the extent an exemption is not available. In such event, each holder would pay the exercise price by surrendering each such warrant for that number of Class A ordinary shares equal to the lesser of (A) the quotient obtained by dividing (x) the product of the number of Class A ordinary shares underlying the warrants, multiplied by the excess of the “fair market value” (as defined below) less the exercise price of the warrants by (y) the fair market value and (B) 0.361 Class A ordinary shares per warrant (subject to adjustment). The “fair market value” as used above shall mean the volume weighted average price of the Class A ordinary shares for the 10 trading days ending on the trading day prior to the date on which the notice of exercise is received by the warrant agent.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$18.00</w:t>
      </w:r>
    </w:p>
    <w:p>
      <w:pPr>
        <w:spacing w:after="0" w:line="227"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Class A ordinary shares for any 20 trading days within a 30-trading day period ending three business days before we send the notice of redemption to the warrant holders (which we refer to as the “Reference Value”) equals or exceeds $18.00 per share (as adjusted for share sub-divisions, share capitalizations, reorganizations, recapitalizations and the like and as described under the heading “—Anti-dilution Adjustments” below).</w:t>
      </w:r>
    </w:p>
    <w:p>
      <w:pPr>
        <w:spacing w:after="0" w:line="180"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However, we will not redeem the warrants unless an effective registration statement under the Securities Act covering the issuance of the Class A ordinary shares issuable upon exercise of the warrants is effective and a current prospectus relating to those Class A ordinary shares is available throughout the 30-day redemption period.</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 If the foregoing conditions are satisfied</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Class A ordinary shares may fall below the $18.00 redemption trigger price (as adjusted for share sub-divisions, share capitalizations, reorganizations, recapitalizations and the like and as described under the heading “—Anti-dilution Adjustments” below) as well as the $11.50 (for whole shares) warrant exercise price after the redemption notice is issued.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$10.00</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under “—Redemption of Warrants When the Price per Class A Ordinary Share Equals or Exceeds $18.00”) equals or exceeds $10.00 per share (as adjusted for share sub-divisions, share capitalizations, reorganizations, recapitalizations and the like and as described under the heading “—Anti-dilution Adjustments” below);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share sub-divisions, share capitalizations, reorganizations, recapitalizations and the like and as described under the heading “—Anti-dilution Adjustments” below) the private placement warrants must also be concurrently called for redemption on the same terms as the outstanding public warrants, as described above.</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89" w:lineRule="exact"/>
        <w:rPr>
          <w:sz w:val="20"/>
          <w:szCs w:val="20"/>
          <w:color w:val="auto"/>
        </w:rPr>
      </w:pPr>
    </w:p>
    <w:p>
      <w:pPr>
        <w:ind w:right="160" w:firstLine="324"/>
        <w:spacing w:after="0" w:line="312" w:lineRule="auto"/>
        <w:rPr>
          <w:sz w:val="20"/>
          <w:szCs w:val="20"/>
          <w:color w:val="auto"/>
        </w:rPr>
      </w:pPr>
      <w:r>
        <w:rPr>
          <w:rFonts w:ascii="Times New Roman" w:cs="Times New Roman" w:eastAsia="Times New Roman" w:hAnsi="Times New Roman"/>
          <w:sz w:val="17"/>
          <w:szCs w:val="17"/>
          <w:color w:val="auto"/>
        </w:rPr>
        <w:t>Pursuant to the warrant agreement, references above to Class A ordinary shares shall include a security other than Class A ordinary shares into which the Class A ordinary shares have been converted or exchanged for in the event we are not the surviving company in our initial business combination.</w:t>
      </w:r>
    </w:p>
    <w:p>
      <w:pPr>
        <w:spacing w:after="0" w:line="14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numbers in the table below will not be adjusted when determining the number of Class A ordinary shares to be issued upon exercise of the warrants if we are not the surviving entity following our initial business combination.</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share prices set forth in the column headings of the table below will be adjusted as of any date on which the number of shares issuable upon exercise of a warrant or the exercise price of the warrant is adjusted as set forth under the heading “—Anti-dilution Adjustments”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the warrant is adjusted as a result of the fifth paragraph under the heading “—Anti-dilution adjustments” below, the adjusted share prices in the column headings will be multiplied by a fraction, the numerator of which is the higher of the Market Value and the Newly Issued Price as set forth under the heading “—Anti-dilution Adjustments” and the denominator of which is $10.00.</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Redemption Date (period to expiration</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9"/>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Market Value of Class A Ordinary Shares</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6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 warrants)</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$12.00</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$13.00</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$15.00</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$17.00</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³$18.00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60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0.261</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0.281</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0.297</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0.311</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0.324</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0.337</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0.348</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0.358</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0.257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0.277</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0.294</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0.310</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0.324</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0.337</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0.348</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0.358</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54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0.252</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0.272</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0.291</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0.307</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0.322</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0.335</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0.347</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0.357</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0.246</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0.268</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0.287</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0.304</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0.320</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0.333</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0.346</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0.357</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48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0.241</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0.263</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0.283</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0.301</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0.317</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0.332</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0.344</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0.356</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0.235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0.258</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0.279</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0.298</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0.315</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0.330</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0.343</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0.356</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42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0.228</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0.252</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0.274</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0.294</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0.312</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0.328</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0.342</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0.355</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0.221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0.246</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0.269</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0.290</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0.309</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0.325</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0.340</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0.354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36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0.213</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0.239</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0.263</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0.285</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0.305</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0.323</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0.339</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0.353</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0.205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0.232</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0.257</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0.280</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0.301</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0.320</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0.337</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0.352</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30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0.196</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0.224</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0.250</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0.274</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0.297</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0.316</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0.335</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0.351</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0.185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0.214</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0.242</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0.268</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0.291</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0.313</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0.332</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0.350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24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0.173</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0.204</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0.233</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0.260</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0.285</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0.308</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0.329</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0.348</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0.161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0.193</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0.223</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0.252</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0.279</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0.304</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0.326</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0.347</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18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0.146</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0.179</w:t>
            </w:r>
          </w:p>
        </w:tc>
        <w:tc>
          <w:tcPr>
            <w:tcW w:w="920" w:type="dxa"/>
            <w:vAlign w:val="bottom"/>
            <w:gridSpan w:val="2"/>
            <w:shd w:val="clear" w:color="auto" w:fill="D5EAEA"/>
          </w:tcPr>
          <w:p>
            <w:pPr>
              <w:jc w:val="right"/>
              <w:ind w:right="130"/>
              <w:spacing w:after="0"/>
              <w:rPr>
                <w:sz w:val="20"/>
                <w:szCs w:val="20"/>
                <w:color w:val="auto"/>
              </w:rPr>
            </w:pPr>
            <w:r>
              <w:rPr>
                <w:rFonts w:ascii="Times New Roman" w:cs="Times New Roman" w:eastAsia="Times New Roman" w:hAnsi="Times New Roman"/>
                <w:sz w:val="18"/>
                <w:szCs w:val="18"/>
                <w:color w:val="auto"/>
              </w:rPr>
              <w:t>0.211</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0.242</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0.271</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0.298</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0.322</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0.345</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0.130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0.164</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0.197</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0.230</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0.262</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0.291</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0.317</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0.342</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12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0.111</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0.146</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0.181</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0.216</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0.250</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0.282</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0.312</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0.339</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0.090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0.125</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0.162</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0.199</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0.237</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0.272</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0.305</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0.336</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6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8"/>
              </w:rPr>
              <w:t>0.065</w:t>
            </w:r>
          </w:p>
        </w:tc>
        <w:tc>
          <w:tcPr>
            <w:tcW w:w="90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w w:val="98"/>
              </w:rPr>
              <w:t>0.099</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0.137</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0.178</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0.219</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0.259</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0.296</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0.331</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0.034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0.065</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0.104</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0.150</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0.197</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0.243</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0.286</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0.326</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0 months</w:t>
            </w: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D5EAEA"/>
          </w:tcPr>
          <w:p>
            <w:pPr>
              <w:spacing w:after="0"/>
              <w:rPr>
                <w:sz w:val="18"/>
                <w:szCs w:val="18"/>
                <w:color w:val="auto"/>
              </w:rPr>
            </w:pPr>
          </w:p>
        </w:tc>
        <w:tc>
          <w:tcPr>
            <w:tcW w:w="80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0.042</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0.115</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0.179</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0.233</w:t>
            </w:r>
          </w:p>
        </w:tc>
        <w:tc>
          <w:tcPr>
            <w:tcW w:w="880" w:type="dxa"/>
            <w:vAlign w:val="bottom"/>
            <w:gridSpan w:val="2"/>
            <w:shd w:val="clear" w:color="auto" w:fill="D5EAEA"/>
          </w:tcPr>
          <w:p>
            <w:pPr>
              <w:jc w:val="right"/>
              <w:ind w:right="90"/>
              <w:spacing w:after="0"/>
              <w:rPr>
                <w:sz w:val="20"/>
                <w:szCs w:val="20"/>
                <w:color w:val="auto"/>
              </w:rPr>
            </w:pPr>
            <w:r>
              <w:rPr>
                <w:rFonts w:ascii="Times New Roman" w:cs="Times New Roman" w:eastAsia="Times New Roman" w:hAnsi="Times New Roman"/>
                <w:sz w:val="18"/>
                <w:szCs w:val="18"/>
                <w:color w:val="auto"/>
              </w:rPr>
              <w:t>0.281</w:t>
            </w:r>
          </w:p>
        </w:tc>
        <w:tc>
          <w:tcPr>
            <w:tcW w:w="900" w:type="dxa"/>
            <w:vAlign w:val="bottom"/>
            <w:gridSpan w:val="2"/>
            <w:shd w:val="clear" w:color="auto" w:fill="D5EAEA"/>
          </w:tcPr>
          <w:p>
            <w:pPr>
              <w:jc w:val="right"/>
              <w:ind w:right="110"/>
              <w:spacing w:after="0"/>
              <w:rPr>
                <w:sz w:val="20"/>
                <w:szCs w:val="20"/>
                <w:color w:val="auto"/>
              </w:rPr>
            </w:pPr>
            <w:r>
              <w:rPr>
                <w:rFonts w:ascii="Times New Roman" w:cs="Times New Roman" w:eastAsia="Times New Roman" w:hAnsi="Times New Roman"/>
                <w:sz w:val="18"/>
                <w:szCs w:val="18"/>
                <w:color w:val="auto"/>
              </w:rPr>
              <w:t>0.323</w:t>
            </w:r>
          </w:p>
        </w:tc>
        <w:tc>
          <w:tcPr>
            <w:tcW w:w="880" w:type="dxa"/>
            <w:vAlign w:val="bottom"/>
            <w:gridSpan w:val="2"/>
            <w:shd w:val="clear" w:color="auto" w:fill="D5EAEA"/>
          </w:tcPr>
          <w:p>
            <w:pPr>
              <w:jc w:val="center"/>
              <w:ind w:left="10"/>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w:t>
      </w:r>
    </w:p>
    <w:p>
      <w:pPr>
        <w:spacing w:after="0" w:line="18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For an example where the exact fair market value and redemption date are not as set forth in the table above, if the volume-weighted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in connection with this redemption feature for more than 0.361 Class A ordinary shares per warrant (subject to adjustment).</w:t>
      </w:r>
    </w:p>
    <w:p>
      <w:pPr>
        <w:spacing w:after="0" w:line="183"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7"/>
          <w:szCs w:val="17"/>
          <w:color w:val="auto"/>
        </w:rPr>
        <w:t>This redemption feature is structured to allow for all of the outstanding warrants to be redeemed when the Class A ordinary shares are trading at or above $10.00 per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 As stated above, we can redeem the warrants when the Class A ordinary shares are trading at a price starting at $10.00, which is below the exercise price of $11.50, because it will provide certainty with respect to our capital structure and cash position while providing</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8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Redemption Procedures</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outstanding immediately after giving effect to such exercise.</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ordinary shares is increased by a share capitalization payable in Class A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by a split-up of ordinary shares or other similar event, then, on the effective date of such share capitalization, split-up or similar event, the number of Class A ordinary shares issuable on exercise of each warrant will be increased in proportion to such increase in the outstanding ordinary shares. A rights offering to holders of ordinary shares entitling holders to purchase Class A ordinary shares at a price less than the “historical fair market value” (as defined below)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92"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w:t>
      </w:r>
    </w:p>
    <w:p>
      <w:pPr>
        <w:spacing w:after="0" w:line="1" w:lineRule="exact"/>
        <w:rPr>
          <w:sz w:val="20"/>
          <w:szCs w:val="20"/>
          <w:color w:val="auto"/>
        </w:rPr>
      </w:pPr>
    </w:p>
    <w:p>
      <w:pPr>
        <w:ind w:right="20" w:firstLine="8"/>
        <w:spacing w:after="0" w:line="251"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Class A ordinary shares in connection with a proposed initial business combination or certain amendments to our amended and restated memorandum and articles of association,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9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80"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and interest thereon, available for the funding of our initial business combination (net of redemptions), and (z) the volume-weighted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$10.00 and $18.00 per share redemption trigger prices described above under “—Redemption of warrants when the price per Class A ordinary share equals or exceeds $10.00” and “—Redemption of warrants when the price per Class A ordinary share equals or exceeds $18.00” will be adjusted (to the nearest cent) to be equal to 100% and 180% of the higher of the Market Value and the Newly Issued Price, respectively.</w:t>
      </w:r>
    </w:p>
    <w:p>
      <w:pPr>
        <w:spacing w:after="0" w:line="190"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8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No fractional shares will be issued upon exercise of the warrants. If, upon exercise of the warrants, a holder would be entitled to receive a fractional interest in a share, we will, upon exercise, round down to the nearest whole number, the number of Class A ordinary shares to be issued to the warrant holder.</w:t>
      </w:r>
    </w:p>
    <w:p>
      <w:pPr>
        <w:spacing w:after="0" w:line="17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Exclusive Forum Provision</w:t>
      </w:r>
      <w:r>
        <w:rPr>
          <w:rFonts w:ascii="Times New Roman" w:cs="Times New Roman" w:eastAsia="Times New Roman" w:hAnsi="Times New Roman"/>
          <w:sz w:val="18"/>
          <w:szCs w:val="18"/>
          <w:color w:val="auto"/>
        </w:rPr>
        <w:t>. Our warrant agreement will provide that, subject to applicable law, (i) any action, proceeding or claim against us arising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We will waive any objection to such exclusive jurisdiction and that such courts represent an inconvenient forum. See “Risk Factors—Risks Associated with Our Securities and Redemption—Our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does not apply to claims under the Exchange Act or any claim for which the federal district courts of the United States of America are the sole and exclusive forum.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Class A ordinary shares issuable upon exercise of such warrants) will not be transferable, assignable or salable until 30 days after the completion of our initial business combination (except, as described under “Principal Shareholders—Transfers of Founder Shares and Private Placement Warrants,” including to our officers and directors and other persons or entities affiliated with our sponsor) and they will not be redeemable by us so long as they are held by our sponsor or its permitted transferees (except as described above under “—Public Shareholders’ Warrants —Redemption of Warrants When the Price per Class A Ordinary Share Equals or Exceeds $18.00”). The sponsor or its permitted transferees, have the option to exercise the private placement warrants on a cashless basis. If the private placement warrants are held by holders other than the sponsor or its permitted transferees, the private placement warrants will be redeemable by us and exercisable by the holders on the same basis as the warrants included in the units being sold in this offering.</w:t>
      </w:r>
    </w:p>
    <w:p>
      <w:pPr>
        <w:spacing w:after="0" w:line="19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Except as described under “—Redemption of Warrants When the Price per Class A Ordinary Share Equals or Exceeds $10.00,”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“historical fair market value” of our Class A ordinary shares (defined below) over the exercise price of the warrants by (y) the historical fair market value. For these purposes, the “historical fair market value” will mean the average reported last reported sales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above, the private placement warrants have terms and provisions that are identical to those of the warrants being sold as part of the units in this offering.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incur any indebtedness, our ability to declare dividends may be limited by restrictive covenants we may agree to in connection therewith.</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78"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In certain circumstances, the Companies Act allows for mergers or consolidations between two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or between a Cayman Islands exempted company and a company incorporated in another jurisdiction (provided that is facilitated by the laws of that other jurisdiction).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662/3%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89"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Moreover, Cayman Islands law has separate statutory provisions that facilitate the reconstruction or amalgamation of companies in certain circumstances, schemes of arrangement will generally be more suited for</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92" w:lineRule="exact"/>
        <w:rPr>
          <w:sz w:val="20"/>
          <w:szCs w:val="20"/>
          <w:color w:val="auto"/>
        </w:rPr>
      </w:pPr>
    </w:p>
    <w:p>
      <w:pPr>
        <w:ind w:left="660" w:right="38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74"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Squeeze-out Provisions. </w:t>
      </w:r>
      <w:r>
        <w:rPr>
          <w:rFonts w:ascii="Times New Roman" w:cs="Times New Roman" w:eastAsia="Times New Roman" w:hAnsi="Times New Roman"/>
          <w:sz w:val="18"/>
          <w:szCs w:val="18"/>
          <w:color w:val="auto"/>
        </w:rPr>
        <w:t>When a takeover offer is made and accepted by holders of 90% of the shares to whom the offer relates is made within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2" w:lineRule="exact"/>
        <w:rPr>
          <w:sz w:val="20"/>
          <w:szCs w:val="20"/>
          <w:color w:val="auto"/>
        </w:rPr>
      </w:pPr>
    </w:p>
    <w:p>
      <w:pPr>
        <w:jc w:val="both"/>
        <w:ind w:right="280" w:firstLine="324"/>
        <w:spacing w:after="0" w:line="312" w:lineRule="auto"/>
        <w:rPr>
          <w:sz w:val="20"/>
          <w:szCs w:val="20"/>
          <w:color w:val="auto"/>
        </w:rPr>
      </w:pPr>
      <w:r>
        <w:rPr>
          <w:rFonts w:ascii="Times New Roman" w:cs="Times New Roman" w:eastAsia="Times New Roman" w:hAnsi="Times New Roman"/>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38"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Maples and Calder, our Cayman Islands legal counsel, is not aware of any reported class action having been brought in a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84"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60" w:lineRule="exact"/>
        <w:rPr>
          <w:sz w:val="20"/>
          <w:szCs w:val="20"/>
          <w:color w:val="auto"/>
        </w:rPr>
      </w:pPr>
    </w:p>
    <w:p>
      <w:pPr>
        <w:ind w:right="5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 The Cayman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Cayman Islands companies may not have standing to sue before the Federal courts of the United States.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8"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Special Considerations for Exempted Companies</w:t>
      </w:r>
      <w:r>
        <w:rPr>
          <w:rFonts w:ascii="Times New Roman" w:cs="Times New Roman" w:eastAsia="Times New Roman" w:hAnsi="Times New Roman"/>
          <w:sz w:val="18"/>
          <w:szCs w:val="18"/>
          <w:color w:val="auto"/>
        </w:rPr>
        <w:t>. We are an exempted company with limited liability under the Companies Act.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shares with no par value;</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Memorandum and Articles of Association</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Business Combination Article of our amended and restated memorandum and articles of association contains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at least two-thirds (or any higher threshold specified in a company’s articles of association) of a company’s shareholders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provide that special resolutions must be approved either by at least two-thirds of our shareholders (i.e.,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lowest threshold permissible under Cayman Islands law) (other than amendments relating to the rights of holders of Class B ordinary shares to appoint or remove directors, which may be amended by a special resolution passed by a majority of at least 90% of our ordinary shares voting in a general meeting), or by a unanimous written resolution of all of our shareholders.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180" w:lineRule="exact"/>
        <w:rPr>
          <w:sz w:val="20"/>
          <w:szCs w:val="20"/>
          <w:color w:val="auto"/>
        </w:rPr>
      </w:pPr>
    </w:p>
    <w:p>
      <w:pPr>
        <w:ind w:left="660" w:right="60" w:hanging="328"/>
        <w:spacing w:after="0" w:line="254"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not completed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income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9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securities that would entitle the holders thereof to (i) receive funds from the trust account or (ii) vote on our initial business combination;</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enter into a business combination with a target business that is affiliated with our sponsor, our directors or our officers, we, or a committee of independent and disinterested directors, will obtain an opinion from an independent investment banking firm that is a member of FINRA or a valuation or appraisal firm that such a business combination is fair to our company from a financial point of view;</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179"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complete one or more business combinations having an aggregate fair market value of at least 80% of the assets held in the trust account (excluding the deferred underwriting commissions and taxes payable on the income earned on the trust account);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we will provide our public shareholders with the opportunity to redeem all or a portion of their Class A ordinary shares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and on the conditions described herein; and</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effectuate our initial business combination solely with another blank check company or a similar company with nominal operations.</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our amended and restated memorandum and articles of association provide we will not redeem our public shares in an amount that would cause our net tangible assets to be less than $5,000,001. We may, however,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requirement.</w:t>
      </w:r>
    </w:p>
    <w:p>
      <w:pPr>
        <w:spacing w:after="0" w:line="17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Companies Act permits a company incorporated in the Cayman Islands to amend its memorandum and articles of association with the approval of a special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Anti-Money Laundering—Cayman Islands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(2020 Revision) of the Cayman Islands if the disclosure relates to criminal conduct or money laundering, or (ii) a police officer of the rank of constable or higher, or the Financial Reporting Authority, pursuant to the Terrorism Act (2018 Revision)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 Data Protection</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2017 of the Cayman Islands (the “DPL”) based on internationally accepted principles of data privacy.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Privacy Notice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the Company you will provide us with certain personal information which constitutes personal data within the meaning of the DPL (“personal data”).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following discussion, the “company” refers to us and our affiliates and/or delegates, except where the context requires otherwise.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 Data</w:t>
      </w:r>
    </w:p>
    <w:p>
      <w:pPr>
        <w:spacing w:after="0" w:line="225"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Who this Affects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 the Company May Use a Shareholder’s Personal Data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(such as compliance with anti-money laundering and FATCA/CRS requirements); and/or</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 you.</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Why We May Transfer Your Personal Data</w:t>
      </w:r>
    </w:p>
    <w:p>
      <w:pPr>
        <w:spacing w:after="0" w:line="22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Data Protection Measures We Take</w:t>
      </w:r>
    </w:p>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and/or delegates outside of the Cayman Islands shall be in accordance with the requirements of the DPL.</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Amended and Restated Memorandum and Articles of Association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Immediately after this offering we will have 31,250,000 (or 35,937,500 if the underwriters’ over-allotment option is exercised in full) ordinary shares outstanding. Of these shares, the Class A ordinary shares sold in this offering (25,000,000 Class A ordinary shares if the underwriters’ over-allotment option is not exercised and 28,750,000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(6,250,000 founder shares if the underwriters’ over-allotment option is not exercised and 7,187,500 founder shares if the underwriters’ over-allotment option is exercised in full) and all of the outstanding private placement warrants (4,666,667 private placement warrants if the underwriters’ over-allotment option is not exercised and 5,166,667 private placement warrants if the underwriters’ over-allotment option is exercised in full) will be restricted securities under Rule 144, in that they were issued in private transactions not involving a public offering, and are subject to transfer restrictions as set forth elsewhere in this prospectus.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right="38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ordinary shares then outstanding, which will equal 312,500 shares immediately after this offering (or 359,375 if the underwriters exercise in full their over-allotment option);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ordinary shares during the four calendar weeks preceding the filing of a notice on Form 144 with respect to the sale.</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right="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a result, our initial shareholders will be able to sell their founder shares and private placement warrants, as applicable, pursuant to Rule 144 without registration one year after we have completed our initial business combination.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the resale of any of our securities held by them pursuant to a registration rights agreement. Pursuant to the registration rights agreement and assuming the underwriters exercise their over-allotment option in full and $1,500,000 of working capital loans are converted into private placement warrants, we will be obligated to register up to 13,354,167 Class A ordinary shares and 6,166,667 warrants. The number of Class A ordinary shares includes (i) 7,187,500 Class A ordinary shares to be issued upon conversion of the founder shares, (ii) 5,166,667 Class A ordinary shares underlying the private placement warrants and (iii) 1,000,000 Class A ordinary shares underlying the private placement warrants issuable upon conversion of working capital loans. The number of warrants includes 5,166,667 private placement warrants issued in a private placement simultaneously with the closing of this offering and 1,000,000 private placement warrants issuable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applied to list our units on the NYSE under the symbol “ .U” commencing on or promptly after the date of this prospectus. Once the securities comprising the units begin separate trading, we expect that the Class A ordinary shares and warrants will be listed on the NYSE under the</w:t>
      </w: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symbols “</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and “</w:t>
            </w:r>
          </w:p>
        </w:tc>
        <w:tc>
          <w:tcPr>
            <w:tcW w:w="8980" w:type="dxa"/>
            <w:vAlign w:val="bottom"/>
          </w:tcPr>
          <w:p>
            <w:pPr>
              <w:jc w:val="right"/>
              <w:ind w:right="7210"/>
              <w:spacing w:after="0"/>
              <w:rPr>
                <w:sz w:val="20"/>
                <w:szCs w:val="20"/>
                <w:color w:val="auto"/>
              </w:rPr>
            </w:pPr>
            <w:r>
              <w:rPr>
                <w:rFonts w:ascii="Times New Roman" w:cs="Times New Roman" w:eastAsia="Times New Roman" w:hAnsi="Times New Roman"/>
                <w:sz w:val="18"/>
                <w:szCs w:val="18"/>
                <w:color w:val="auto"/>
              </w:rPr>
              <w:t>WS,” respectively.</w:t>
            </w:r>
          </w:p>
        </w:tc>
      </w:tr>
      <w:tr>
        <w:trPr>
          <w:trHeight w:val="522"/>
        </w:trPr>
        <w:tc>
          <w:tcPr>
            <w:tcW w:w="1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jc w:val="right"/>
              <w:ind w:right="5410"/>
              <w:spacing w:after="0"/>
              <w:rPr>
                <w:sz w:val="20"/>
                <w:szCs w:val="20"/>
                <w:color w:val="auto"/>
              </w:rPr>
            </w:pPr>
            <w:r>
              <w:rPr>
                <w:rFonts w:ascii="Times New Roman" w:cs="Times New Roman" w:eastAsia="Times New Roman" w:hAnsi="Times New Roman"/>
                <w:sz w:val="18"/>
                <w:szCs w:val="18"/>
                <w:color w:val="auto"/>
              </w:rPr>
              <w:t>140</w:t>
            </w:r>
          </w:p>
        </w:tc>
      </w:tr>
    </w:tbl>
    <w:p>
      <w:pPr>
        <w:sectPr>
          <w:pgSz w:w="11900" w:h="16838" w:orient="portrait"/>
          <w:cols w:equalWidth="0" w:num="1">
            <w:col w:w="11240"/>
          </w:cols>
          <w:pgMar w:left="320" w:top="225" w:right="3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of certain Cayman Islands and United States federal income tax considerations generally applicable to an investment in our units, each consisting of one Class A ordinary share and one-third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8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advisors on the possible tax consequences of investing in our securities under the laws of their country of citizenship, residence or domicile.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corporation or capital gains tax and no estate duty, inheritance tax or gift tax.</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the warrants. An instrument of transfer in respect of a warrant is stampable if executed in or brought into the Cayman Islands.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Class A ordinary shares or on an instrument of transfer in respect of such shares.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been incorporated under the laws of the Cayman Islands as an exempted company with limited liability and, as such, has received an undertaking from the Financial Secretary of the Cayman Islands in the following form: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Tax Concessions Law (2018 Revision)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Undertaking as to Tax Concessions</w:t>
      </w:r>
    </w:p>
    <w:p>
      <w:pPr>
        <w:spacing w:after="0" w:line="207"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provision of Section 6 of The Tax Concessions Law (2018 Revision), the Financial Secretary undertakes with Freedom Acquisition I Corp. (“the Company”):</w:t>
      </w:r>
    </w:p>
    <w:p>
      <w:pPr>
        <w:spacing w:after="0" w:line="162" w:lineRule="exact"/>
        <w:rPr>
          <w:sz w:val="20"/>
          <w:szCs w:val="20"/>
          <w:color w:val="auto"/>
        </w:rPr>
      </w:pPr>
    </w:p>
    <w:p>
      <w:pPr>
        <w:ind w:left="660" w:right="12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Cayman Islands imposing any tax to be levied on profits, income, gains or appreciations shall apply to the Company or its operations; and</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On or in respect of the shares, debentures or other obligations of the Company;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by way of the withholding in whole or part, of any relevant payment as defined in the Tax Concessions Law (2018 Revision).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concessions shall be for a period of twenty years from the date hereof.</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following discussion summarizes certain United States federal income tax considerations generally applicable to the acquisition, ownership and disposition of our units (each consisting of one Class A ordinary share and one-third of one redeemable warrant) that are purchased in this offering, which we refer to collectively as our securities,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United States federal income taxation that may be relevant to the acquisition, ownership and disposition of a unit by a prospective investor in light of its particular circumstances, including:</w:t>
      </w:r>
    </w:p>
    <w:p>
      <w:pPr>
        <w:spacing w:after="0" w:line="18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tax accounting rules;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ten percent or more of our voting shares or ten percent or more of the total value of our shares;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hedging, conversion or other integrated or similar transaction;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Moreover, the discussion below is based upon the provisions of the Code, the Treasury regulations promulgated thereunder and administrative and judicial interpretations thereof, all as of the date hereof, and such provisions may</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 repealed, revoked, modified or subject to differing interpretations, possibly on a retroactive basis, so as to result in United States federal income tax consequences different from those discussed below. Furthermore, this discussion does not address any aspect of United States federal non-income tax laws, such as gift, estate or Medicare contribution tax laws, or state, local or non-U.S. tax laws.</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units,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arrangements treated as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 and Characterization of a Unit</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unit or instruments similar to a unit for United States federal income tax purposes, and therefore, that treatment is not entirely clear. The acquisition of a unit should be treated for United States federal income tax purposes as the acquisition of one Class A ordinary share and one-third of one warrant, a whole one of which is exercisable to acquire one Class A ordinary share. We intend to treat the acquisition of a unit in this manner. For United States federal income tax purposes, each holder of a unit must allocate the purchase price paid by such holder for such unit between the one Class A ordinary share and the one-third of one warrant based on the relative fair market value of each at the time of issuance. Under United States federal income tax law, each investor must make his or her own determination of such value based on all the facts and circumstances. Therefore, we strongly urge each investor to consult his or her tax advisor regarding the determination of value for these purposes. The price allocated to each Class A ordinary share and one-third of one warrant should be the shareholder’s tax basis in such share or warrant. Any disposition of a unit should be treated for United States federal income tax purposes as a disposition of the Class A ordinary share and one-third of one warrant comprising the unit, and the amount realized on the disposition should be allocated between the Class A ordinary share and warrant based on their relative fair market values at the time of disposition (as determined by each such unit holder based on all the facts and circumstances). Neither the separation of the Class A ordinary share and the one-third of one warrant constituting a unit nor the combination of thirds of warrants into a single warrant should be a taxable event for United States federal income tax purposes.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Subject to PFIC rules discussed below, a U.S. Holder generally will be required to include in gross income, in accordance with such U.S. Holder’s method of accounting for United States federal income tax purposes, as dividends the amount of any cash distribution paid on our Class A ordinary shares to the extent the distribution is paid out of our current or accumulated earnings and profits (as determined under United States federal income tax principles). Such dividends paid by us will be taxable to a corporate U.S. Holder at ordinary income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With respect to non-corporate U.S. Holders,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and certain other requirements, including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or Loss on Sale, Taxable Exchange or Other Taxable Disposition of Class A Ordinary Shares and Warrants</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 If the running of the holding period is suspended, then non-corporate U.S. Holders may not be able to satisfy the one-year holding period requirement for long-term capital gain treatment, in which case any gain on a sale or taxable disposition of our Class A ordinary shares or warrants would be subject to short-term capital gain treatment and would be taxed at ordinary income rates.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amount of gain or loss recognized on a sale or other taxable disposition generally will be equal to the difference between (i)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fair market values of the Class A ordinary shares and the warrants included in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Class A ordinary share or one-third of one warrant, as described above under “Allocation of Purchase Price and Characterization of a Unit”) reduced, with respect to the Class A ordinary shares, by any prior distributions treated as a return of capital. Long-term capital gain realized by a non-corporate U.S. Holder is currently eligible to be taxed at reduced rates. See “Exercise, Lapse or Redemption of a Warrant” below for a discussion regarding a U.S. Holder’s basis in a Class A ordinary share acquired pursuant to the exercise of a warrant. The deduction of capital losses is subject to certain limitations.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Class A Ordinary Shares</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Subject to the PFIC rules discussed below, in the event that a U.S. Holder’s Class A ordinary shares are redeemed pursuant to the redemption provisions described in this prospectus under “Description of Securities—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Ordinary Shares” or if we purchase a U.S. Holder’s Class A ordinary shares in an open market transaction, the treatment of the transaction for United States federal income tax purposes will depend on whether the redemption or purchase by us qualifies as a sale of the Class A ordinary shares under Section 302 of the Code. If the redemption or purchase by us qualifies as a sale of Class A ordinary shares, the U.S. Holder will be treated as described under “Gain or Loss on Sale, Taxable Exchange or Other Taxable Disposition of Class A Ordinary Shares and Warrants” above. If the redemption or purchase by us does not qualify as a sale of Class A ordinary shares, the U.S. Holder will be treated as receiving a corporate distribution with the tax consequences described above under “Taxation of Distributions.” Whether a redemption or purchase by us qualifies for sale treatment will depend largely on the total number of our shares treated as held by the U.S. Holder (including any Class A ordinary shares constructively owned by the U.S. Holder as a result of owning warrants) relative to all of our shares outstanding both before and after such redemption or purchase. The redemption or purchase by us of Class A ordinary shares generally will be treated as a sale of the Class A ordinary shares (rather than as a corporate distribution) if such redemption or purchase by us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issued and outstanding voting shares actually and constructively owned by the U.S. Holder immediately following the redemption or purchase by us of Class A ordinary shares must, among other requirements, be less than 80 percent of the percentage of our issued and outstanding voting shares actually and constructively owned by the U.S. Holder immediately before the redemption or purchase by us.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of our shares. The redemption or purchase by us of the Class A ordinary shares will not be essentially equivalent to a dividend if such redemption or purchase by us results in a “meaningful reduction” of the U.S. Holder’s proportionate interest in us. Whether the redemption or purchase by us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its own tax advisors as to the tax consequences of a redemption or purchase by us of any Class A ordinary shares.</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or purchase by us of any Class A ordinary shares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If there are no remaining shares, a U.S. Holder is urged to consult its tax advisor as to the allocation of any remaining tax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Lapse or Redemption of a Warrant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law. A cashless exercise may not be taxable, either because the exercise is not a realization event or because the exercise is treated as a recapitalization for United States federal income tax purposes (including if a U.S. Holder exercises its warrants on a cashless basis after we provide notice that we will redeem warrants for $0.10 as described in the section of this prospectus entitled “Description of Securities—Warrants—Public Stockholders’ Warrants—Redemption of warrants when the price per Class A ordinary share equals or exceeds $10.00” and “Description of Securities—Warrants—Public Stockholders’ Warrants—Redemption of warrants when the price per Class A ordinary share equals or exceeds $18.00” and such cashless exercise is characterized as a redemption of warrants for Class A ordinary shares).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may be deemed to have surrendered warrants with an aggregate value equal to the exercise price for the total number of warrants to be deemed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deemed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shares would commence on the date of exercise of the warrant or the day following the date of exercise of the warrant.</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PFIC rules described below, if we redeem warrants for cash pursuant to the redemption provisions described in the section of this prospectus entitled “Description of Securities—Warrants—Public Shareholders’ Warrants” or if we 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Securities—Warrants—Public Shareholders’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in the exercise price of the warrant) as a result of a distribution of cash or other property such as other securities to the holders of our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the increase in the interest. For certain information reporting purposes, we are required to determine the date and amount of any such constructive distributions. Proposed Treasury regulations, which we may rely on prior to the issuance of final regulations, specify how the date and amount of constructive distributions are determined.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Because we are a blank check company, with no current active business, we believe that it is likely that we will meet the PFIC asset or income test for our current taxable year ending December 31, 2021 and any other periods prior to the initial business combination.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first two taxable years following the start-up year; and (iii) the corporation is not in fact a PFIC for either of those years. Although subject to uncertainty, we may qualify for the start-up exception for 2021, and, in such case, we would not be treated as a PFIC for 2021. The applicability of the start-up exception to us will not be known until after the close of our current taxable year ending December 31, 2021 and, perhaps, until after the close of the first two taxable years following our start-up year (within the meaning of the start-up exception). Further,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ending December 31, 2021. Our actual PFIC status for our current taxable year or any subsequent taxable year will not be determinable until after the end of such taxable year. Accordingly, there can be no assurance with respect to our status as a PFIC for our current taxable year ending December 31, 2021 or any future taxable year.</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our PFIC status is determined annually, an initial determination that our company is a PFIC will generally apply for subsequent years to a U.S. Holder who held (or is deemed to have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right="140" w:hanging="328"/>
        <w:spacing w:after="0" w:line="289" w:lineRule="auto"/>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gain (including upon a disposition, redemption or expiration or, under certain circumstances, a pledge) or excess distribution will be allocated ratably over the U.S. Holder’s holding period for the Class A ordinary shares or warrants, possibly including gain realized by reason of transfers of Class A ordinary shares or warrants that would otherwise qualify as tax free for United States federal income tax purposes;</w:t>
      </w:r>
    </w:p>
    <w:p>
      <w:pPr>
        <w:spacing w:after="0" w:line="157" w:lineRule="exact"/>
        <w:rPr>
          <w:rFonts w:ascii="Times New Roman" w:cs="Times New Roman" w:eastAsia="Times New Roman" w:hAnsi="Times New Roman"/>
          <w:sz w:val="17"/>
          <w:szCs w:val="17"/>
          <w:color w:val="auto"/>
        </w:rPr>
      </w:pPr>
    </w:p>
    <w:p>
      <w:pPr>
        <w:jc w:val="both"/>
        <w:ind w:left="660" w:right="140" w:hanging="328"/>
        <w:spacing w:after="0" w:line="312" w:lineRule="auto"/>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39" w:lineRule="exact"/>
        <w:rPr>
          <w:rFonts w:ascii="Times New Roman" w:cs="Times New Roman" w:eastAsia="Times New Roman" w:hAnsi="Times New Roman"/>
          <w:sz w:val="17"/>
          <w:szCs w:val="17"/>
          <w:color w:val="auto"/>
        </w:rPr>
      </w:pPr>
    </w:p>
    <w:p>
      <w:pPr>
        <w:jc w:val="both"/>
        <w:ind w:left="660" w:right="1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right="14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general, if we are determined to be a PFIC, 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the foregoing,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for the pre-QEF election period,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As a result of this election, the U.S. Holder will generally have additional basis (to the extent of any gain recognized on the deemed sale) and, solely for purposes of the PFIC rules, a new holding period in the Class A ordinary shares acquired upon the exercise of the warrants. U.S. Holders are urged to consult their tax advisors as to the application of the rules governing purging elections to their particular circumstances (including a separate “deemed dividend” election that may be available if we are a controlled foreign corporation).</w:t>
      </w:r>
    </w:p>
    <w:p>
      <w:pPr>
        <w:spacing w:after="0" w:line="19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we determine we are a PFIC for any taxable year (of which there can be no assurance),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or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Securities and Exchange Commission, including NYSE, or on a foreign exchange or market that the IRS determines has rules sufficient to ensure that the market price represents a legitimate and sound fair market value. In general, the Class A ordinary shares will be treated as regularly traded in any calendar year in which more than a de minimis quantity of Class A ordinary shares are traded on a qualified exchange on at least 15 days during each calendar quarter.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own tax advisors regarding the availability and tax consequences of a mark-to-market election in respect to our Class A ordinary shares under their particular circumstances.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The mark-to-market election discussed above will not apply to any of such lower-tier PFIC. Accordingly, U.S. Holders may continue to be subject to tax under the PFIC excess distribution regime with respect to any lower-tier PFIC notwithstanding a mark-to-market election for the Class A ordinary shares.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8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to our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Reporting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that is for United States federal income tax purposes:</w:t>
      </w:r>
    </w:p>
    <w:p>
      <w:pPr>
        <w:spacing w:after="0" w:line="176"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disposition. If you are such an individual, you should consult your tax advisor regarding the United States federal income tax consequences of the sale or other disposition of our securities.</w:t>
      </w:r>
    </w:p>
    <w:p>
      <w:pPr>
        <w:spacing w:after="0" w:line="17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Dividends (including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Dividends (including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183"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characterization for United States federal income tax purposes of the exercise, lapse or redemption of a warrant held by a Non-U.S. Holder will correspond to the characterization described under “U.S. Holders—Exercise, Lapse or Redemption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U.S. Holders who are required to establish their exempt status may be required to provide such certification on IRS Form W-9.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Backup withholding is not an additional tax. Amounts withheld as backup withholding may be credited against a holder’s United States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16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offering the units described in this prospectus through a number of underwriters. J.P. Morgan Securities LLC is acting as book running manager of the offering and as representative of the underwriters. We have entered into an underwriting agreement with the representative of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units listed next to its name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6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36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Number of Units</w:t>
            </w: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680" w:type="dxa"/>
            <w:vAlign w:val="bottom"/>
          </w:tcPr>
          <w:p>
            <w:pPr>
              <w:spacing w:after="0"/>
              <w:rPr>
                <w:sz w:val="20"/>
                <w:szCs w:val="20"/>
                <w:color w:val="auto"/>
              </w:rPr>
            </w:pPr>
          </w:p>
        </w:tc>
      </w:tr>
      <w:tr>
        <w:trPr>
          <w:trHeight w:val="216"/>
        </w:trPr>
        <w:tc>
          <w:tcPr>
            <w:tcW w:w="756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shd w:val="clear" w:color="auto" w:fill="D5EAEA"/>
          </w:tcPr>
          <w:p>
            <w:pPr>
              <w:jc w:val="right"/>
              <w:ind w:right="290"/>
              <w:spacing w:after="0"/>
              <w:rPr>
                <w:sz w:val="20"/>
                <w:szCs w:val="20"/>
                <w:color w:val="auto"/>
              </w:rPr>
            </w:pPr>
            <w:r>
              <w:rPr>
                <w:rFonts w:ascii="Times New Roman" w:cs="Times New Roman" w:eastAsia="Times New Roman" w:hAnsi="Times New Roman"/>
                <w:sz w:val="18"/>
                <w:szCs w:val="18"/>
                <w:color w:val="auto"/>
              </w:rPr>
              <w:t>25,000,000</w:t>
            </w:r>
          </w:p>
        </w:tc>
      </w:tr>
    </w:tbl>
    <w:p>
      <w:pPr>
        <w:spacing w:after="0" w:line="198"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purchase all the units offered by us if they purchase any units. The underwriting agreement also provides that if an underwriter defaults, the purchase commitments of non-defaulting underwriters may also be increased or the offering may be terminated.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underwriters propose to offer the units directly to the public at the initial public offering price set forth on the cover page of this prospectus and to</w:t>
      </w:r>
    </w:p>
    <w:p>
      <w:pPr>
        <w:spacing w:after="0" w:line="2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certain dealers at that price less a concession not in excess of $ per unit. After the initial offering of the units to the public, if all of the units are not sold at the initial public offering price, the underwriters may change the offering price and the other selling terms. Sales of any units made outside of the United States may be made by affiliates of the underwriters.</w:t>
      </w:r>
    </w:p>
    <w:p>
      <w:pPr>
        <w:spacing w:after="0" w:line="18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3,750,000 additional units from us to cover sales of units by the underwriters which exceed the number of units specified in the table above. The underwriters have 45 days from the date of this prospectus to exercise this option to purchase additional units. If any units are purchased with this option to purchase additional units, the underwriters will purchase units in approximately the same proportion as shown in the table above. If any additional units are purchased, the underwriters will offer the additional units on the same terms as those on which the units are being offered.</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discounts and commissions to be paid to the underwriters assuming both no exercise and full exercise of the underwriters’ option to purchase additional units.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Per Unit(1)</w:t>
            </w:r>
          </w:p>
        </w:tc>
        <w:tc>
          <w:tcPr>
            <w:tcW w:w="1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spacing w:after="0"/>
              <w:rPr>
                <w:sz w:val="20"/>
                <w:szCs w:val="20"/>
                <w:color w:val="auto"/>
              </w:rPr>
            </w:pPr>
          </w:p>
        </w:tc>
      </w:tr>
      <w:tr>
        <w:trPr>
          <w:trHeight w:val="187"/>
        </w:trPr>
        <w:tc>
          <w:tcPr>
            <w:tcW w:w="55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Without Over-</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With Over-</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Without Over-</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With Over-</w:t>
            </w:r>
          </w:p>
        </w:tc>
      </w:tr>
      <w:tr>
        <w:trPr>
          <w:trHeight w:val="238"/>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allotment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allotment</w:t>
            </w:r>
          </w:p>
        </w:tc>
        <w:tc>
          <w:tcPr>
            <w:tcW w:w="10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allotment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allotment</w:t>
            </w:r>
          </w:p>
        </w:tc>
      </w:tr>
      <w:tr>
        <w:trPr>
          <w:trHeight w:val="210"/>
        </w:trPr>
        <w:tc>
          <w:tcPr>
            <w:tcW w:w="552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20" w:type="dxa"/>
            <w:vAlign w:val="bottom"/>
            <w:tcBorders>
              <w:top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Borders>
              <w:top w:val="single" w:sz="8" w:color="D5EAEA"/>
            </w:tcBorders>
            <w:shd w:val="clear" w:color="auto" w:fill="D5EAEA"/>
          </w:tcPr>
          <w:p>
            <w:pPr>
              <w:spacing w:after="0"/>
              <w:rPr>
                <w:sz w:val="18"/>
                <w:szCs w:val="18"/>
                <w:color w:val="auto"/>
              </w:rPr>
            </w:pPr>
          </w:p>
        </w:tc>
        <w:tc>
          <w:tcPr>
            <w:tcW w:w="160" w:type="dxa"/>
            <w:vAlign w:val="bottom"/>
            <w:tcBorders>
              <w:top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13,750,000</w:t>
            </w:r>
          </w:p>
        </w:tc>
        <w:tc>
          <w:tcPr>
            <w:tcW w:w="10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15,812,500</w:t>
            </w:r>
          </w:p>
        </w:tc>
      </w:tr>
      <w:tr>
        <w:trPr>
          <w:trHeight w:val="245"/>
        </w:trPr>
        <w:tc>
          <w:tcPr>
            <w:tcW w:w="552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________________________</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ind w:left="340" w:right="140" w:hanging="332"/>
        <w:spacing w:after="0" w:line="264" w:lineRule="auto"/>
        <w:tabs>
          <w:tab w:leader="none" w:pos="3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w:t>
      </w:r>
    </w:p>
    <w:p>
      <w:pPr>
        <w:ind w:left="340"/>
        <w:spacing w:after="0" w:line="250" w:lineRule="auto"/>
        <w:rPr>
          <w:sz w:val="20"/>
          <w:szCs w:val="20"/>
          <w:color w:val="auto"/>
        </w:rPr>
      </w:pPr>
      <w:r>
        <w:rPr>
          <w:rFonts w:ascii="Times New Roman" w:cs="Times New Roman" w:eastAsia="Times New Roman" w:hAnsi="Times New Roman"/>
          <w:sz w:val="18"/>
          <w:szCs w:val="18"/>
          <w:color w:val="auto"/>
        </w:rPr>
        <w:t>be released to the underwriters only on completion of an initial business combination, in an amount equal to $0.35 multiplied by the number of Class A ordinary shares sold as part of the units in this offering, as described in this prospectus. Of such deferred commissions, at the sole and absolute</w:t>
      </w:r>
    </w:p>
    <w:p>
      <w:pPr>
        <w:spacing w:after="0" w:line="1" w:lineRule="exact"/>
        <w:rPr>
          <w:sz w:val="20"/>
          <w:szCs w:val="20"/>
          <w:color w:val="auto"/>
        </w:rPr>
      </w:pPr>
    </w:p>
    <w:p>
      <w:pPr>
        <w:ind w:left="340" w:right="100"/>
        <w:spacing w:after="0" w:line="255" w:lineRule="auto"/>
        <w:rPr>
          <w:sz w:val="20"/>
          <w:szCs w:val="20"/>
          <w:color w:val="auto"/>
        </w:rPr>
      </w:pPr>
      <w:r>
        <w:rPr>
          <w:rFonts w:ascii="Times New Roman" w:cs="Times New Roman" w:eastAsia="Times New Roman" w:hAnsi="Times New Roman"/>
          <w:sz w:val="18"/>
          <w:szCs w:val="18"/>
          <w:color w:val="auto"/>
        </w:rPr>
        <w:t>discretion of our management team, after consultation with the underwriters, up to $ per unit, or up to $ (or $ if the over-allotment option is exercised in full) may be paid to any one or more regulated broker-dealers, which may include one or more underwriters in this offering, that assist us in consummating our initial business combination.</w:t>
      </w:r>
    </w:p>
    <w:p>
      <w:pPr>
        <w:spacing w:after="0" w:line="18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We estimate that our non-reimbursed out-of-pocket expenses for this offering will be approximately $1,000,000. We have agreed to pay for the FINRA-related fees and expenses of the underwriters’ legal counsel, not to exceed $25,000.</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units to underwriters and selling group members for sale to their online brokerage account holders. Internet distributions will be allocated by the representative to underwriters and selling group members that may make Internet distributions on the same basis as other allocations.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our sponsor and our officers and directors have agreed that we will not offer, sell, contract to sell, pledge or otherwise dispose of, directly or indirectly, without the prior written consent of J.P. Morgan Securities LLC for a period of 180 days after the date of this prospectus, any units, warrants, Class A ordinary shares or any other securities convertible into, or exercisable, or exchangeable for, Class A ordinary shares;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private placement warrants and the Class A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J.P. Morgan Securities LLC in its sole discretion may release any of the securities subject to these lock-up agreements at any time without notice.</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initial shareholders have agreed not to transfer, assign or sell any of their founder shares (including the Class A ordinary shares issued upon conversion thereof) until the earlier to occur of (A) one year after the completion of our initial business combination; and (B) subsequent to our initial business combination, (x) if the last reported sale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stock exchange, reorganization or other similar transaction that results in all of our public shareholders having the right to exchange their Class A ordinary shares for cash, securities or other property (except with respect to permitted transferees as described herein under “Principal Shareholders—Transfers of Founder Shares and Private Placement Warrants”). Any permitted transferees would be subject to the same restrictions and other agreements of our initial shareholders with respect to any founder shares.</w:t>
      </w:r>
    </w:p>
    <w:p>
      <w:pPr>
        <w:spacing w:after="0" w:line="18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Shareholders—Transfers of Founder Shares and Private Placement Warrants”).</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under the Securities Act, or contribute to payments that the underwriters may be required to make in that respect.</w:t>
      </w:r>
    </w:p>
    <w:p>
      <w:pPr>
        <w:spacing w:after="0" w:line="16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expect our units to be listed on the NYSE, under the symbol “ .U” and, once the Class A ordinary shares and warrants begin separate trading, to have our Class A ordinary shares and warrants listed on the NYSE under the symbols “ ” and “ WS,” respectively.</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If we do not complete our initial business combination within 24 months from the closing of this offering or during any Extension Period, the trustee and the underwriters have agreed that: (1) they will forfeit any rights or claims to their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shareholders.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 making bids for, purchasing and selling securities in the open market for the purpose of preventing or retarding a decline in the market price of the securities while this offering is in progress. These stabilizing transactions may include making short sales of securities, which involves the sale by the underwriters of a greater number of securities than they are required to purchase in this offering, and purchasing securities on the open market to cover positions created by short sales. Short sales may be “covered” shorts, which are short positions in an amount not greater than the underwriters’ option to purchase additional securities referred to above, or may be “naked” shorts, which are short positions in excess of that amount. The underwriters may close out any covered short position either by exercising their option to purchase additional securities, in whole or in part, or by purchasing securities in the open market. In making this determination, the underwriters will consider, among other things, the price of shares available for purchase in the open market compared to the price at which the underwriters may purchase securities through the option to purchase additional securities. A naked short position is more likely to be created if the underwriters are concerned that there may be downward pressure on the price of the securities in the open market that could adversely affect investors who purchase in this offering. To the extent that the underwriters create a naked short position, they will purchase securities in the open market to cover the position.</w:t>
      </w:r>
    </w:p>
    <w:p>
      <w:pPr>
        <w:spacing w:after="0" w:line="190"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securities, including the imposition of penalty bids. This means that if the representatives of the underwriters purchase securities in the open market in stabilizing transactions or to cover short sales, the representatives can require the underwriters that sold those securities as part of this offering to repay the underwriting discount received by them.</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securities or preventing or retarding a decline in the market price of the securities, and, as a result, the price of the securities may be higher than the price that otherwise might exist in the open market. If the underwriters commence these activities, they may discontinue them at any time. The underwriters may carry out these transactions on the NYSE, in the over the counter market or otherwise.</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not under any contractual obligation to engage any of the underwriters to provide any services for us after this offering, but we may do so at our discretion. However, any of the underwriters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60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 Any fees we may pay the underwriters or their affiliates for services rendered to us after this offering may be contingent on the completion of a business combination and may include non-cash compensation. The underwriters or their affiliates that provide these services to us may have a potential conflict of interest given that the underwriters are entitled to the deferred portion of their underwriting compensation for this offering only if an initial business combination is completed within the specified timeframe.</w:t>
      </w:r>
    </w:p>
    <w:p>
      <w:pPr>
        <w:spacing w:after="0" w:line="19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units have been offered or will be offered pursuant to this offering to the public in that Relevant State prior to the publication of a prospectus in relation to the units which has been approved by the competent authority in that Relevant State or, where appropriate, approved in another Relevant State and notified to the competent authority in that Relevant State, all in accordance with the Prospectus Regulation, except that offers of units may be made to the public in that Relevant State at any time under the following exemptions under the Prospectus Regulation:</w:t>
      </w:r>
    </w:p>
    <w:p>
      <w:pPr>
        <w:spacing w:after="0" w:line="183"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units shall require the issuer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relation to the United Kingdom, no units have been offered or will be offered pursuant to this offering to the public in the United Kingdom prior to the publication of a prospectus in relation to the units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units may be made to the public in the United Kingdom at any time under the following exemptions under the UK Prospectus Regulation:</w:t>
      </w:r>
    </w:p>
    <w:p>
      <w:pPr>
        <w:spacing w:after="0" w:line="183"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units shall require the issuer or any underwriter to publish a prospectus pursuant to section 85 of the FSMA or supplement a prospectus pursuant to Article 23 of the UK Prospectus Regulation.</w:t>
      </w:r>
    </w:p>
    <w:p>
      <w:pPr>
        <w:spacing w:after="0" w:line="162"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units in the United Kingdom means the communication in any form and by any means of sufficient information on the terms of the offer and any units to be offered so as to enable an investor to decide to purchase or subscribe for any units,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225" w:lineRule="exact"/>
        <w:rPr>
          <w:sz w:val="20"/>
          <w:szCs w:val="20"/>
          <w:color w:val="auto"/>
        </w:rPr>
      </w:pPr>
    </w:p>
    <w:p>
      <w:pPr>
        <w:ind w:left="660" w:right="14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any units in circumstances in which Section 21(1) of the FSMA does not apply to the issuer; and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left="660" w:right="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any units in, from or otherwise involving the United Kingdom.</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Residents of Japan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Residents of Hong Kong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underwriters and each of their affiliates have not (1) offered or sold, and will not offer or sell, in Hong Kong, by means of any document, our units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w:t>
      </w:r>
    </w:p>
    <w:p>
      <w:pPr>
        <w:spacing w:after="0" w:line="18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are or are intended to be disposed of only to persons outside Hong Kong or only to “professional investors” as defined in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Residents of Singapore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This prospectus or any other offering material relating to our units has not been and will not be registered as a prospectus with the Monetary Authority of Singapore, and the units will be offered in Singapore pursuant to exemptions under Section 274 and Section 275 of the Securities and Futures Act, Chapter 289 of Singapore (the “Securities and Futures Act”). Accordingly our units may not be offered or sold, or be the subject of an invitation for subscription or purchase, nor may this prospectus or any other offering material relating to our units be circulated or distributed, whether directly or indirectly, to the public or any member of the public in Singapore other than (a) to an institutional investor or other person specified in Section 274 of the Securities and Futures Act, (b) to a sophisticated investor, and in accordance with the conditions specified in Section 275 of the Securities and Futures Act or (c) otherwise pursuant to, and in accordance with the conditions of, any other applicable provision of the Securities and Futures Act.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Residents of Germany</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each underwriter has represented that it has not engaged and has agreed that it will not engage in a public offering (offentliches Angebot) within the meaning of the Act with respect to any of our units otherwise then in accordance with the Act and all other applicable legal and regulatory requirements.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Residents of France</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units are being issued and sold outside the Republic of France and that, in connection with their initial distribution, it has not offered or sold and will not offer or sell, directly or indirectly, any units to the public in the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Residents of the Netherlands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 may not participate in the offering of our units, and this prospectus or any other offering material relating to our units may not be considered an offer or the prospect of an offer to sell or exchange our units.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invitation, whether directly or indirectly, may be made to the public in the Cayman Islands to subscribe for our units.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Canadian Residents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Canadian Purchasers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By purchasing units in Canada and accepting delivery of a purchase confirmation, a purchaser is representing to us and the dealer from whom the purchase confirmation is received that:</w:t>
      </w:r>
    </w:p>
    <w:p>
      <w:pPr>
        <w:spacing w:after="0" w:line="162" w:lineRule="exact"/>
        <w:rPr>
          <w:sz w:val="20"/>
          <w:szCs w:val="20"/>
          <w:color w:val="auto"/>
        </w:rPr>
      </w:pPr>
    </w:p>
    <w:p>
      <w:pPr>
        <w:ind w:left="660" w:right="8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units without the benefit of a prospectus qualified under those securities laws as it is an “accredited investor” as defined under National Instrument 45-106—Prospectus Exemptions;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31-103—Registration Requirements, Exemptions and Ongoing Registrant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underwriters are relying on the exemption set out in section 3A.3 or 3A.4, if applicable, of National Instrument 33-105—Underwriting Conflicts from having to provide certain conflict of interest disclosure in this document.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Rights of Action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w:t>
      </w:r>
    </w:p>
    <w:p>
      <w:pPr>
        <w:spacing w:after="0" w:line="176"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purchaser of these securities in Canada should refer to any applicable provisions of the securities legislation of the purchaser’s province or territory for particulars of these rights or consult with a legal advisor.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Legal Rights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Davis Polk &amp; Wardwell LLP, New York, New York, is acting as counsel in connection with the registration of our securities under the Securities Act, and as such, will pass upon the validity of the securities offered in this prospectus with respect to units and warrants. Maples and Calder, Cayman Islands, will pass upon the validity of the securities offered in this prospectus with respect to the ordinary shares and matters of Cayman Islands law. In connection with this offering, Skadden, Arps, Slate, Meagher &amp; Flom LLP is acting as counsel to the underwriters.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Freedom Acquisition I Corp. as of December 31, 2020 and for the period from December 23, 2020 (inception) through December 31, 2020 appearing in this prospectus have been audited by Marcum LLP,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8"/>
        </w:trPr>
        <w:tc>
          <w:tcPr>
            <w:tcW w:w="100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tc>
        <w:tc>
          <w:tcPr>
            <w:tcW w:w="1240" w:type="dxa"/>
            <w:vAlign w:val="bottom"/>
          </w:tcPr>
          <w:p>
            <w:pPr>
              <w:spacing w:after="0"/>
              <w:rPr>
                <w:sz w:val="20"/>
                <w:szCs w:val="20"/>
                <w:color w:val="auto"/>
              </w:rPr>
            </w:pPr>
          </w:p>
        </w:tc>
      </w:tr>
      <w:tr>
        <w:trPr>
          <w:trHeight w:val="518"/>
        </w:trPr>
        <w:tc>
          <w:tcPr>
            <w:tcW w:w="1000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FREEDOM ACQUISITION I CORP.</w:t>
            </w:r>
          </w:p>
        </w:tc>
        <w:tc>
          <w:tcPr>
            <w:tcW w:w="1240" w:type="dxa"/>
            <w:vAlign w:val="bottom"/>
          </w:tcPr>
          <w:p>
            <w:pPr>
              <w:spacing w:after="0"/>
              <w:rPr>
                <w:sz w:val="24"/>
                <w:szCs w:val="24"/>
                <w:color w:val="auto"/>
              </w:rPr>
            </w:pPr>
          </w:p>
        </w:tc>
      </w:tr>
      <w:tr>
        <w:trPr>
          <w:trHeight w:val="238"/>
        </w:trPr>
        <w:tc>
          <w:tcPr>
            <w:tcW w:w="100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240" w:type="dxa"/>
            <w:vAlign w:val="bottom"/>
          </w:tcPr>
          <w:p>
            <w:pPr>
              <w:spacing w:after="0"/>
              <w:rPr>
                <w:sz w:val="20"/>
                <w:szCs w:val="20"/>
                <w:color w:val="auto"/>
              </w:rPr>
            </w:pPr>
          </w:p>
        </w:tc>
      </w:tr>
      <w:tr>
        <w:trPr>
          <w:trHeight w:val="432"/>
        </w:trPr>
        <w:tc>
          <w:tcPr>
            <w:tcW w:w="10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Report of Independent Registered Public Accounting Firm</w:t>
              </w:r>
            </w:hyperlink>
          </w:p>
        </w:tc>
        <w:tc>
          <w:tcPr>
            <w:tcW w:w="1240" w:type="dxa"/>
            <w:vAlign w:val="bottom"/>
          </w:tcPr>
          <w:p>
            <w:pPr>
              <w:jc w:val="right"/>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F-2</w:t>
              </w:r>
            </w:hyperlink>
          </w:p>
        </w:tc>
      </w:tr>
      <w:tr>
        <w:trPr>
          <w:trHeight w:val="216"/>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Balance Sheet December 31, 2020</w:t>
              </w:r>
            </w:hyperlink>
          </w:p>
        </w:tc>
        <w:tc>
          <w:tcPr>
            <w:tcW w:w="1240" w:type="dxa"/>
            <w:vAlign w:val="bottom"/>
          </w:tcPr>
          <w:p>
            <w:pPr>
              <w:jc w:val="right"/>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F-3</w:t>
              </w:r>
            </w:hyperlink>
          </w:p>
        </w:tc>
      </w:tr>
      <w:tr>
        <w:trPr>
          <w:trHeight w:val="216"/>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Statement of Operations for the period from December 23, 2020 (inception) through December 31, 2020</w:t>
              </w:r>
            </w:hyperlink>
          </w:p>
        </w:tc>
        <w:tc>
          <w:tcPr>
            <w:tcW w:w="1240" w:type="dxa"/>
            <w:vAlign w:val="bottom"/>
          </w:tcPr>
          <w:p>
            <w:pPr>
              <w:jc w:val="right"/>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F-4</w:t>
              </w:r>
            </w:hyperlink>
          </w:p>
        </w:tc>
      </w:tr>
      <w:tr>
        <w:trPr>
          <w:trHeight w:val="216"/>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Statement of Changes in Shareholder’s Equity for the period from December 23, 2020 (inception) through December 31, 2020</w:t>
              </w:r>
            </w:hyperlink>
          </w:p>
        </w:tc>
        <w:tc>
          <w:tcPr>
            <w:tcW w:w="1240" w:type="dxa"/>
            <w:vAlign w:val="bottom"/>
          </w:tcPr>
          <w:p>
            <w:pPr>
              <w:jc w:val="right"/>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F-5</w:t>
              </w:r>
            </w:hyperlink>
          </w:p>
        </w:tc>
      </w:tr>
      <w:tr>
        <w:trPr>
          <w:trHeight w:val="216"/>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Statement of Cash Flows for the period from December 23, 2020 (inception) through December 31, 2020</w:t>
              </w:r>
            </w:hyperlink>
          </w:p>
        </w:tc>
        <w:tc>
          <w:tcPr>
            <w:tcW w:w="1240" w:type="dxa"/>
            <w:vAlign w:val="bottom"/>
          </w:tcPr>
          <w:p>
            <w:pPr>
              <w:jc w:val="right"/>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F-6</w:t>
              </w:r>
            </w:hyperlink>
          </w:p>
        </w:tc>
      </w:tr>
      <w:tr>
        <w:trPr>
          <w:trHeight w:val="234"/>
        </w:trPr>
        <w:tc>
          <w:tcPr>
            <w:tcW w:w="10000" w:type="dxa"/>
            <w:vAlign w:val="bottom"/>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Notes to Financial Statements</w:t>
              </w:r>
            </w:hyperlink>
          </w:p>
        </w:tc>
        <w:tc>
          <w:tcPr>
            <w:tcW w:w="1240" w:type="dxa"/>
            <w:vAlign w:val="bottom"/>
          </w:tcPr>
          <w:p>
            <w:pPr>
              <w:jc w:val="right"/>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F-7</w:t>
              </w:r>
            </w:hyperlink>
          </w:p>
        </w:tc>
      </w:tr>
      <w:tr>
        <w:trPr>
          <w:trHeight w:val="567"/>
        </w:trPr>
        <w:tc>
          <w:tcPr>
            <w:tcW w:w="10000" w:type="dxa"/>
            <w:vAlign w:val="bottom"/>
            <w:tcBorders>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w w:val="95"/>
              </w:rPr>
              <w:t>F-1</w:t>
            </w: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65" w:name="page166"/>
    <w:bookmarkEnd w:id="165"/>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Freedom Acquisition I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Freedom Acquisition I Corp. (the “Company”) as of December 31, 2020, the related statements of operations, changes in shareholder’s equity and cash flow for the period from December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December 23, 2020 through December 31, 2020,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a working capital deficiency as of December 31, 2020, and lacks the financial resources it needs to sustain operations for a reasonable period of time, which is considered to be one year from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become necessary should the Company be unable to continue as a going concern.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6" w:name="page167"/>
    <w:bookmarkEnd w:id="166"/>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3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7" w:name="page168"/>
    <w:bookmarkEnd w:id="167"/>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63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FREEDOM ACQUISITION I CORP.</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63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p>
        </w:tc>
        <w:tc>
          <w:tcPr>
            <w:tcW w:w="63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92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80" w:type="dxa"/>
            <w:vAlign w:val="bottom"/>
            <w:gridSpan w:val="2"/>
            <w:shd w:val="clear" w:color="auto" w:fill="D5EAEA"/>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127,691</w:t>
            </w:r>
          </w:p>
        </w:tc>
      </w:tr>
      <w:tr>
        <w:trPr>
          <w:trHeight w:val="263"/>
        </w:trPr>
        <w:tc>
          <w:tcPr>
            <w:tcW w:w="920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tcBorders>
              <w:bottom w:val="single" w:sz="8" w:color="D5EAE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127,691</w:t>
            </w:r>
          </w:p>
        </w:tc>
      </w:tr>
      <w:tr>
        <w:trPr>
          <w:trHeight w:val="197"/>
        </w:trPr>
        <w:tc>
          <w:tcPr>
            <w:tcW w:w="9200" w:type="dxa"/>
            <w:vAlign w:val="bottom"/>
            <w:gridSpan w:val="2"/>
            <w:shd w:val="clear" w:color="auto" w:fill="D5EAEA"/>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700" w:type="dxa"/>
            <w:vAlign w:val="bottom"/>
            <w:shd w:val="clear" w:color="auto" w:fill="D5EAEA"/>
          </w:tcPr>
          <w:p>
            <w:pPr>
              <w:spacing w:after="0"/>
              <w:rPr>
                <w:sz w:val="17"/>
                <w:szCs w:val="17"/>
                <w:color w:val="auto"/>
              </w:rPr>
            </w:pPr>
          </w:p>
        </w:tc>
        <w:tc>
          <w:tcPr>
            <w:tcW w:w="38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92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Accrued offering costs and expenses</w:t>
            </w:r>
          </w:p>
        </w:tc>
        <w:tc>
          <w:tcPr>
            <w:tcW w:w="1080" w:type="dxa"/>
            <w:vAlign w:val="bottom"/>
            <w:gridSpan w:val="2"/>
            <w:shd w:val="clear" w:color="auto" w:fill="D5EAEA"/>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108,185</w:t>
            </w:r>
          </w:p>
        </w:tc>
      </w:tr>
      <w:tr>
        <w:trPr>
          <w:trHeight w:val="209"/>
        </w:trPr>
        <w:tc>
          <w:tcPr>
            <w:tcW w:w="920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bottom w:val="single" w:sz="8" w:color="D5EAEA"/>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108,185</w:t>
            </w:r>
          </w:p>
        </w:tc>
      </w:tr>
      <w:tr>
        <w:trPr>
          <w:trHeight w:val="210"/>
        </w:trPr>
        <w:tc>
          <w:tcPr>
            <w:tcW w:w="92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2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Preferred shares, $0.0001 par value; 1,000,000 shares authorized; none issued and outstanding</w:t>
            </w:r>
          </w:p>
        </w:tc>
        <w:tc>
          <w:tcPr>
            <w:tcW w:w="7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ordinary shares, $0.0001 par value; 200,000,000 shares authorized; none issued and outstanding</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Class B ordinary shares, $0.0001 par value; 20,000,000 shares authorized; 7,187,500 shares issued and outstanding(1)</w:t>
            </w:r>
          </w:p>
        </w:tc>
        <w:tc>
          <w:tcPr>
            <w:tcW w:w="7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24,281</w:t>
            </w:r>
          </w:p>
        </w:tc>
      </w:tr>
      <w:tr>
        <w:trPr>
          <w:trHeight w:val="230"/>
        </w:trPr>
        <w:tc>
          <w:tcPr>
            <w:tcW w:w="92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09"/>
        </w:trPr>
        <w:tc>
          <w:tcPr>
            <w:tcW w:w="920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700" w:type="dxa"/>
            <w:vAlign w:val="bottom"/>
            <w:tcBorders>
              <w:bottom w:val="single" w:sz="8" w:color="D5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19,506</w:t>
            </w:r>
          </w:p>
        </w:tc>
      </w:tr>
      <w:tr>
        <w:trPr>
          <w:trHeight w:val="223"/>
        </w:trPr>
        <w:tc>
          <w:tcPr>
            <w:tcW w:w="9200" w:type="dxa"/>
            <w:vAlign w:val="bottom"/>
            <w:tcBorders>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700" w:type="dxa"/>
            <w:vAlign w:val="bottom"/>
            <w:tcBorders>
              <w:bottom w:val="single" w:sz="8" w:color="D5EAEA"/>
            </w:tcBorders>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127,691</w:t>
            </w:r>
          </w:p>
        </w:tc>
      </w:tr>
      <w:tr>
        <w:trPr>
          <w:trHeight w:val="20"/>
        </w:trPr>
        <w:tc>
          <w:tcPr>
            <w:tcW w:w="28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4"/>
        </w:trPr>
        <w:tc>
          <w:tcPr>
            <w:tcW w:w="2820" w:type="dxa"/>
            <w:vAlign w:val="bottom"/>
            <w:tcBorders>
              <w:bottom w:val="single" w:sz="8" w:color="auto"/>
            </w:tcBorders>
          </w:tcPr>
          <w:p>
            <w:pPr>
              <w:spacing w:after="0"/>
              <w:rPr>
                <w:sz w:val="3"/>
                <w:szCs w:val="3"/>
                <w:color w:val="auto"/>
              </w:rPr>
            </w:pPr>
          </w:p>
        </w:tc>
        <w:tc>
          <w:tcPr>
            <w:tcW w:w="6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r>
    </w:tbl>
    <w:p>
      <w:pPr>
        <w:spacing w:after="0" w:line="49" w:lineRule="exact"/>
        <w:rPr>
          <w:sz w:val="20"/>
          <w:szCs w:val="20"/>
          <w:color w:val="auto"/>
        </w:rPr>
      </w:pPr>
    </w:p>
    <w:p>
      <w:pPr>
        <w:ind w:left="340" w:right="2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up to 937,500 Class B ordinary shares subject to forfeiture if the over-allotment option is not exercised in full or in part by the underwriters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8" w:name="page169"/>
    <w:bookmarkEnd w:id="168"/>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FREEDOM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DECEMBER 23, 2020 (INCEPTION) THROUGH DECEMBER 31, 2020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0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00" w:type="dxa"/>
            <w:vAlign w:val="bottom"/>
            <w:gridSpan w:val="2"/>
            <w:shd w:val="clear" w:color="auto" w:fill="D5EAEA"/>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63"/>
        </w:trPr>
        <w:tc>
          <w:tcPr>
            <w:tcW w:w="990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D5EAEA"/>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197"/>
        </w:trPr>
        <w:tc>
          <w:tcPr>
            <w:tcW w:w="9900" w:type="dxa"/>
            <w:vAlign w:val="bottom"/>
            <w:tcBorders>
              <w:bottom w:val="single" w:sz="8" w:color="D5EAEA"/>
            </w:tcBorders>
            <w:gridSpan w:val="2"/>
            <w:shd w:val="clear" w:color="auto" w:fill="D5EAEA"/>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Class B shares outstanding(1)</w:t>
            </w:r>
          </w:p>
        </w:tc>
        <w:tc>
          <w:tcPr>
            <w:tcW w:w="20" w:type="dxa"/>
            <w:vAlign w:val="bottom"/>
            <w:tcBorders>
              <w:bottom w:val="single" w:sz="8" w:color="D5EAEA"/>
            </w:tcBorders>
            <w:shd w:val="clear" w:color="auto" w:fill="D5EAEA"/>
          </w:tcPr>
          <w:p>
            <w:pPr>
              <w:spacing w:after="0"/>
              <w:rPr>
                <w:sz w:val="17"/>
                <w:szCs w:val="17"/>
                <w:color w:val="auto"/>
              </w:rPr>
            </w:pPr>
          </w:p>
        </w:tc>
        <w:tc>
          <w:tcPr>
            <w:tcW w:w="280" w:type="dxa"/>
            <w:vAlign w:val="bottom"/>
            <w:tcBorders>
              <w:bottom w:val="single" w:sz="8" w:color="auto"/>
            </w:tcBorders>
            <w:shd w:val="clear" w:color="auto" w:fill="D5EAEA"/>
          </w:tcPr>
          <w:p>
            <w:pPr>
              <w:spacing w:after="0"/>
              <w:rPr>
                <w:sz w:val="17"/>
                <w:szCs w:val="17"/>
                <w:color w:val="auto"/>
              </w:rPr>
            </w:pPr>
          </w:p>
        </w:tc>
        <w:tc>
          <w:tcPr>
            <w:tcW w:w="10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6,250,000</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0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820" w:type="dxa"/>
            <w:vAlign w:val="bottom"/>
            <w:tcBorders>
              <w:bottom w:val="single" w:sz="8" w:color="auto"/>
            </w:tcBorders>
          </w:tcPr>
          <w:p>
            <w:pPr>
              <w:spacing w:after="0"/>
              <w:rPr>
                <w:sz w:val="3"/>
                <w:szCs w:val="3"/>
                <w:color w:val="auto"/>
              </w:rPr>
            </w:pPr>
          </w:p>
        </w:tc>
        <w:tc>
          <w:tcPr>
            <w:tcW w:w="70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excludes an aggregate of up to 937,500 Class B ordinary shares subject to forfeiture if the over-allotment option is not exercised in full or in part by the underwriters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9" w:name="page170"/>
    <w:bookmarkEnd w:id="169"/>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FREEDOM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DECEMBER 23, 2020 (INCEPTION) THROUGH DECEMBER 31, 2020</w:t>
      </w:r>
    </w:p>
    <w:p>
      <w:pPr>
        <w:sectPr>
          <w:pgSz w:w="11900" w:h="16838" w:orient="portrait"/>
          <w:cols w:equalWidth="0" w:num="1">
            <w:col w:w="11240"/>
          </w:cols>
          <w:pgMar w:left="320" w:top="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Balance as of December 23, 2020 (inception) Class B ordinary shares issued to Sponsor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Shares(1)</w:t>
            </w:r>
          </w:p>
        </w:tc>
        <w:tc>
          <w:tcPr>
            <w:tcW w:w="2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3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7,187,500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23"/>
        </w:trPr>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7,187,500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19,506</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-607695</wp:posOffset>
            </wp:positionV>
            <wp:extent cx="713232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-325120</wp:posOffset>
            </wp:positionV>
            <wp:extent cx="713232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360" w:space="720"/>
            <w:col w:w="7160"/>
          </w:cols>
          <w:pgMar w:left="320" w:top="232" w:right="339" w:bottom="1440" w:gutter="0" w:footer="0" w:header="0"/>
          <w:type w:val="continuous"/>
        </w:sectPr>
      </w:pPr>
    </w:p>
    <w:p>
      <w:pPr>
        <w:ind w:left="340" w:right="24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up to 937,500 Class B ordinary shares subject to forfeiture if the over-allotment option is not exercised in full or in part by the underwriters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170" w:name="page171"/>
    <w:bookmarkEnd w:id="170"/>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FREEDOM ACQUISITION 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DECEMBER 23, 2020 (INCEPTION) 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D5EAEA"/>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29"/>
        </w:trPr>
        <w:tc>
          <w:tcPr>
            <w:tcW w:w="910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Formation cost paid by related party</w:t>
            </w:r>
          </w:p>
        </w:tc>
        <w:tc>
          <w:tcPr>
            <w:tcW w:w="800" w:type="dxa"/>
            <w:vAlign w:val="bottom"/>
            <w:tcBorders>
              <w:bottom w:val="single" w:sz="8" w:color="D5EAEA"/>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10"/>
        </w:trPr>
        <w:tc>
          <w:tcPr>
            <w:tcW w:w="91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0" w:type="dxa"/>
            <w:vAlign w:val="bottom"/>
            <w:shd w:val="clear" w:color="auto" w:fill="D5EAEA"/>
          </w:tcPr>
          <w:p>
            <w:pPr>
              <w:spacing w:after="0"/>
              <w:rPr>
                <w:sz w:val="18"/>
                <w:szCs w:val="18"/>
                <w:color w:val="auto"/>
              </w:rPr>
            </w:pPr>
          </w:p>
        </w:tc>
        <w:tc>
          <w:tcPr>
            <w:tcW w:w="380" w:type="dxa"/>
            <w:vAlign w:val="bottom"/>
            <w:tcBorders>
              <w:bottom w:val="single" w:sz="8" w:color="auto"/>
            </w:tcBorders>
            <w:shd w:val="clear" w:color="auto" w:fill="D5EAEA"/>
          </w:tcPr>
          <w:p>
            <w:pPr>
              <w:spacing w:after="0"/>
              <w:rPr>
                <w:sz w:val="18"/>
                <w:szCs w:val="18"/>
                <w:color w:val="auto"/>
              </w:rPr>
            </w:pPr>
          </w:p>
        </w:tc>
        <w:tc>
          <w:tcPr>
            <w:tcW w:w="9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1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Cash, December 23, 2020 (inception)</w:t>
            </w:r>
          </w:p>
        </w:tc>
        <w:tc>
          <w:tcPr>
            <w:tcW w:w="800" w:type="dxa"/>
            <w:vAlign w:val="bottom"/>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910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Cash, end of the period</w:t>
            </w:r>
          </w:p>
        </w:tc>
        <w:tc>
          <w:tcPr>
            <w:tcW w:w="800" w:type="dxa"/>
            <w:vAlign w:val="bottom"/>
            <w:tcBorders>
              <w:bottom w:val="single" w:sz="8" w:color="D5EAEA"/>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9100" w:type="dxa"/>
            <w:vAlign w:val="bottom"/>
            <w:shd w:val="clear" w:color="auto" w:fill="D5EAEA"/>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00" w:type="dxa"/>
            <w:vAlign w:val="bottom"/>
            <w:shd w:val="clear" w:color="auto" w:fill="D5EAEA"/>
          </w:tcPr>
          <w:p>
            <w:pPr>
              <w:spacing w:after="0"/>
              <w:rPr>
                <w:sz w:val="17"/>
                <w:szCs w:val="17"/>
                <w:color w:val="auto"/>
              </w:rPr>
            </w:pPr>
          </w:p>
        </w:tc>
        <w:tc>
          <w:tcPr>
            <w:tcW w:w="38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paid by Sponsor in exchange for issuance of Class B ordinary shares</w:t>
            </w: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97"/>
        </w:trPr>
        <w:tc>
          <w:tcPr>
            <w:tcW w:w="9100" w:type="dxa"/>
            <w:vAlign w:val="bottom"/>
            <w:tcBorders>
              <w:top w:val="single" w:sz="8" w:color="D5EAEA"/>
              <w:bottom w:val="single" w:sz="8" w:color="D5EAEA"/>
            </w:tcBorders>
            <w:shd w:val="clear" w:color="auto" w:fill="D5EAEA"/>
          </w:tcPr>
          <w:p>
            <w:pPr>
              <w:spacing w:after="0" w:line="195" w:lineRule="exact"/>
              <w:rPr>
                <w:sz w:val="20"/>
                <w:szCs w:val="20"/>
                <w:color w:val="auto"/>
              </w:rPr>
            </w:pPr>
            <w:r>
              <w:rPr>
                <w:rFonts w:ascii="Times New Roman" w:cs="Times New Roman" w:eastAsia="Times New Roman" w:hAnsi="Times New Roman"/>
                <w:sz w:val="18"/>
                <w:szCs w:val="18"/>
                <w:color w:val="auto"/>
              </w:rPr>
              <w:t>Deferred offering costs included in accrued offerings costs and expenses</w:t>
            </w:r>
          </w:p>
        </w:tc>
        <w:tc>
          <w:tcPr>
            <w:tcW w:w="800" w:type="dxa"/>
            <w:vAlign w:val="bottom"/>
            <w:tcBorders>
              <w:top w:val="single" w:sz="8" w:color="D5EAEA"/>
              <w:bottom w:val="single" w:sz="8" w:color="D5EAEA"/>
            </w:tcBorders>
            <w:shd w:val="clear" w:color="auto" w:fill="D5EAEA"/>
          </w:tcPr>
          <w:p>
            <w:pPr>
              <w:spacing w:after="0"/>
              <w:rPr>
                <w:sz w:val="17"/>
                <w:szCs w:val="17"/>
                <w:color w:val="auto"/>
              </w:rPr>
            </w:pPr>
          </w:p>
        </w:tc>
        <w:tc>
          <w:tcPr>
            <w:tcW w:w="380" w:type="dxa"/>
            <w:vAlign w:val="bottom"/>
            <w:tcBorders>
              <w:top w:val="single" w:sz="8" w:color="auto"/>
              <w:bottom w:val="single" w:sz="8" w:color="auto"/>
            </w:tcBorders>
            <w:shd w:val="clear" w:color="auto" w:fill="D5EAEA"/>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D5EAEA"/>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108,185</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10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8"/>
                <w:szCs w:val="18"/>
                <w:color w:val="auto"/>
              </w:rPr>
              <w:t>F-7</w:t>
            </w: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2" w:right="339" w:bottom="1440" w:gutter="0" w:footer="0" w:header="0"/>
        </w:sectPr>
      </w:pPr>
    </w:p>
    <w:bookmarkStart w:id="171" w:name="page172"/>
    <w:bookmarkEnd w:id="171"/>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FREEDOM ACQUISITION I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GOING CONCERN</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Freedom Acquisition I Corp. (the “Company”), was incorporated as a Cayman Islands exempted company on December 23, 2020. The Company was incorporated for the purpose of effecting a merger, share exchange, asset acquisition, share purchase, reorganization or similar business combination with one or more businesses (the “Business Combination”). The Company has not selected any specific Business Combination target and it has not, nor has anyone on the Company's behalf, engaged in any substantive discussions, directly or indirectly, with any potential Business Combination target with respect to an initial Business Combination with the Company.</w:t>
      </w:r>
    </w:p>
    <w:p>
      <w:pPr>
        <w:spacing w:after="0" w:line="1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 had not commenced any operations. All activity for the period from December 23, 2020 (inception) through December 31, 2020 relates to the Company’s formation and the Proposed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8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Company’s sponsor is Freedom Acquisition I LLC, a Cayman Islands limited liability company (the “Sponsor”). The Company’s ability to commence operations is contingent upon obtaining adequate financial resources through a proposed public offering (the “Proposed Public Offering”) of 25,000,000 units (each, a “Unit” and collectively, the “Units”) at $10.00 per Unit (or 28,750,000 units if the underwriters’ over-allotment option is exercised in full), which is discussed in Note 3, and the sale of 4,666,667 warrants (or 5,166,667 warrants if the underwriters’ over-allotment option is exercised in full) (each, a “Private Placement Warrant” and collectively, the “Private Placement Warrants”), each exercisable to purchase one Class A ordinary share at $11.50 per share, at a price of $1.50 per Private Placement Warrant in a private placement to the Sponsor that will close simultaneously with the Proposed Public Offering.</w:t>
      </w:r>
    </w:p>
    <w:p>
      <w:pPr>
        <w:spacing w:after="0" w:line="18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 Company must complete one or more initial Business Combinations having an aggregate fair market value of at least 80% of the assets held in the Trust Account (as defined below) (excluding the amount of any deferred underwriting commission held in the Trust Account) at the time of signing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at J.P. Morgan Chase Bank, N.A., with Continental Stock Transfer &amp; Trust Company acting as trustee, and will invest only in United States “government securities” within the meaning of Section 2(a)(16) of the Investment Company Act having a maturity of 185 days or less or in money market funds meeting certain conditions under Rule 2a-7 promulgated under the Investment Company Act that invest only in direct U.S. government treasury obligations. Except with respect to interest earned on the funds held in the Trust Account that may be released to the Company to pay taxes, if any, the proceeds from the Proposed Public Offering and the sale of the Private Placement Warrants will not be released from the Trust Account until the earliest of (i) the completion of initial Business Combination, (ii) the redemption of the Company’s public shares if the Company does not complete an initial Business Combination within 24 months from the closing of the Proposed Public Offering, subject to applicable law, or (iii) the redemption of the Company’s public shares properly submitted in connection with a shareholder vote to amend the Company’s amended and restated memorandum and articles of association.</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2" w:name="page173"/>
    <w:bookmarkEnd w:id="172"/>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4"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Company will provide shareholders (the “Public Shareholders”) of its Class A ordinary shares, par value $0.0001, sold in the Proposed Public Offering (the “Public Shares”), with the opportunity to redeem all or a portion of their Public Shares upon the completion of a Business Combination either</w:t>
      </w:r>
    </w:p>
    <w:p>
      <w:pPr>
        <w:jc w:val="both"/>
        <w:ind w:firstLine="8"/>
        <w:spacing w:after="0" w:line="251" w:lineRule="auto"/>
        <w:tabs>
          <w:tab w:leader="none" w:pos="2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general meeting called to approve the Business Combination or (ii) without a shareholder vote by means of a tender offer. The decision as to whether the Company will seek shareholder approval of a Business Combination or conduct a tender offer will be made by the Company, solely in its discretion. The Public Shareholders will be entitled to redeem all or a portion of their Public Shares upon the completion of the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the Company to pay the Company’s income taxes, if any, divided by the number of the then-outstanding Public Shares. The amount in the Trust Account is initially anticipated to be $10.00 per Public Share. The per share amount the Company will distribute to investors who properly redeem their shares will not be reduced by the deferred underwriting commissions the Company will pay to the underwriters.</w:t>
      </w:r>
    </w:p>
    <w:p>
      <w:pPr>
        <w:spacing w:after="0" w:line="19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shares of ordinary share subject to redemption will be recorded at a redemption value and classified as temporary equity upon the completion of the Proposed Public Offering, in accordance with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shareholder approval, a majority of the issued and outstanding shares voted are voted in favor of the Business Combination.</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issued and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each case of clauses (ii) and</w:t>
      </w:r>
    </w:p>
    <w:p>
      <w:pPr>
        <w:spacing w:after="0" w:line="3" w:lineRule="exact"/>
        <w:rPr>
          <w:sz w:val="20"/>
          <w:szCs w:val="20"/>
          <w:color w:val="auto"/>
        </w:rPr>
      </w:pPr>
    </w:p>
    <w:p>
      <w:pPr>
        <w:ind w:firstLine="8"/>
        <w:spacing w:after="0" w:line="260" w:lineRule="auto"/>
        <w:tabs>
          <w:tab w:leader="none" w:pos="3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obligations under Cayman Islands law to provide for claims of creditors and in all cases subject to the other requirements of applicable law.</w:t>
      </w:r>
    </w:p>
    <w:p>
      <w:pPr>
        <w:spacing w:after="0" w:line="18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color w:val="auto"/>
        </w:rPr>
        <w:t>The Sponsor, officers and directors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Company’s amended and restated memorandum and articles of association</w:t>
      </w:r>
    </w:p>
    <w:p>
      <w:pPr>
        <w:spacing w:after="0" w:line="1" w:lineRule="exact"/>
        <w:rPr>
          <w:sz w:val="20"/>
          <w:szCs w:val="20"/>
          <w:color w:val="auto"/>
        </w:rPr>
      </w:pPr>
    </w:p>
    <w:p>
      <w:pPr>
        <w:jc w:val="both"/>
        <w:ind w:firstLine="8"/>
        <w:spacing w:after="0" w:line="251" w:lineRule="auto"/>
        <w:tabs>
          <w:tab w:leader="none" w:pos="30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the Company’s obligation to allow redemption in connection with the initial Business Combination or to redeem 100% of its public shares if the Company has not consummated an initial Business Combination within the Combination Period or (B) with respect to any other material provisions relating to shareholders’ rights or pre-initial Business Combination activity, (iii) waive their rights to liquidating distributions from the Trust Account with respect to their Founder Shares if the Company fails to complete an initial Business Combination within the Combination Period, although they will be entitled to liquidating distributions from the Trust Account with respect to any public shares they hold if the Company fails to complete the initial Business Combination within such time period and (iv) vote any Founder Shares held by them and any public shares purchased during or after the Proposed Public Offering (including in open market and privately-negotiated transactions) in favor of the Company’s initial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At December 31, 2020, the Company had $-0- cash and a working capital deficit of $108,185 (excluding deferred offering costs).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or successful within the Combination Period. The financial statements do not include any adjustments that might result from the outcome of this uncertainty.</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3" w:name="page174"/>
    <w:bookmarkEnd w:id="173"/>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the comparison of the Company’s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financial statements and the reported amounts of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and accounting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4" w:name="page175"/>
    <w:bookmarkEnd w:id="174"/>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ordinary shares outstanding during the period, excluding ordinary shares subject to forfeiture. Weighted average shares were reduced for the effect of an aggregate of 937,500 ordinary shares that are subject to forfeiture if the over-allotment option is not exercised by the underwriters (see Note 7). At December 31,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“Income Taxes.”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89"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its financial statements and has concluded that while it is reasonably possible that the virus could have a negative effect on the Company’s financial position, results of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25,000,000 Units (or 28,750,000 Units if the underwriters’ over-allotment option is exercised in full) at a price of $10.00 per Unit. Each Unit consists of one Class A ordinary share, par value $0.0001 per share, and one-third of one redeemable warrant (each, a “Public Warrant”). Each whole Public Warrant entitles the holder to purchase one Class A ordinary share at a price of $11.50 per share, subject to adjustment (see Note 7).</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5" w:name="page176"/>
    <w:bookmarkEnd w:id="175"/>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Sponsor has committed to purchase an aggregate of 4,666,667 Private Placement Warrants (or 5,166,667 Private Placement Warrants if the underwriters’ over-allotment option is exercised in full) at a price of $1.50 per Private Placement Warrant, for an aggregate purchase price of $7,000,000 (or $7,750,000 if the underwriters' over-allotment option is exercised in full), in a private placement that will occur simultaneously with the closing of the Proposed Public Offering. Each Private Placement Warrant is exercisable to purchase one Class A ordinary share at a price of $11.50 per share, subject to adjustment (see Note 7). A portion of the proceeds from the Private Placement Warrants will be added to the proceeds from the Proposed Public Offering to be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9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Private Placement Warrants will be identical to the warrants sold in the Proposed Public Offering except that the Private Placement Warrants, so long as they are held by the Sponsor or its permitted transferees, (i) will not be redeemable by the Company, (ii) may not (including the Class A ordinary shares issuable upon exercise of these warrants), subject to certain limited exceptions, be transferred, assigned or sold by the holders until 30 days after the completion of the initial Business Combination, (iii) may be exercised by the holders on a cashless basis and (iv) will be entitled to registration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On December 31, 2020, the Sponsor paid $25,000, or approximately $0.003 per share, to cover certain offering costs in consideration for 7,187,500 Class B ordinary shares, par value $0.0001 per share (the “Founder Shares”). Up to 937,500 Founder Shares are subject to forfeiture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after the Proposed Public Offering. If the Company increases or decreases the size of the offering, the Company will effect a share capitalization or share contribution back to capital, as applicable, immediately prior to the consummation of the Proposed Public Offering in such amount as to maintain the Founder Share ownership of the Company’s shareholders prior to the Proposed Public Offering at 20.0% of the Company’s issued and outstanding ordinary shares upon the consummation of the Proposed Public Offering.</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Company’s initial shareholders have agreed not to transfer, assign or sell any of their Founder Shares and any Class A ordinary shares issuable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its shareholders having the right to exchange their Class A ordinary shares for cash, securities or other property; except to certain permitted transferees and under certain circumstances (the “Lock-up”). Any permitted transferees will be subject to the same restrictions and other agreements of the initial shareholders with respect to any Founder Shares. Notwithstanding the foregoing, if (1) the closing price of the Company’s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its shareholders having the right to exchange their shares for cash, securities or other property, the Founder Shares will be released from the Lock-up.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On December 30, 2020, the Sponsor agreed to loan the Company up to $300,000 to cover expenses related to the Proposed Public Offering pursuant to a promissory note (the “Note”). This loan is non-interest bearing and payable on the earlier of December 31, 2021 or the completion of the Proposed Public Offering. As of December 31, 2020, the Company has no borrowings under the Note.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6" w:name="page177"/>
    <w:bookmarkEnd w:id="176"/>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held in the Trust Account would be used to repay the Working Capital Loans. Up to $1,500,000 of the Working Capital Loans may be convertible into Private Placement Warrants of the post Business Combination entity at a price of $1.50 per warrant at the option of the lender. Such warrants would be identical to the Private Placement Warrants. Except as set forth above, the terms of such Working Capital Loans, if any, have not been determined and no written agreements exist with respect to such loans. Prior to the completion of the initial Business Combination, the Company does not expect to seek loans from parties other than the Sponsor or an affiliate of the Sponsor as the Company does not believe third parties will be willing to loan such funds and provide a waiver against any and all rights to seek access to funds in the Company’s Trust Account. As of December 31, 2020, the Company had no borrowings under the Working Capital Loans.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Commencing on the date of this prospectus, the Company will pay its Sponsor or an affiliate thereof up to $15,000 per month for office space, utilities, secretarial and administrative support services provided to members of the management team and other expenses and obligations of the Sponsor. Upon completion of the initial Business Combination or the Company’s liquidation, it will cease paying these monthly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holders of the (i) Founder Shares, which were issued in a private placement prior to the closing of the Proposed Public Offering, (ii) Private Placement Warrants, which will be issued in a private placement simultaneously with the closing of the Proposed Public Offering and the Class A ordinary shares underlying such Private Placement Warrants and (iii) Private Placement Warrants that may be issued upon conversion of Working Capital Loans will have registration rights to require the Company to register a sale of any of its securities held by them pursuant to a registration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initial Business Combination. The Company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Proposed Public Offering to purchase up to an additional 3,750,000 Units to cover over-allotments, if any, at the Proposed Public Offering price less the underwriting discounts and commissions.</w:t>
      </w:r>
    </w:p>
    <w:p>
      <w:pPr>
        <w:spacing w:after="0" w:line="16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underwriters will be entitled to an underwriting discount of $0.20 per unit, or $5.0 million in the aggregate (or $5.75 million in the aggregate if the underwriters’ over-allotment option is exercised in full), payable upon the closing of the Proposed Public Offering. In addition, $0.35 per unit, or approximately $8.75 million in the aggregate (or approximately $10.06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SHAREHOLDER’S EQUITY</w:t>
      </w:r>
    </w:p>
    <w:p>
      <w:pPr>
        <w:spacing w:after="0" w:line="225" w:lineRule="exact"/>
        <w:rPr>
          <w:sz w:val="20"/>
          <w:szCs w:val="20"/>
          <w:color w:val="auto"/>
        </w:rPr>
      </w:pPr>
    </w:p>
    <w:p>
      <w:pPr>
        <w:jc w:val="both"/>
        <w:ind w:firstLine="3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Shares </w:t>
      </w:r>
      <w:r>
        <w:rPr>
          <w:rFonts w:ascii="Times New Roman" w:cs="Times New Roman" w:eastAsia="Times New Roman" w:hAnsi="Times New Roman"/>
          <w:sz w:val="18"/>
          <w:szCs w:val="18"/>
          <w:color w:val="auto"/>
        </w:rPr>
        <w:t>— The Company is authorized to issue 1,000,000 preferred shares with such designations, voting and other rights and preferences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determined from time to time by the Company’s board of directors. As of December 31, 2020, there were no preference shares issued or outstanding.</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7" w:name="page178"/>
    <w:bookmarkEnd w:id="177"/>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both"/>
        <w:ind w:firstLine="3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200,000,000 Class A ordinary shares with a par value of $0.0001 per share.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2020, there were no Class A ordinary shares issued or outstanding.</w:t>
      </w:r>
    </w:p>
    <w:p>
      <w:pPr>
        <w:spacing w:after="0" w:line="155" w:lineRule="exact"/>
        <w:rPr>
          <w:sz w:val="20"/>
          <w:szCs w:val="20"/>
          <w:color w:val="auto"/>
        </w:rPr>
      </w:pPr>
    </w:p>
    <w:p>
      <w:pPr>
        <w:jc w:val="both"/>
        <w:ind w:firstLine="3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20,000,000 Class B ordinary shares with a par value of $0.0001 per share.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entitled to one vote for each Class B ordinary share. At December 31, 2020, there were 7,187,500 Class B ordinary shares issued and outstanding. Of the 7,187,500 Class B ordinary shares, an aggregate of up to 937,500 shares are subject to forfeiture to the Company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1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Holders of the Class A ordinary shares and holders of the Class B ordinary shares will vote together as a single class on all matters submitted to a vote of the Company’s shareholders, except as required by law; provided that only holders of Class B ordinary shares will have the right to appoint and remove directors in any general meeting held prior to or in connection with the completion of an initial Business Combination. Unless specified in the Company’s amended and restated memorandum and articles of association, or as required by applicable provisions of the Companies Act or applicable stock exchange rules, the affirmative vote of a majority of the Company’s ordinary shares that are voted is required to approve any such matter voted on by its shareholders.</w:t>
      </w:r>
    </w:p>
    <w:p>
      <w:pPr>
        <w:spacing w:after="0" w:line="18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concurrently with or immediately following the consummation of the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the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88" w:lineRule="exact"/>
        <w:rPr>
          <w:sz w:val="20"/>
          <w:szCs w:val="20"/>
          <w:color w:val="auto"/>
        </w:rPr>
      </w:pPr>
    </w:p>
    <w:p>
      <w:pPr>
        <w:jc w:val="both"/>
        <w:ind w:firstLine="3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No warrants are currently outstanding. The Public Warrants will become exercisable at $11.50 per share on the later of one year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of the Proposed Public Offering and 30 days after the completion of the initial Business Combination; provided in each case that the Company has an effective registration statement under the Securities Act covering the Class A ordinary shares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The warrants will expire five years after the completion of a Business Combination or earlier upon redemption or liquidation.</w:t>
      </w:r>
    </w:p>
    <w:p>
      <w:pPr>
        <w:spacing w:after="0" w:line="18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the initial Business Combination, it will use commercially reasonable efforts to file with the SEC a registration statement for the registration, under the Securities Act, of the Class A ordinary shares issuable upon exercise of the warrants. The Company will use its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commercially reasonable efforts to register or qualify the shares under applicable blue sky laws to the extent an exemption is not available. In such event, each holder would pay the exercise price by surrendering each such warrant for that number of Class A</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8" w:name="page179"/>
    <w:bookmarkEnd w:id="178"/>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7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The exercise price and number of shares issuable upon exercise of the warrants may be adjusted in certain circumstances including in the event of a share dividend or recapitalization, reorganization, merger or consolidation. 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Company’s board of directors and in the case of any such issuance to the Company’s Sponsors or their affiliates, without taking into account any Founder Shares held by the Company’s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volume-weighted average trading price of the Company’s Class A ordinary shares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$10.00” and “Redemption of warrants when the price per Class A ordinary share equals or exceeds $18.00” will be adjusted (to the nearest cent) to be equal to 100% and 180% of the higher of the Market Value and the Newly Issued Price,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$18.00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with respect to the Private Placement Warrants):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whole and not in part;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a price of $0.01 per warrant;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25" w:lineRule="exact"/>
        <w:rPr>
          <w:sz w:val="20"/>
          <w:szCs w:val="20"/>
          <w:color w:val="auto"/>
        </w:rPr>
      </w:pPr>
    </w:p>
    <w:p>
      <w:pPr>
        <w:ind w:left="1140"/>
        <w:spacing w:after="0" w:line="266" w:lineRule="auto"/>
        <w:rPr>
          <w:sz w:val="20"/>
          <w:szCs w:val="20"/>
          <w:color w:val="auto"/>
        </w:rPr>
      </w:pPr>
      <w:r>
        <w:rPr>
          <w:rFonts w:ascii="Times New Roman" w:cs="Times New Roman" w:eastAsia="Times New Roman" w:hAnsi="Times New Roman"/>
          <w:sz w:val="18"/>
          <w:szCs w:val="18"/>
          <w:color w:val="auto"/>
        </w:rPr>
        <w:t>if, and only if, the last reported sale price of the Class A ordinary shares for any 20 trading days within a 30-trading day period ending three business days before the Company sends to the notice of redemption to the warrant holders (the “Reference Value”) equals or exceeds $18.00 per share (as adjusted for share sub-divisions, share capitalizations, reorganizations, recapitalizations and the like).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whole and not in part;</w:t>
      </w:r>
    </w:p>
    <w:p>
      <w:pPr>
        <w:spacing w:after="0" w:line="225" w:lineRule="exact"/>
        <w:rPr>
          <w:sz w:val="20"/>
          <w:szCs w:val="20"/>
          <w:color w:val="auto"/>
        </w:rPr>
      </w:pPr>
    </w:p>
    <w:p>
      <w:pPr>
        <w:ind w:left="1140"/>
        <w:spacing w:after="0" w:line="266" w:lineRule="auto"/>
        <w:rPr>
          <w:sz w:val="20"/>
          <w:szCs w:val="20"/>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Class A ordinary shares;</w:t>
      </w:r>
    </w:p>
    <w:p>
      <w:pPr>
        <w:spacing w:after="0" w:line="175"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if, and only if, the Reference Value equals or exceeds $10.00 per share (as adjusted for share sub-divisions, share capitalizations, reorganizations, recapitalizations and the like);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9" w:name="page180"/>
    <w:bookmarkEnd w:id="179"/>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4" w:lineRule="exact"/>
        <w:rPr>
          <w:sz w:val="20"/>
          <w:szCs w:val="20"/>
          <w:color w:val="auto"/>
        </w:rPr>
      </w:pPr>
    </w:p>
    <w:p>
      <w:pPr>
        <w:ind w:left="1140"/>
        <w:spacing w:after="0" w:line="266" w:lineRule="auto"/>
        <w:rPr>
          <w:sz w:val="20"/>
          <w:szCs w:val="20"/>
          <w:color w:val="auto"/>
        </w:rPr>
      </w:pPr>
      <w:r>
        <w:rPr>
          <w:rFonts w:ascii="Times New Roman" w:cs="Times New Roman" w:eastAsia="Times New Roman" w:hAnsi="Times New Roman"/>
          <w:sz w:val="18"/>
          <w:szCs w:val="18"/>
          <w:color w:val="auto"/>
        </w:rPr>
        <w:t>if the Reference Value is less than $18.00 per share (as adjusted for share sub-divisions, share capitalizations, reorganizations, recapitalizations and the like) the Private Placement Warrants must also be concurrently called for redemption on the same terms as the outstanding public warrants,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on this review, the Company did not identify any subsequent events that would have required adjustment or disclosure in the financial statements.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80" w:name="page181"/>
    <w:bookmarkEnd w:id="180"/>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25,000,000 Units</w:t>
      </w: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Freedom Acquisition I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1164590</wp:posOffset>
            </wp:positionV>
            <wp:extent cx="28460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PROSPECTUS</w:t>
      </w:r>
    </w:p>
    <w:p>
      <w:pPr>
        <w:spacing w:after="0" w:line="4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5"/>
          <w:szCs w:val="2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148590</wp:posOffset>
            </wp:positionV>
            <wp:extent cx="28460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J.P. Morgan</w:t>
      </w:r>
    </w:p>
    <w:p>
      <w:pPr>
        <w:spacing w:after="0" w:line="317" w:lineRule="exact"/>
        <w:rPr>
          <w:sz w:val="20"/>
          <w:szCs w:val="20"/>
          <w:color w:val="auto"/>
        </w:rPr>
      </w:pPr>
    </w:p>
    <w:p>
      <w:pPr>
        <w:ind w:left="340"/>
        <w:spacing w:after="0"/>
        <w:tabs>
          <w:tab w:leader="none" w:pos="1400" w:val="left"/>
        </w:tabs>
        <w:rPr>
          <w:sz w:val="20"/>
          <w:szCs w:val="20"/>
          <w:color w:val="auto"/>
        </w:rPr>
      </w:pPr>
      <w:r>
        <w:rPr>
          <w:rFonts w:ascii="Times New Roman" w:cs="Times New Roman" w:eastAsia="Times New Roman" w:hAnsi="Times New Roman"/>
          <w:sz w:val="17"/>
          <w:szCs w:val="17"/>
          <w:color w:val="auto"/>
        </w:rPr>
        <w:t>Until</w:t>
      </w:r>
      <w:r>
        <w:rPr>
          <w:sz w:val="20"/>
          <w:szCs w:val="20"/>
          <w:color w:val="auto"/>
        </w:rPr>
        <w:tab/>
      </w:r>
      <w:r>
        <w:rPr>
          <w:rFonts w:ascii="Times New Roman" w:cs="Times New Roman" w:eastAsia="Times New Roman" w:hAnsi="Times New Roman"/>
          <w:sz w:val="17"/>
          <w:szCs w:val="17"/>
          <w:color w:val="auto"/>
        </w:rPr>
        <w:t>, 2021 (25 days after the date of this prospectus), all dealers that buy, sell or trade our units, public warrants or Class A ordinary shares,</w:t>
      </w:r>
    </w:p>
    <w:p>
      <w:pPr>
        <w:spacing w:after="0" w:line="3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32" w:right="419" w:bottom="1440" w:gutter="0" w:footer="0" w:header="0"/>
          <w:type w:val="continuous"/>
        </w:sectPr>
      </w:pPr>
    </w:p>
    <w:bookmarkStart w:id="181" w:name="page182"/>
    <w:bookmarkEnd w:id="181"/>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ectPr>
          <w:pgSz w:w="11900" w:h="16838" w:orient="portrait"/>
          <w:cols w:equalWidth="0" w:num="1">
            <w:col w:w="11240"/>
          </w:cols>
          <w:pgMar w:left="320" w:top="232"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NYSE listing and filing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Director &amp; Officers liability insurance premiums(1)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740" w:hanging="737"/>
        <w:spacing w:after="0"/>
        <w:tabs>
          <w:tab w:leader="none" w:pos="7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31,366</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43,625</w:t>
      </w:r>
    </w:p>
    <w:p>
      <w:pPr>
        <w:spacing w:after="0" w:line="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44,500</w:t>
      </w:r>
    </w:p>
    <w:p>
      <w:pPr>
        <w:spacing w:after="0" w:line="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325,000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85,000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400,000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40,509</w:t>
      </w:r>
    </w:p>
    <w:p>
      <w:pPr>
        <w:spacing w:after="0" w:line="27" w:lineRule="exact"/>
        <w:rPr>
          <w:sz w:val="20"/>
          <w:szCs w:val="20"/>
          <w:color w:val="auto"/>
        </w:rPr>
      </w:pPr>
    </w:p>
    <w:p>
      <w:pPr>
        <w:ind w:left="520" w:hanging="517"/>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8483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9180" w:space="720"/>
            <w:col w:w="1340"/>
          </w:cols>
          <w:pgMar w:left="320" w:top="232" w:right="339" w:bottom="1440" w:gutter="0" w:footer="0" w:header="0"/>
          <w:type w:val="continuous"/>
        </w:sectPr>
      </w:pPr>
    </w:p>
    <w:p>
      <w:pPr>
        <w:ind w:left="340" w:right="10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 indemnity agreements with them.</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December 30, 2020, we issued to our sponsor an aggregate of 7,187,500 founder shares in exchange for a capital contribution of $25,000, or approximately $0.003 per share, to cover certain of our expenses.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28,750,000 units if the underwriters’ over-allotment option is exercised in full and therefore that such founder shares would represent 20% of the outstanding shares after this offering. Up to 937,500 of these shares may be surrendered for no consideration depending on the extent to which the underwriters’ over-allotment is exercised.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182" w:name="page183"/>
    <w:bookmarkEnd w:id="182"/>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sponsor has committed, pursuant to a written agreement, to purchase from us an aggregate of 4,666,667 private placement warrants (or 5,166,667 private placement warrants if the underwriters’ over-allotment option is exercised in full) at $1.50 per warrant (for an aggregate purchase price of $7,000,000 (or $7,750,000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32" w:right="459" w:bottom="1440" w:gutter="0" w:footer="0" w:header="0"/>
        </w:sectPr>
      </w:pPr>
    </w:p>
    <w:bookmarkStart w:id="183" w:name="page184"/>
    <w:bookmarkEnd w:id="183"/>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exhibits are being filed herewith:</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960" w:type="dxa"/>
            <w:vAlign w:val="bottom"/>
          </w:tcPr>
          <w:p>
            <w:pPr>
              <w:jc w:val="right"/>
              <w:ind w:right="48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6"/>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jc w:val="right"/>
              <w:ind w:right="455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Amended and Restated Memorandum and Articles of Association.</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Specimen Unit Certificate.</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Specimen Class A Ordinary Share Certificate.</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Specimen Warrant Certificate.</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Warrant Agreement between Continental Stock Transfer &amp; Trust Company and the Registrant.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Opinion of Davis Polk &amp; Wardwell LLP.</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Opinion of Maples and Calder, Cayman Islands counsel to the Registrant.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Letter Agreement among the Registrant, Freedom Acquisition I LLC and each of the officers and directors of the Registrant.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Investment Management Trust Agreement between Continental Stock Transfer &amp; Trust Company and the Registrant.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Registration Rights Agreement among the Registrant, Freedom Acquisition I LLC and the Holders signatory thereto.</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Private Placement Warrants Purchase Agreement among the Registrant and Freedom Acquisition I LLC.</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Indemnity Agreement.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Promissory Note issued to Freedom Acquisition I LLC.</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Securities Purchase Agreement between Freedom Acquisition I LLC and the Registrant.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Administrative Services Agreement between the Registrant and Freedom Acquisition I LLC.</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Code of Ethics.</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Consent of Marcum LLP.</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Consent of Davis Polk &amp; Wardwell LLP (included on Exhibit 5.1).</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Consent of Maples and Calder (included on Exhibit 5.2).</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Power of Attorney (included in the signature page of this Registration Statement).</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w:t>
            </w:r>
          </w:p>
        </w:tc>
        <w:tc>
          <w:tcPr>
            <w:tcW w:w="8960" w:type="dxa"/>
            <w:vAlign w:val="bottom"/>
          </w:tcPr>
          <w:p>
            <w:pPr>
              <w:jc w:val="right"/>
              <w:ind w:right="847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7830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filed by amendment.</w:t>
      </w:r>
    </w:p>
    <w:p>
      <w:pPr>
        <w:spacing w:after="0" w:line="223" w:lineRule="exact"/>
        <w:rPr>
          <w:sz w:val="20"/>
          <w:szCs w:val="20"/>
          <w:color w:val="auto"/>
        </w:rPr>
      </w:pPr>
    </w:p>
    <w:p>
      <w:pPr>
        <w:ind w:left="5460" w:right="1380" w:hanging="5128"/>
        <w:spacing w:after="0" w:line="660" w:lineRule="auto"/>
        <w:tabs>
          <w:tab w:leader="none" w:pos="6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page F-1 for an index to the financial statements and schedules included in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84" w:name="page185"/>
    <w:bookmarkEnd w:id="184"/>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660" w:right="4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61"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rFonts w:ascii="Times New Roman" w:cs="Times New Roman" w:eastAsia="Times New Roman" w:hAnsi="Times New Roman"/>
          <w:sz w:val="18"/>
          <w:szCs w:val="18"/>
          <w:color w:val="auto"/>
        </w:rPr>
      </w:pPr>
    </w:p>
    <w:p>
      <w:pPr>
        <w:ind w:left="980" w:right="40" w:hanging="324"/>
        <w:spacing w:after="0" w:line="276" w:lineRule="auto"/>
        <w:tabs>
          <w:tab w:leader="none" w:pos="98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206"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hanging="324"/>
        <w:spacing w:after="0" w:line="254"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1" w:lineRule="exact"/>
        <w:rPr>
          <w:rFonts w:ascii="Times New Roman" w:cs="Times New Roman" w:eastAsia="Times New Roman" w:hAnsi="Times New Roman"/>
          <w:sz w:val="18"/>
          <w:szCs w:val="18"/>
          <w:color w:val="auto"/>
        </w:rPr>
      </w:pPr>
    </w:p>
    <w:p>
      <w:pPr>
        <w:ind w:left="980" w:right="80" w:hanging="324"/>
        <w:spacing w:after="0" w:line="258"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1460" w:hanging="480"/>
        <w:spacing w:after="0"/>
        <w:tabs>
          <w:tab w:leader="none" w:pos="14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236" w:lineRule="exact"/>
        <w:rPr>
          <w:rFonts w:ascii="Times New Roman" w:cs="Times New Roman" w:eastAsia="Times New Roman" w:hAnsi="Times New Roman"/>
          <w:sz w:val="17"/>
          <w:szCs w:val="17"/>
          <w:color w:val="auto"/>
        </w:rPr>
      </w:pPr>
    </w:p>
    <w:p>
      <w:pPr>
        <w:ind w:left="660" w:right="160" w:firstLine="320"/>
        <w:spacing w:after="0" w:line="282" w:lineRule="auto"/>
        <w:tabs>
          <w:tab w:leader="none" w:pos="15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an undersigned registrant;</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185" w:name="page186"/>
    <w:bookmarkEnd w:id="185"/>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4" w:lineRule="exact"/>
        <w:rPr>
          <w:sz w:val="20"/>
          <w:szCs w:val="20"/>
          <w:color w:val="auto"/>
        </w:rPr>
      </w:pPr>
    </w:p>
    <w:p>
      <w:pPr>
        <w:ind w:left="660" w:firstLine="320"/>
        <w:spacing w:after="0" w:line="282" w:lineRule="auto"/>
        <w:tabs>
          <w:tab w:leader="none" w:pos="15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560" w:hanging="580"/>
        <w:spacing w:after="0"/>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232" w:right="979" w:bottom="1440" w:gutter="0" w:footer="0" w:header="0"/>
        </w:sectPr>
      </w:pPr>
    </w:p>
    <w:bookmarkStart w:id="186" w:name="page187"/>
    <w:bookmarkEnd w:id="186"/>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to be signed on its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behalf by the undersigned, thereunto duly authorized, in the City of New York, New York, on the   day of</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17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FREEDOM ACQUISITION I CORP.</w:t>
      </w:r>
    </w:p>
    <w:p>
      <w:pPr>
        <w:spacing w:after="0" w:line="200" w:lineRule="exact"/>
        <w:rPr>
          <w:sz w:val="20"/>
          <w:szCs w:val="20"/>
          <w:color w:val="auto"/>
        </w:rPr>
      </w:pPr>
    </w:p>
    <w:p>
      <w:pPr>
        <w:spacing w:after="0" w:line="24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Adam Gishen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32" w:right="579" w:bottom="1440" w:gutter="0" w:footer="0" w:header="0"/>
        </w:sectPr>
      </w:pPr>
    </w:p>
    <w:bookmarkStart w:id="187" w:name="page188"/>
    <w:bookmarkEnd w:id="187"/>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of the undersigned constitutes and appoints each of Adam Gishen and Abhishek Bhatia,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5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1"/>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Tidjane Thiam</w:t>
            </w: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34"/>
        </w:trPr>
        <w:tc>
          <w:tcPr>
            <w:tcW w:w="3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w:t>
            </w:r>
          </w:p>
        </w:tc>
        <w:tc>
          <w:tcPr>
            <w:tcW w:w="3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 2021</w:t>
            </w:r>
          </w:p>
        </w:tc>
      </w:tr>
      <w:tr>
        <w:trPr>
          <w:trHeight w:val="178"/>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Adam Gishen</w:t>
            </w: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 and Principal Financial and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4"/>
        </w:trPr>
        <w:tc>
          <w:tcPr>
            <w:tcW w:w="3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3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 2021</w:t>
            </w:r>
          </w:p>
        </w:tc>
      </w:tr>
      <w:tr>
        <w:trPr>
          <w:trHeight w:val="426"/>
        </w:trPr>
        <w:tc>
          <w:tcPr>
            <w:tcW w:w="3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Abhishek Bhatia</w:t>
            </w:r>
          </w:p>
        </w:tc>
        <w:tc>
          <w:tcPr>
            <w:tcW w:w="30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 2021</w:t>
            </w:r>
          </w:p>
        </w:tc>
      </w:tr>
      <w:tr>
        <w:trPr>
          <w:trHeight w:val="214"/>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bl>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88" w:name="page189"/>
    <w:bookmarkEnd w:id="188"/>
    <w:p>
      <w:pPr>
        <w:spacing w:after="0"/>
        <w:rPr>
          <w:rFonts w:ascii="Times New Roman" w:cs="Times New Roman" w:eastAsia="Times New Roman" w:hAnsi="Times New Roman"/>
          <w:sz w:val="16"/>
          <w:szCs w:val="16"/>
          <w:b w:val="1"/>
          <w:bCs w:val="1"/>
          <w:u w:val="single" w:color="auto"/>
          <w:color w:val="0000EE"/>
        </w:rPr>
      </w:pP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Pursuant to the requirements of Section 6(a) of the Securities Act of 1933, the undersigned has signed this registration statement, solely in its capacity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as the duly authorized representative of Freedom Acquisition I Corp., in the City of New York, New York, on the   day of</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39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Adam Gishen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23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1)"/>
      <w:numFmt w:val="decimal"/>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lowerRoman"/>
      <w:start w:val="2"/>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lowerRoman"/>
      <w:start w:val="2"/>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4"/>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lowerRoman"/>
      <w:start w:val="1"/>
    </w:lvl>
  </w:abstractNum>
  <w:abstractNum w:abstractNumId="39">
    <w:nsid w:val="310C50B3"/>
    <w:multiLevelType w:val="hybridMultilevel"/>
    <w:lvl w:ilvl="0">
      <w:lvlJc w:val="left"/>
      <w:lvlText w:val="(%1)"/>
      <w:numFmt w:val="lowerRoman"/>
      <w:start w:val="5"/>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4"/>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1)"/>
      <w:numFmt w:val="lowerLetter"/>
      <w:start w:val="6"/>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lowerRoman"/>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1)"/>
      <w:numFmt w:val="lowerRoman"/>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lowerLetter"/>
      <w:start w:val="1"/>
    </w:lvl>
  </w:abstractNum>
  <w:abstractNum w:abstractNumId="69">
    <w:nsid w:val="1A32234B"/>
    <w:multiLevelType w:val="hybridMultilevel"/>
    <w:lvl w:ilvl="0">
      <w:lvlJc w:val="left"/>
      <w:lvlText w:val="(%1)"/>
      <w:numFmt w:val="lowerLetter"/>
      <w:start w:val="1"/>
    </w:lvl>
  </w:abstractNum>
  <w:abstractNum w:abstractNumId="70">
    <w:nsid w:val="3B0FD379"/>
    <w:multiLevelType w:val="hybridMultilevel"/>
    <w:lvl w:ilvl="0">
      <w:lvlJc w:val="left"/>
      <w:lvlText w:val="(%1)"/>
      <w:numFmt w:val="lowerLetter"/>
      <w:start w:val="2"/>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lowerRoman"/>
      <w:start w:val="1"/>
    </w:lvl>
  </w:abstractNum>
  <w:abstractNum w:abstractNumId="76">
    <w:nsid w:val="7FFFCA11"/>
    <w:multiLevelType w:val="hybridMultilevel"/>
    <w:lvl w:ilvl="0">
      <w:lvlJc w:val="left"/>
      <w:lvlText w:val="(%1)"/>
      <w:numFmt w:val="lowerRoman"/>
      <w:start w:val="3"/>
    </w:lvl>
  </w:abstractNum>
  <w:abstractNum w:abstractNumId="77">
    <w:nsid w:val="1A27709E"/>
    <w:multiLevelType w:val="hybridMultilevel"/>
    <w:lvl w:ilvl="0">
      <w:lvlJc w:val="left"/>
      <w:lvlText w:val="(%1)"/>
      <w:numFmt w:val="upperLetter"/>
      <w:start w:val="1"/>
    </w:lvl>
  </w:abstractNum>
  <w:abstractNum w:abstractNumId="78">
    <w:nsid w:val="71EA1109"/>
    <w:multiLevelType w:val="hybridMultilevel"/>
    <w:lvl w:ilvl="0">
      <w:lvlJc w:val="left"/>
      <w:lvlText w:val=" "/>
      <w:numFmt w:val="bullet"/>
      <w:start w:val="1"/>
    </w:lvl>
  </w:abstractNum>
  <w:abstractNum w:abstractNumId="79">
    <w:nsid w:val="100F59DC"/>
    <w:multiLevelType w:val="hybridMultilevel"/>
    <w:lvl w:ilvl="0">
      <w:lvlJc w:val="left"/>
      <w:lvlText w:val=" "/>
      <w:numFmt w:val="bullet"/>
      <w:start w:val="1"/>
    </w:lvl>
  </w:abstractNum>
  <w:abstractNum w:abstractNumId="80">
    <w:nsid w:val="7FB7E0AA"/>
    <w:multiLevelType w:val="hybridMultilevel"/>
    <w:lvl w:ilvl="0">
      <w:lvlJc w:val="left"/>
      <w:lvlText w:val=" "/>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lowerLetter"/>
      <w:start w:val="2"/>
    </w:lvl>
  </w:abstractNum>
  <w:abstractNum w:abstractNumId="85">
    <w:nsid w:val="76272110"/>
    <w:multiLevelType w:val="hybridMultilevel"/>
    <w:lvl w:ilvl="0">
      <w:lvlJc w:val="left"/>
      <w:lvlText w:val="(%1)"/>
      <w:numFmt w:val="lowerLetter"/>
      <w:start w:val="1"/>
    </w:lvl>
    <w:lvl w:ilvl="1">
      <w:lvlJc w:val="left"/>
      <w:lvlText w:val="(%2)"/>
      <w:numFmt w:val="decimal"/>
      <w:start w:val="1"/>
    </w:lvl>
  </w:abstractNum>
  <w:abstractNum w:abstractNumId="86">
    <w:nsid w:val="4C04A8AF"/>
    <w:multiLevelType w:val="hybridMultilevel"/>
    <w:lvl w:ilvl="0">
      <w:lvlJc w:val="left"/>
      <w:lvlText w:val="(%1)"/>
      <w:numFmt w:val="lowerRoman"/>
      <w:start w:val="1"/>
    </w:lvl>
  </w:abstractNum>
  <w:abstractNum w:abstractNumId="87">
    <w:nsid w:val="1716703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2021-02-10T23:05:52Z</dcterms:created>
  <dcterms:modified xsi:type="dcterms:W3CDTF">2021-02-10T23:05:52Z</dcterms:modified>
</cp:coreProperties>
</file>