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582408-424b3_sunpower.htm"/>
      <w:bookmarkStart w:id="1" w:name="ksea030582408424b3_sunpower"/>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333-293093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7</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22,381,878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333-293093).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registration of the resale or other disposition of up to 22,381,878 shares of our common stock by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Yorkville is also referred to in the prospectus and this prospectus supplement as the Selling Securityholder. The shares of our common stock to which the prospectus and this prospectus supplement relate have been or may be issued by us to Yorkville pursuant to a standby equity purchase agreement, dated as of January 27, 2026, by and between us and Yorkville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Such shares of common stock include (i) up to 22,206,878 shares of common stock that may be issued to Yorkville pursuant to a convertible promissory note issued by us to Yorkville pursuant to the SEPA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(ii) 175,000 shares of common stock we issued to Yorkville as consideration for its commitment to purchase shares of our common stock pursuant to the SEPA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and, collectively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“SELLING SECURITYHOLDER” on page 99 of the prospectus for additional information regarding the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only with respect to advances under the SEPA (“</w:t>
      </w:r>
      <w:r>
        <w:rPr>
          <w:rFonts w:ascii="Times New Roman;Times;Serif" w:hAnsi="Times New Roman;Times;Serif"/>
          <w:b/>
          <w:i w:val="false"/>
          <w:caps w:val="false"/>
          <w:smallCaps w:val="false"/>
          <w:sz w:val="20"/>
        </w:rPr>
        <w:t>Advances</w:t>
      </w:r>
      <w:r>
        <w:rPr>
          <w:rFonts w:ascii="Times New Roman;Times;Serif" w:hAnsi="Times New Roman;Times;Serif"/>
          <w:b w:val="false"/>
          <w:i w:val="false"/>
          <w:caps w:val="false"/>
          <w:smallCaps w:val="false"/>
          <w:sz w:val="20"/>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upon conversion by Yorkville of the convertible promissory notes issued to Yorkville pursuant to the SEPA.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114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any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Northland Capital Markets (“</w:t>
      </w:r>
      <w:r>
        <w:rPr>
          <w:rFonts w:ascii="Times New Roman;Times;Serif" w:hAnsi="Times New Roman;Times;Serif"/>
          <w:b/>
          <w:i w:val="false"/>
          <w:caps w:val="false"/>
          <w:smallCaps w:val="false"/>
          <w:sz w:val="20"/>
        </w:rPr>
        <w:t>Northland</w:t>
      </w:r>
      <w:r>
        <w:rPr>
          <w:rFonts w:ascii="Times New Roman;Times;Serif" w:hAnsi="Times New Roman;Times;Serif"/>
          <w:b w:val="false"/>
          <w:i w:val="false"/>
          <w:caps w:val="false"/>
          <w:smallCaps w:val="false"/>
          <w:sz w:val="20"/>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114 of the prospectus for additional information regarding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September 16, 2026, the closing price of our common stock was $0.3169.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11 of the prospectus, and under similar headings in any amendments or supplements to the prospectus or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September 17, 2026</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2203</Words>
  <Characters>11700</Characters>
  <CharactersWithSpaces>13920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