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0294569-posam_sunpower.htm"/>
      <w:bookmarkStart w:id="1" w:name="ksea0294569posam_sunpower"/>
      <w:bookmarkEnd w:id="0"/>
      <w:bookmarkEnd w:id="1"/>
      <w:r>
        <w:rPr>
          <w:rFonts w:ascii="Times New Roman;Times;Serif" w:hAnsi="Times New Roman;Times;Serif"/>
          <w:b/>
          <w:i w:val="false"/>
          <w:caps w:val="false"/>
          <w:smallCaps w:val="false"/>
          <w:sz w:val="20"/>
        </w:rPr>
        <w:t>As filed with the United States Securities and Exchange Commission on June 29,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333-293156</w:t>
      </w:r>
    </w:p>
    <w:p>
      <w:pPr>
        <w:pStyle w:val="TextBody"/>
        <w:bidi w:val="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2690"/>
        <w:gridCol w:w="90"/>
        <w:gridCol w:w="2330"/>
        <w:gridCol w:w="90"/>
        <w:gridCol w:w="2030"/>
      </w:tblGrid>
      <w:tr>
        <w:trPr/>
        <w:tc>
          <w:tcPr>
            <w:tcW w:w="26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001-40117</w:t>
            </w:r>
          </w:p>
        </w:tc>
        <w:tc>
          <w:tcPr>
            <w:tcW w:w="90" w:type="dxa"/>
            <w:tcBorders/>
            <w:tcMar>
              <w:bottom w:w="0" w:type="dxa"/>
            </w:tcMar>
            <w:vAlign w:val="center"/>
          </w:tcPr>
          <w:p>
            <w:pPr>
              <w:pStyle w:val="TableContents"/>
              <w:bidi w:val="0"/>
              <w:spacing w:before="0" w:after="283"/>
              <w:jc w:val="center"/>
              <w:rPr/>
            </w:pPr>
            <w:r>
              <w:rPr/>
              <w:t> </w:t>
            </w:r>
          </w:p>
        </w:tc>
        <w:tc>
          <w:tcPr>
            <w:tcW w:w="20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93-2279786</w:t>
            </w:r>
          </w:p>
        </w:tc>
      </w:tr>
      <w:tr>
        <w:trPr/>
        <w:tc>
          <w:tcPr>
            <w:tcW w:w="269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233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90" w:type="dxa"/>
            <w:tcBorders/>
            <w:tcMar>
              <w:bottom w:w="0" w:type="dxa"/>
            </w:tcMar>
            <w:vAlign w:val="center"/>
          </w:tcPr>
          <w:p>
            <w:pPr>
              <w:pStyle w:val="TableContents"/>
              <w:bidi w:val="0"/>
              <w:spacing w:before="0" w:after="283"/>
              <w:jc w:val="center"/>
              <w:rPr/>
            </w:pPr>
            <w:r>
              <w:rPr/>
              <w:t> </w:t>
            </w:r>
          </w:p>
        </w:tc>
        <w:tc>
          <w:tcPr>
            <w:tcW w:w="203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1403 N. Research Way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Orem, UT 84097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(877) 299-4943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Thurman J. Rodgers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1403 N. Research Way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Orem, UT 84097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(877) 299-4943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Penney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Arnold &amp; Porter Kaye Scholer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 W. 55th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836-8000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time to time on or after this registration statement is declared effective.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1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the Registration Statement on Form S-1, as amended (SEC File No. 333-293156) (the “</w:t>
      </w:r>
      <w:r>
        <w:rPr>
          <w:rFonts w:ascii="Times New Roman;Times;Serif" w:hAnsi="Times New Roman;Times;Serif"/>
          <w:b/>
          <w:i w:val="false"/>
          <w:caps w:val="false"/>
          <w:smallCaps w:val="false"/>
          <w:sz w:val="20"/>
        </w:rPr>
        <w:t>Original Registration Statement</w:t>
      </w:r>
      <w:r>
        <w:rPr>
          <w:rFonts w:ascii="Times New Roman;Times;Serif" w:hAnsi="Times New Roman;Times;Serif"/>
          <w:b w:val="false"/>
          <w:i w:val="false"/>
          <w:caps w:val="false"/>
          <w:smallCaps w:val="false"/>
          <w:sz w:val="20"/>
        </w:rPr>
        <w:t>”), of SunPower Inc. (the “Company”) is being filed pursuant to the undertakings in the Original Registration Statement to update and supplement the information contained in the Original Registration Statement, which was originally declared effective by the Securities and Exchange Commission on February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Registration Statement, as amended by this Amendment, pertains solely to the registration of up to 65,385,828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to be offered and sold from time to time by the selling securityholders named in the Original Registration Statement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consisting of (i) 10,243,924 shares of common stock (the “</w:t>
      </w:r>
      <w:r>
        <w:rPr>
          <w:rFonts w:ascii="Times New Roman;Times;Serif" w:hAnsi="Times New Roman;Times;Serif"/>
          <w:b/>
          <w:i w:val="false"/>
          <w:caps w:val="false"/>
          <w:smallCaps w:val="false"/>
          <w:sz w:val="20"/>
        </w:rPr>
        <w:t>Ambia Shares</w:t>
      </w:r>
      <w:r>
        <w:rPr>
          <w:rFonts w:ascii="Times New Roman;Times;Serif" w:hAnsi="Times New Roman;Times;Serif"/>
          <w:b w:val="false"/>
          <w:i w:val="false"/>
          <w:caps w:val="false"/>
          <w:smallCaps w:val="false"/>
          <w:sz w:val="20"/>
        </w:rPr>
        <w:t>”) previously issued by us pursuant to a Membership Interest Purchase Agreement (the “</w:t>
      </w:r>
      <w:r>
        <w:rPr>
          <w:rFonts w:ascii="Times New Roman;Times;Serif" w:hAnsi="Times New Roman;Times;Serif"/>
          <w:b/>
          <w:i w:val="false"/>
          <w:caps w:val="false"/>
          <w:smallCaps w:val="false"/>
          <w:sz w:val="20"/>
        </w:rPr>
        <w:t>Ambia Purchase Agreement</w:t>
      </w:r>
      <w:r>
        <w:rPr>
          <w:rFonts w:ascii="Times New Roman;Times;Serif" w:hAnsi="Times New Roman;Times;Serif"/>
          <w:b w:val="false"/>
          <w:i w:val="false"/>
          <w:caps w:val="false"/>
          <w:smallCaps w:val="false"/>
          <w:sz w:val="20"/>
        </w:rPr>
        <w:t>”), dated November 21, 2025, between the Company, Ambia Energy, LLC (“</w:t>
      </w:r>
      <w:r>
        <w:rPr>
          <w:rFonts w:ascii="Times New Roman;Times;Serif" w:hAnsi="Times New Roman;Times;Serif"/>
          <w:b/>
          <w:i w:val="false"/>
          <w:caps w:val="false"/>
          <w:smallCaps w:val="false"/>
          <w:sz w:val="20"/>
        </w:rPr>
        <w:t>Ambia</w:t>
      </w:r>
      <w:r>
        <w:rPr>
          <w:rFonts w:ascii="Times New Roman;Times;Serif" w:hAnsi="Times New Roman;Times;Serif"/>
          <w:b w:val="false"/>
          <w:i w:val="false"/>
          <w:caps w:val="false"/>
          <w:smallCaps w:val="false"/>
          <w:sz w:val="20"/>
        </w:rPr>
        <w:t>”) and Ambia Holdings, Inc., in connection with our acquisition of Ambia, (ii) 3,333,334 shares of common stock (the “</w:t>
      </w:r>
      <w:r>
        <w:rPr>
          <w:rFonts w:ascii="Times New Roman;Times;Serif" w:hAnsi="Times New Roman;Times;Serif"/>
          <w:b/>
          <w:i w:val="false"/>
          <w:caps w:val="false"/>
          <w:smallCaps w:val="false"/>
          <w:sz w:val="20"/>
        </w:rPr>
        <w:t>Sunder Shares</w:t>
      </w:r>
      <w:r>
        <w:rPr>
          <w:rFonts w:ascii="Times New Roman;Times;Serif" w:hAnsi="Times New Roman;Times;Serif"/>
          <w:b w:val="false"/>
          <w:i w:val="false"/>
          <w:caps w:val="false"/>
          <w:smallCaps w:val="false"/>
          <w:sz w:val="20"/>
        </w:rPr>
        <w:t>” and, collectively with the Ambia Shares, the “</w:t>
      </w:r>
      <w:r>
        <w:rPr>
          <w:rFonts w:ascii="Times New Roman;Times;Serif" w:hAnsi="Times New Roman;Times;Serif"/>
          <w:b/>
          <w:i w:val="false"/>
          <w:caps w:val="false"/>
          <w:smallCaps w:val="false"/>
          <w:sz w:val="20"/>
        </w:rPr>
        <w:t>Acquisition Shares</w:t>
      </w:r>
      <w:r>
        <w:rPr>
          <w:rFonts w:ascii="Times New Roman;Times;Serif" w:hAnsi="Times New Roman;Times;Serif"/>
          <w:b w:val="false"/>
          <w:i w:val="false"/>
          <w:caps w:val="false"/>
          <w:smallCaps w:val="false"/>
          <w:sz w:val="20"/>
        </w:rPr>
        <w:t>”) previously issued by us pursuant to a Membership Interest Purchase Agreement (the “</w:t>
      </w:r>
      <w:r>
        <w:rPr>
          <w:rFonts w:ascii="Times New Roman;Times;Serif" w:hAnsi="Times New Roman;Times;Serif"/>
          <w:b/>
          <w:i w:val="false"/>
          <w:caps w:val="false"/>
          <w:smallCaps w:val="false"/>
          <w:sz w:val="20"/>
        </w:rPr>
        <w:t>Sunder Purchase Agreement</w:t>
      </w:r>
      <w:r>
        <w:rPr>
          <w:rFonts w:ascii="Times New Roman;Times;Serif" w:hAnsi="Times New Roman;Times;Serif"/>
          <w:b w:val="false"/>
          <w:i w:val="false"/>
          <w:caps w:val="false"/>
          <w:smallCaps w:val="false"/>
          <w:sz w:val="20"/>
        </w:rPr>
        <w:t>” and, together with the Ambia Purchase Agreement, the “</w:t>
      </w:r>
      <w:r>
        <w:rPr>
          <w:rFonts w:ascii="Times New Roman;Times;Serif" w:hAnsi="Times New Roman;Times;Serif"/>
          <w:b/>
          <w:i w:val="false"/>
          <w:caps w:val="false"/>
          <w:smallCaps w:val="false"/>
          <w:sz w:val="20"/>
        </w:rPr>
        <w:t>Acquisition Agreements</w:t>
      </w:r>
      <w:r>
        <w:rPr>
          <w:rFonts w:ascii="Times New Roman;Times;Serif" w:hAnsi="Times New Roman;Times;Serif"/>
          <w:b w:val="false"/>
          <w:i w:val="false"/>
          <w:caps w:val="false"/>
          <w:smallCaps w:val="false"/>
          <w:sz w:val="20"/>
        </w:rPr>
        <w:t>”), dated September 21, 2025, by and among the Company, Complete Solar, Inc., Sunder Energy LLC (“</w:t>
      </w:r>
      <w:r>
        <w:rPr>
          <w:rFonts w:ascii="Times New Roman;Times;Serif" w:hAnsi="Times New Roman;Times;Serif"/>
          <w:b/>
          <w:i w:val="false"/>
          <w:caps w:val="false"/>
          <w:smallCaps w:val="false"/>
          <w:sz w:val="20"/>
        </w:rPr>
        <w:t>Sunder</w:t>
      </w:r>
      <w:r>
        <w:rPr>
          <w:rFonts w:ascii="Times New Roman;Times;Serif" w:hAnsi="Times New Roman;Times;Serif"/>
          <w:b w:val="false"/>
          <w:i w:val="false"/>
          <w:caps w:val="false"/>
          <w:smallCaps w:val="false"/>
          <w:sz w:val="20"/>
        </w:rPr>
        <w:t>”) and Chicken Parm Pizza LLC, in connection with our acquisition of Sunder, (iii) up to 50,760,218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conversion of our 7% convertible senior notes due 2029 (the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and (iv) 1,048,352 shares of common stock held by certain of our former affiliates (the “</w:t>
      </w:r>
      <w:r>
        <w:rPr>
          <w:rFonts w:ascii="Times New Roman;Times;Serif" w:hAnsi="Times New Roman;Times;Serif"/>
          <w:b/>
          <w:i w:val="false"/>
          <w:caps w:val="false"/>
          <w:smallCaps w:val="false"/>
          <w:sz w:val="20"/>
        </w:rPr>
        <w:t>Former Affiliate Shares</w:t>
      </w:r>
      <w:r>
        <w:rPr>
          <w:rFonts w:ascii="Times New Roman;Times;Serif" w:hAnsi="Times New Roman;Times;Serif"/>
          <w:b w:val="false"/>
          <w:i w:val="false"/>
          <w:caps w:val="false"/>
          <w:smallCaps w:val="false"/>
          <w:sz w:val="20"/>
        </w:rPr>
        <w:t>” and, collectively with the Acquisition Shares and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The Offered Securities were initially registered on the Original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convenience of the reader, this Amendment sets forth the Original Registration Statement in its entirety, as amended by this Amendment. This Amendment is being filed to incorporate certain information from the Company’s Annual Report on Form 10-K for the year ended December 28, 2025, filed with the SEC on April 14, 2026, and the Company’s Quarterly Report on Form 10-Q for the fiscal quarter ended March 28, 2026, filed with the SEC on May 19, 2026 and to update certain other information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securities are being registered under this Post-Effective Amendment No. 1. All applicable registration fees were previously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 securities described herein may not be sold until the registration statement filed with the U.S. Securities and Exchange Commission is declared effective. This preliminary prospectus is not an offer to sell these securities and it is not soliciting an offer to buy these securities in any jurisdiction where the offer or sale is not permitted.</w:t>
      </w:r>
    </w:p>
    <w:p>
      <w:pPr>
        <w:pStyle w:val="TextBody"/>
        <w:bidi w:val="0"/>
        <w:spacing w:before="0" w:after="0"/>
        <w:jc w:val="both"/>
        <w:rPr>
          <w:caps w:val="false"/>
          <w:smallCaps w:val="false"/>
          <w:color w:val="FF0000"/>
        </w:rPr>
      </w:pPr>
      <w:r>
        <w:rPr>
          <w:caps w:val="false"/>
          <w:smallCaps w:val="false"/>
          <w:color w:val="FF0000"/>
        </w:rPr>
        <w:t> </w:t>
      </w:r>
    </w:p>
    <w:p>
      <w:pPr>
        <w:pStyle w:val="TextBody"/>
        <w:bidi w:val="0"/>
        <w:spacing w:before="0" w:after="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COMPLETION, DATED JUNE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14,625,610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50,760,218 Shares of Common Stock Issuable Upon Conversion of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securityholders named in this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65,385,828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10,243,924 shares of common stock (the “</w:t>
      </w:r>
      <w:r>
        <w:rPr>
          <w:rFonts w:ascii="Times New Roman;Times;Serif" w:hAnsi="Times New Roman;Times;Serif"/>
          <w:b/>
          <w:i w:val="false"/>
          <w:caps w:val="false"/>
          <w:smallCaps w:val="false"/>
          <w:sz w:val="20"/>
        </w:rPr>
        <w:t>Ambia Shares</w:t>
      </w:r>
      <w:r>
        <w:rPr>
          <w:rFonts w:ascii="Times New Roman;Times;Serif" w:hAnsi="Times New Roman;Times;Serif"/>
          <w:b w:val="false"/>
          <w:i w:val="false"/>
          <w:caps w:val="false"/>
          <w:smallCaps w:val="false"/>
          <w:sz w:val="20"/>
        </w:rPr>
        <w:t>”) previously issued by us pursuant to a Membership Interest Purchase Agreement (the “</w:t>
      </w:r>
      <w:r>
        <w:rPr>
          <w:rFonts w:ascii="Times New Roman;Times;Serif" w:hAnsi="Times New Roman;Times;Serif"/>
          <w:b/>
          <w:i w:val="false"/>
          <w:caps w:val="false"/>
          <w:smallCaps w:val="false"/>
          <w:sz w:val="20"/>
        </w:rPr>
        <w:t>Ambia Purchase Agreement</w:t>
      </w:r>
      <w:r>
        <w:rPr>
          <w:rFonts w:ascii="Times New Roman;Times;Serif" w:hAnsi="Times New Roman;Times;Serif"/>
          <w:b w:val="false"/>
          <w:i w:val="false"/>
          <w:caps w:val="false"/>
          <w:smallCaps w:val="false"/>
          <w:sz w:val="20"/>
        </w:rPr>
        <w:t>”), dated November 21, 2025, between the Company, Ambia Energy, LLC (“</w:t>
      </w:r>
      <w:r>
        <w:rPr>
          <w:rFonts w:ascii="Times New Roman;Times;Serif" w:hAnsi="Times New Roman;Times;Serif"/>
          <w:b/>
          <w:i w:val="false"/>
          <w:caps w:val="false"/>
          <w:smallCaps w:val="false"/>
          <w:sz w:val="20"/>
        </w:rPr>
        <w:t>Ambia</w:t>
      </w:r>
      <w:r>
        <w:rPr>
          <w:rFonts w:ascii="Times New Roman;Times;Serif" w:hAnsi="Times New Roman;Times;Serif"/>
          <w:b w:val="false"/>
          <w:i w:val="false"/>
          <w:caps w:val="false"/>
          <w:smallCaps w:val="false"/>
          <w:sz w:val="20"/>
        </w:rPr>
        <w:t>”) and Ambia Holdings, Inc., in connection with our acquisition of Ambia, (ii) 3,333,334 shares of common stock (the “</w:t>
      </w:r>
      <w:r>
        <w:rPr>
          <w:rFonts w:ascii="Times New Roman;Times;Serif" w:hAnsi="Times New Roman;Times;Serif"/>
          <w:b/>
          <w:i w:val="false"/>
          <w:caps w:val="false"/>
          <w:smallCaps w:val="false"/>
          <w:sz w:val="20"/>
        </w:rPr>
        <w:t>Sunder Shares</w:t>
      </w:r>
      <w:r>
        <w:rPr>
          <w:rFonts w:ascii="Times New Roman;Times;Serif" w:hAnsi="Times New Roman;Times;Serif"/>
          <w:b w:val="false"/>
          <w:i w:val="false"/>
          <w:caps w:val="false"/>
          <w:smallCaps w:val="false"/>
          <w:sz w:val="20"/>
        </w:rPr>
        <w:t>” and, collectively with the Ambia Shares, the “</w:t>
      </w:r>
      <w:r>
        <w:rPr>
          <w:rFonts w:ascii="Times New Roman;Times;Serif" w:hAnsi="Times New Roman;Times;Serif"/>
          <w:b/>
          <w:i w:val="false"/>
          <w:caps w:val="false"/>
          <w:smallCaps w:val="false"/>
          <w:sz w:val="20"/>
        </w:rPr>
        <w:t>Acquisition Shares</w:t>
      </w:r>
      <w:r>
        <w:rPr>
          <w:rFonts w:ascii="Times New Roman;Times;Serif" w:hAnsi="Times New Roman;Times;Serif"/>
          <w:b w:val="false"/>
          <w:i w:val="false"/>
          <w:caps w:val="false"/>
          <w:smallCaps w:val="false"/>
          <w:sz w:val="20"/>
        </w:rPr>
        <w:t>”) previously issued by us pursuant to a Membership Interest Purchase Agreement (the “</w:t>
      </w:r>
      <w:r>
        <w:rPr>
          <w:rFonts w:ascii="Times New Roman;Times;Serif" w:hAnsi="Times New Roman;Times;Serif"/>
          <w:b/>
          <w:i w:val="false"/>
          <w:caps w:val="false"/>
          <w:smallCaps w:val="false"/>
          <w:sz w:val="20"/>
        </w:rPr>
        <w:t>Sunder Purchase Agreement</w:t>
      </w:r>
      <w:r>
        <w:rPr>
          <w:rFonts w:ascii="Times New Roman;Times;Serif" w:hAnsi="Times New Roman;Times;Serif"/>
          <w:b w:val="false"/>
          <w:i w:val="false"/>
          <w:caps w:val="false"/>
          <w:smallCaps w:val="false"/>
          <w:sz w:val="20"/>
        </w:rPr>
        <w:t>” and, together with the Ambia Purchase Agreement, the “</w:t>
      </w:r>
      <w:r>
        <w:rPr>
          <w:rFonts w:ascii="Times New Roman;Times;Serif" w:hAnsi="Times New Roman;Times;Serif"/>
          <w:b/>
          <w:i w:val="false"/>
          <w:caps w:val="false"/>
          <w:smallCaps w:val="false"/>
          <w:sz w:val="20"/>
        </w:rPr>
        <w:t>Acquisition Agreements</w:t>
      </w:r>
      <w:r>
        <w:rPr>
          <w:rFonts w:ascii="Times New Roman;Times;Serif" w:hAnsi="Times New Roman;Times;Serif"/>
          <w:b w:val="false"/>
          <w:i w:val="false"/>
          <w:caps w:val="false"/>
          <w:smallCaps w:val="false"/>
          <w:sz w:val="20"/>
        </w:rPr>
        <w:t>”), dated September 21, 2025, by and among the Company, Complete Solar, Inc., Sunder Energy LLC (“</w:t>
      </w:r>
      <w:r>
        <w:rPr>
          <w:rFonts w:ascii="Times New Roman;Times;Serif" w:hAnsi="Times New Roman;Times;Serif"/>
          <w:b/>
          <w:i w:val="false"/>
          <w:caps w:val="false"/>
          <w:smallCaps w:val="false"/>
          <w:sz w:val="20"/>
        </w:rPr>
        <w:t>Sunder</w:t>
      </w:r>
      <w:r>
        <w:rPr>
          <w:rFonts w:ascii="Times New Roman;Times;Serif" w:hAnsi="Times New Roman;Times;Serif"/>
          <w:b w:val="false"/>
          <w:i w:val="false"/>
          <w:caps w:val="false"/>
          <w:smallCaps w:val="false"/>
          <w:sz w:val="20"/>
        </w:rPr>
        <w:t>”) and Chicken Parm Pizza LLC, in connection with our acquisition of Sunder, (iii) up to 50,760,218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conversion of our 7% convertible senior notes due 2029 (the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and (iv) 1,048,352 shares of common stock held by certain of our former affiliates (the “</w:t>
      </w:r>
      <w:r>
        <w:rPr>
          <w:rFonts w:ascii="Times New Roman;Times;Serif" w:hAnsi="Times New Roman;Times;Serif"/>
          <w:b/>
          <w:i w:val="false"/>
          <w:caps w:val="false"/>
          <w:smallCaps w:val="false"/>
          <w:sz w:val="20"/>
        </w:rPr>
        <w:t>Former Affiliate Shares</w:t>
      </w:r>
      <w:r>
        <w:rPr>
          <w:rFonts w:ascii="Times New Roman;Times;Serif" w:hAnsi="Times New Roman;Times;Serif"/>
          <w:b w:val="false"/>
          <w:i w:val="false"/>
          <w:caps w:val="false"/>
          <w:smallCaps w:val="false"/>
          <w:sz w:val="20"/>
        </w:rPr>
        <w:t>” and, collectively with the Acquisition Shares and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The Acquisition Shares were issued at the closing of the transactions contemplated by the Transaction Agreements on November 21, 2025, with respect to the acquisition of Ambia, and on September 24, 2025, with respect to the acquisition of Sunder. The 7% Notes were issued in multiple tranches in September 2024, December 2024, in the thirteen week period ended March 30, 2025, and on September 23, 2025. The Former Affiliate Shares were issued previously to former affiliates of Freedom Acquisition I Corp. and its sponsor, Freedom Acquisition I, LLC.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below for a description of the Acquisition Agreements, the Ambia Acquisition and the Sunder Acquisition and the 7% Notes and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for additional information regarding the Selling Securityholders.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shares of common stock by the Selling Securityholders.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this prospectus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this prospectus. None of the Selling Securityholders are an “underwriter” with respect to the securities registered hereunder within the meaning of Section 2(a)(11) of the Securities Act of 1933,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June 26, 2026, the closing price of our common stock was $0.63.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13 of this prospectus, and under similar headings in any amendments or supplements 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Post-Effective Amendment No. 1 to the registration statement on Form S-1 (File No. 333-293156) that we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using the “shelf” registration process and updates the disclosure contained in the Registration Statement following the filing of the Company’s Annual Report on Form 10-K for the year ended December 28, 2025, filed with the SEC on April 14, 2026 and the Company’s Quarterly Report on Form 10-Q for the thirteen week period ended March 29, 2026, filed with the SEC on May 19, 2026. Under this shelf registration process, the Selling Securityholders may, from time to time, sell the securities offered by them described in this prospectus. We will not receive any proceeds from the sale by any Selling Securityholder of the securities offered by it described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before deciding to invest in any of the securities being offered. The information contained in this prospectus and any supplement to this prospectus is accurate only as of the respective dates thereof, regardless of the time of delivery of this prospectus or of any sale of our securities. Our business, financial condition,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2023, FACT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FACT was domesticated and continues as a Delaware corporation, changing its name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Complete Solaria, Inc. (f/k/a Complete Solar Holding Corporation), a Delaware corporation (“</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FACT, Jupiter Merger Sub I Corp., a Delaware corporation and wholly-owned subsidiary of FACT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Jupiter Merger Sub II LLC, a Delaware limited liability company and a wholly-owned subsidiary of FACT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The Solaria Corporation, a Delaware corporation and a wholly-owned indirect subsidiary of Legacy Complete Solaria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entered into that certain Amended and Restated Business Combination Agreement, dated as of May 26, 2023 (as may be further amended, supplemented or otherwise modified from time to time,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Pursuant to the terms and subject to the conditions of the Business Combination, on July 18, 2023, (i) First Merger Sub merged with and into Legacy Complete Solaria with Legacy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Legacy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newly-formed Delaware limited liability company and wholly-owned subsidiary of FACT and changed its name to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(together with the First Merger and the Second Merger, the “Mergers”).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the Company filed with the Secretary of State of Delaware a Certificate of Amendment to its Certificate of Incorporation to change its corporate name from “Complete Solaria, Inc.” to “SunPower Inc.”, effective as of 4:30 PM Eastern Time on October 17,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“SunPower,” “we,” “us,” “our,” the “Company” and similar terms refer to SunPower Inc. (f/k/a “Complete Solaria, Inc.” and, previously, “Freedom Acquisition I Corp.”) and its consolidated subsidiaries. References to “FACT” refer to the predecessor company prior to the consummation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statements contained in this prospectus that are not purely historical are forward-looking statements.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include, without limitation, statements about: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the sufficiency of our cash, and sources and uses of cash, including cash required to service our current and future borrowings;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for our operations and future growth, including in connection with the integration of our acquisitions, and our ability to raise capital and refinance our existing debt;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plans relating to cost control efforts (including headcount management and potential reductions) and expectations with respect to when we achieve breakeven operating income;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 and indirect exposure to companies in the solar and renewable energy industries that are facing financial difficulties and potential bankruptcies;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grow and manage growth profitably following the closing of business combinations including, without limitation, our recent acquisitions of the SunPower Businesses, Sunder Energy LLC (“Sunder”), Ambia Energy LLC (“Ambia”) and Cobalt Power Systems, Inc. (“Cobalt”);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in our supply chains and distribution channels, tariffs and trade barriers, export regulations, bank failures, geopolitical conflicts and other macroeconomic conditions on our business and operations, results of operations and financial position;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leverage our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impact of changes to and developments relating to the regulations and policies applicable to our business, customers and the industry;</w:t>
            </w:r>
          </w:p>
        </w:tc>
      </w:tr>
    </w:tbl>
    <w:p>
      <w:pPr>
        <w:pStyle w:val="TextBody"/>
        <w:bidi w:val="0"/>
        <w:spacing w:before="0" w:after="0"/>
        <w:ind w:left="720" w:right="0" w:hanging="36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105"/>
        <w:gridCol w:w="200"/>
        <w:gridCol w:w="57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availability of rebates, tax credits and other incentives;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tc>
      </w:tr>
    </w:tbl>
    <w:p>
      <w:pPr>
        <w:pStyle w:val="TextBody"/>
        <w:bidi w:val="0"/>
        <w:spacing w:before="0" w:after="0"/>
        <w:ind w:left="720" w:right="0" w:hanging="36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05"/>
        <w:gridCol w:w="200"/>
        <w:gridCol w:w="3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and the volatility of interest rates;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following our recent acquisitions, including financial projections and business metrics, and our ability to manage our costs;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projected costs, prospects and plans;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expectations of new and current customers, and our ability to achieve market acceptance for our products and services, especially in light of the intense competition faced in our industry;</w:t>
            </w:r>
          </w:p>
        </w:tc>
      </w:tr>
    </w:tbl>
    <w:p>
      <w:pPr>
        <w:pStyle w:val="TextBody"/>
        <w:bidi w:val="0"/>
        <w:spacing w:before="0" w:after="0"/>
        <w:ind w:left="720" w:right="0" w:hanging="36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105"/>
        <w:gridCol w:w="200"/>
        <w:gridCol w:w="70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forecasts with respect to market opportunity and market growth;</w:t>
            </w:r>
          </w:p>
        </w:tc>
      </w:tr>
    </w:tbl>
    <w:p>
      <w:pPr>
        <w:pStyle w:val="TextBody"/>
        <w:bidi w:val="0"/>
        <w:spacing w:before="0" w:after="0"/>
        <w:ind w:left="720" w:right="0" w:hanging="36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05"/>
        <w:gridCol w:w="200"/>
        <w:gridCol w:w="7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products and services to meet customers’ compliance and regulatory needs;</w:t>
            </w:r>
          </w:p>
        </w:tc>
      </w:tr>
    </w:tbl>
    <w:p>
      <w:pPr>
        <w:pStyle w:val="TextBody"/>
        <w:bidi w:val="0"/>
        <w:spacing w:before="0" w:after="0"/>
        <w:ind w:left="720" w:right="0" w:hanging="36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qualified employees and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and maintain our brand and reputation, and our ability to maintain our relationships with key suppliers, installers and build partners;</w:t>
            </w:r>
          </w:p>
        </w:tc>
      </w:tr>
    </w:tbl>
    <w:p>
      <w:pPr>
        <w:pStyle w:val="TextBody"/>
        <w:bidi w:val="0"/>
        <w:spacing w:before="0" w:after="0"/>
        <w:ind w:left="720" w:right="0" w:hanging="36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05"/>
        <w:gridCol w:w="200"/>
        <w:gridCol w:w="5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general economic and financial conditions, inflationary pressures and the resulting impact on demand, and our ability to plan for and respond to the impact of those changes;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ability to obtain and maintain intellectual property protection and not infringe on the rights of others; and</w:t>
            </w:r>
          </w:p>
        </w:tc>
      </w:tr>
    </w:tbl>
    <w:p>
      <w:pPr>
        <w:pStyle w:val="TextBody"/>
        <w:bidi w:val="0"/>
        <w:spacing w:before="0" w:after="0"/>
        <w:ind w:left="720" w:right="0" w:hanging="36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05"/>
        <w:gridCol w:w="200"/>
        <w:gridCol w:w="40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expansion plans and opportunities.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325"/>
        <w:gridCol w:w="515"/>
      </w:tblGrid>
      <w:tr>
        <w:trPr/>
        <w:tc>
          <w:tcPr>
            <w:tcW w:w="7325"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32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Prospectus Summary</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325"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Risk Factors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732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Market and Industry Data</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7325"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Use of Proceeds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32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Determination of Offering Price</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32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Market Information for Securities and Dividend Policy</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32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Management’s Discussion and Analysis of Financial Condition and Results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732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Business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732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Management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732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Executive Compensation</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732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Certain Relationships and Related Party Transactions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r>
      <w:tr>
        <w:trPr/>
        <w:tc>
          <w:tcPr>
            <w:tcW w:w="7325"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Principal Stockholders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732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732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Description of Capital Stock</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r>
      <w:tr>
        <w:trPr/>
        <w:tc>
          <w:tcPr>
            <w:tcW w:w="732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Material U.S. Federal Income Tax Consequences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7325"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Plan of Distribution</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w:t>
            </w:r>
          </w:p>
        </w:tc>
      </w:tr>
      <w:tr>
        <w:trPr/>
        <w:tc>
          <w:tcPr>
            <w:tcW w:w="732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Legal Matters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7325"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Experts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732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Where You Can Find More Information</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7325"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Index to Consolidated Financial Statements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any supplement to this prospectus or in any free writing prospectus, filed with the Securities and Exchange Commission. Neither we nor the Selling Securityholders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Securityholders are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9"/>
        </w:rPr>
      </w:pPr>
      <w:r>
        <w:rPr>
          <w:rFonts w:ascii="Times New Roman;Times;Serif" w:hAnsi="Times New Roman;Times;Serif"/>
          <w:b/>
          <w:i w:val="false"/>
          <w:caps w:val="false"/>
          <w:smallCaps w:val="false"/>
          <w:sz w:val="19"/>
        </w:rPr>
        <w:t>FREQUENTLY USED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transactions contemplated by the Business Combination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the amended and restated business combination agreement, dated as of May 26, 2023, by and among FACT, First Merger Sub, Second Merger Sub, Legacy Complete Solaria and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date of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Complete Solar</w:t>
      </w:r>
      <w:r>
        <w:rPr>
          <w:rFonts w:ascii="Times New Roman;Times;Serif" w:hAnsi="Times New Roman;Times;Serif"/>
          <w:b w:val="false"/>
          <w:i w:val="false"/>
          <w:caps w:val="false"/>
          <w:smallCaps w:val="false"/>
          <w:sz w:val="20"/>
        </w:rPr>
        <w:t>” means Complete Solar Holding Corporation, a Delaware corporation, prior to the consummation of the Required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SunPower</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SunPower Inc. (f/k/a Complete Solaria, Inc. and, previously, Freedom Acquisition I Corp.), a Delaware corporation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Delaware General Corporation Law,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Domestication</w:t>
      </w:r>
      <w:r>
        <w:rPr>
          <w:rFonts w:ascii="Times New Roman;Times;Serif" w:hAnsi="Times New Roman;Times;Serif"/>
          <w:b w:val="false"/>
          <w:i w:val="false"/>
          <w:caps w:val="false"/>
          <w:smallCaps w:val="false"/>
          <w:sz w:val="20"/>
        </w:rPr>
        <w:t>” means the domestication of FACT as a corporation incorporated in the State of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means the 2023 Employee Stock Purchase Plan of SunPower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w:t>
      </w:r>
      <w:r>
        <w:rPr>
          <w:rFonts w:ascii="Times New Roman;Times;Serif" w:hAnsi="Times New Roman;Times;Serif"/>
          <w:b w:val="false"/>
          <w:i w:val="false"/>
          <w:caps w:val="false"/>
          <w:smallCaps w:val="false"/>
          <w:sz w:val="20"/>
        </w:rPr>
        <w:t>” means Freedom Acquisition I Corp., a Cayman Islands exempted company,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Class A Ordinary Shares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means the 34,500,000 Class A ordinary shares, par value $0.0001 per share, of FACT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means the 6,266,667 warrants held by the Sponsor that were issued in a private placement at the time of FACT’s IPO, each of which is exercisable for one Class A Ordinary Share at an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Public Warrants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means the 8,625,000 warrants to acquire FACT Class A Ordinary Shares, issued as part of the public units issued by FACT, at an initial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means FACT’s initial public offering of its units, ordinary shares and warrants pursuant to its registration statement on Form S-1 declared effective by the SEC on February 25, 2021 (SEC File No. 333-252940).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Warrants</w:t>
      </w:r>
      <w:r>
        <w:rPr>
          <w:rFonts w:ascii="Times New Roman;Times;Serif" w:hAnsi="Times New Roman;Times;Serif"/>
          <w:b w:val="false"/>
          <w:i w:val="false"/>
          <w:caps w:val="false"/>
          <w:smallCaps w:val="false"/>
          <w:sz w:val="20"/>
        </w:rPr>
        <w:t>” means warrants issued to certain equityholders of Legacy Complete Solaria received as consideration in connection with the exchange of their capital stock held in Legacy Complete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means, prior to the Business Combination, Complete Solaria, Inc. (f/k/a Complete Solar Holding Corporation), a Delaware corporation which, pursuant to the Business Combination, became a direct, wholly owned subsidiary of SunPower Inc. (f/k/a Complete Solaria, Inc.) and was renamed CS,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Transaction</w:t>
      </w:r>
      <w:r>
        <w:rPr>
          <w:rFonts w:ascii="Times New Roman;Times;Serif" w:hAnsi="Times New Roman;Times;Serif"/>
          <w:b w:val="false"/>
          <w:i w:val="false"/>
          <w:caps w:val="false"/>
          <w:smallCaps w:val="false"/>
          <w:sz w:val="20"/>
        </w:rPr>
        <w:t>” means the transactions contemplated by that certain merger agreement by and among the Company, Complete Solaria Midco, LLC, a Delaware limited liability company and a wholly-owned subsidiary of Solaria, Complete Solaria Merger Sub, Inc., a Delaware corporation and a wholly-owned subsidiary of Complete Solaria Midco, LLC, Solaria, and Fortis Advisors LLC, a Delaware limited liability company, solely in its capacity as the representative of Solaria’s stockholders, including the merger of Solaria with and into a wholly-owned subsidiary of Legacy Complete Solaria, which were consummated on November 4,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means The Solaria Corporation, a Delaware corporation and a wholly-owned subsidiary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means Freedom Acquisition I LLC, a Cayman Islands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Continental Stock Transfer &amp;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collectively, the Private Warrants, the Public Warrants and the Working Capital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Working Capital Warrants</w:t>
      </w:r>
      <w:r>
        <w:rPr>
          <w:rFonts w:ascii="Times New Roman;Times;Serif" w:hAnsi="Times New Roman;Times;Serif"/>
          <w:b w:val="false"/>
          <w:i w:val="false"/>
          <w:caps w:val="false"/>
          <w:smallCaps w:val="false"/>
          <w:sz w:val="20"/>
        </w:rPr>
        <w:t>” means warrants issued to certain equityholders of Legacy Complete Solaria.</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2" w:name="a_001"/>
      <w:bookmarkEnd w:id="2"/>
      <w:r>
        <w:rPr>
          <w:rFonts w:ascii="Times New Roman;Times;Serif" w:hAnsi="Times New Roman;Times;Serif"/>
          <w:b/>
          <w:i w:val="false"/>
          <w:caps/>
          <w:sz w:val="20"/>
          <w:bdr w:val="single" w:sz="12" w:space="1" w:color="000000"/>
        </w:rPr>
        <w:t>Prospectus Summary</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financial statements and related notes appearing at the end of this prospectus and the information set forth in the sections titled “Risk Factors” and “Management’s Discussion and Analysis of Financial Condition and Results of Operations.” Unless the context otherwise requires, we use the terms “SunPower,” “company,” “we,” “us” and “our” in this prospectus to refer to SunPower Inc. and our wholly owned subsidiaries.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Mission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acquisitions of Sunder, Ambia, Cobalt and SunPower Businesses are collectively referred to herein as “Acquisitions”.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Revenue Model</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Technology Innovation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Differentiation and Operating Results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1403 N. Research Way, Orem UT 84097, and our telephone number is (877) 299-4943. Our corporate website address is https://us.sunpower.com/.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w:t>
      </w:r>
      <w:r>
        <w:rPr>
          <w:rFonts w:ascii="Times New Roman;Times;Serif" w:hAnsi="Times New Roman;Times;Serif"/>
          <w:b w:val="false"/>
          <w:i w:val="false"/>
          <w:caps w:val="false"/>
          <w:smallCaps w:val="false"/>
          <w:sz w:val="20"/>
          <w:bdr w:val="single" w:sz="12" w:space="1" w:color="000000"/>
        </w:rPr>
        <w:t>SunPower” and our other registered and common law trade names, trademarks and service marks are property of SunPower Inc. This prospectus contains additional trade names, trademarks and service marks of others, which are the property of their respective owners. Solely for convenience, trademarks and trade names referred to in this prospectus may appear without the ® or ™ symbols.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10.0% Notes Offering and Related Transactions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23, 2026, we closed our private offering (the “</w:t>
      </w:r>
      <w:r>
        <w:rPr>
          <w:rFonts w:ascii="Times New Roman;Times;Serif" w:hAnsi="Times New Roman;Times;Serif"/>
          <w:b/>
          <w:i w:val="false"/>
          <w:caps w:val="false"/>
          <w:smallCaps w:val="false"/>
          <w:sz w:val="20"/>
          <w:bdr w:val="single" w:sz="12" w:space="1" w:color="000000"/>
        </w:rPr>
        <w:t>Offering</w:t>
      </w:r>
      <w:r>
        <w:rPr>
          <w:rFonts w:ascii="Times New Roman;Times;Serif" w:hAnsi="Times New Roman;Times;Serif"/>
          <w:b w:val="false"/>
          <w:i w:val="false"/>
          <w:caps w:val="false"/>
          <w:smallCaps w:val="false"/>
          <w:sz w:val="20"/>
          <w:bdr w:val="single" w:sz="12" w:space="1" w:color="000000"/>
        </w:rPr>
        <w:t>”) of $41,000,000 aggregate principal amount of our 10.0% Notes (as defined below), consisting of: (i) the sale and issuance of $24,000,000 aggregate principal amount of 10.0% Notes to qualified institutional buyers; (ii) the sale and issuance of $1,000,000 principal amount of 10.0% Notes to an institutional accredited investor; (iii) the issuance of $6,000,000 principal amount of 10.0% Notes to entities affiliated with Thurman John “T.J.” Rodgers, the Company’s Chief Executive Officer and Chairman, in consideration for $6,000,000 previously funded to the Company pursuant to simple agreements for future equity; and (iv) the issuance of $10,000,000 aggregate principal amount of 10.0% Notes in connection with the exchange of the promissory note originally issued by the Company to Chicken Parm Pizza LLC (“</w:t>
      </w:r>
      <w:r>
        <w:rPr>
          <w:rFonts w:ascii="Times New Roman;Times;Serif" w:hAnsi="Times New Roman;Times;Serif"/>
          <w:b/>
          <w:i w:val="false"/>
          <w:caps w:val="false"/>
          <w:smallCaps w:val="false"/>
          <w:sz w:val="20"/>
          <w:bdr w:val="single" w:sz="12" w:space="1" w:color="000000"/>
        </w:rPr>
        <w:t>CPP</w:t>
      </w:r>
      <w:r>
        <w:rPr>
          <w:rFonts w:ascii="Times New Roman;Times;Serif" w:hAnsi="Times New Roman;Times;Serif"/>
          <w:b w:val="false"/>
          <w:i w:val="false"/>
          <w:caps w:val="false"/>
          <w:smallCaps w:val="false"/>
          <w:sz w:val="20"/>
          <w:bdr w:val="single" w:sz="12" w:space="1" w:color="000000"/>
        </w:rPr>
        <w:t>”) on September 24, 2025 in connection with the Company’s acquisition of Sunder Energy (the “</w:t>
      </w:r>
      <w:r>
        <w:rPr>
          <w:rFonts w:ascii="Times New Roman;Times;Serif" w:hAnsi="Times New Roman;Times;Serif"/>
          <w:b/>
          <w:i w:val="false"/>
          <w:caps w:val="false"/>
          <w:smallCaps w:val="false"/>
          <w:sz w:val="20"/>
          <w:bdr w:val="single" w:sz="12" w:space="1" w:color="000000"/>
        </w:rPr>
        <w:t>Seller Note</w:t>
      </w:r>
      <w:r>
        <w:rPr>
          <w:rFonts w:ascii="Times New Roman;Times;Serif" w:hAnsi="Times New Roman;Times;Serif"/>
          <w:b w:val="false"/>
          <w:i w:val="false"/>
          <w:caps w:val="false"/>
          <w:smallCaps w:val="false"/>
          <w:sz w:val="20"/>
          <w:bdr w:val="single" w:sz="12" w:space="1" w:color="000000"/>
        </w:rPr>
        <w:t>”). On May 20, 2026, the Company issued and sold a further $5,000,000 aggregate principal amount of 10.0% Notes in a private offering to an additional purchaser.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21, 2026, in connection with the Offering, the Company and YA II PN, LTD., a Cayman Islands exempt limited company (“</w:t>
      </w:r>
      <w:r>
        <w:rPr>
          <w:rFonts w:ascii="Times New Roman;Times;Serif" w:hAnsi="Times New Roman;Times;Serif"/>
          <w:b/>
          <w:i w:val="false"/>
          <w:caps w:val="false"/>
          <w:smallCaps w:val="false"/>
          <w:sz w:val="20"/>
          <w:bdr w:val="single" w:sz="12" w:space="1" w:color="000000"/>
        </w:rPr>
        <w:t>Yorkville</w:t>
      </w:r>
      <w:r>
        <w:rPr>
          <w:rFonts w:ascii="Times New Roman;Times;Serif" w:hAnsi="Times New Roman;Times;Serif"/>
          <w:b w:val="false"/>
          <w:i w:val="false"/>
          <w:caps w:val="false"/>
          <w:smallCaps w:val="false"/>
          <w:sz w:val="20"/>
          <w:bdr w:val="single" w:sz="12" w:space="1" w:color="000000"/>
        </w:rPr>
        <w:t>”), entered into a letter agreement (the “</w:t>
      </w:r>
      <w:r>
        <w:rPr>
          <w:rFonts w:ascii="Times New Roman;Times;Serif" w:hAnsi="Times New Roman;Times;Serif"/>
          <w:b/>
          <w:i w:val="false"/>
          <w:caps w:val="false"/>
          <w:smallCaps w:val="false"/>
          <w:sz w:val="20"/>
          <w:bdr w:val="single" w:sz="12" w:space="1" w:color="000000"/>
        </w:rPr>
        <w:t>YA Letter</w:t>
      </w:r>
      <w:r>
        <w:rPr>
          <w:rFonts w:ascii="Times New Roman;Times;Serif" w:hAnsi="Times New Roman;Times;Serif"/>
          <w:b w:val="false"/>
          <w:i w:val="false"/>
          <w:caps w:val="false"/>
          <w:smallCaps w:val="false"/>
          <w:sz w:val="20"/>
          <w:bdr w:val="single" w:sz="12" w:space="1" w:color="000000"/>
        </w:rPr>
        <w:t>”). Pursuant to the YA Letter, the Company agreed to voluntary prepay $5,000,000 of the outstanding principal amount of YA Debenture (as defined below), resulting in a revised outstanding principal balance under the YA Debenture of $5,000,000. The Company further agreed to repay the remaining principal balance and accrued interest under the YA Debenture in four equal monthly installments of $1,287,000, with the first payment due on May 5, 2026. Pursuant to the YA Letter, Yorkville further consented to the issuance of the Notes and the grant of the liens pursuant to the Security Agreement (as defined below).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closing of the Offering, on April 23, 2026, the Company executed and delivered the Indenture relating to the Notes (the “</w:t>
      </w:r>
      <w:r>
        <w:rPr>
          <w:rFonts w:ascii="Times New Roman;Times;Serif" w:hAnsi="Times New Roman;Times;Serif"/>
          <w:b/>
          <w:i w:val="false"/>
          <w:caps w:val="false"/>
          <w:smallCaps w:val="false"/>
          <w:sz w:val="20"/>
          <w:bdr w:val="single" w:sz="12" w:space="1" w:color="000000"/>
        </w:rPr>
        <w:t>Indenture</w:t>
      </w:r>
      <w:r>
        <w:rPr>
          <w:rFonts w:ascii="Times New Roman;Times;Serif" w:hAnsi="Times New Roman;Times;Serif"/>
          <w:b w:val="false"/>
          <w:i w:val="false"/>
          <w:caps w:val="false"/>
          <w:smallCaps w:val="false"/>
          <w:sz w:val="20"/>
          <w:bdr w:val="single" w:sz="12" w:space="1" w:color="00000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bdr w:val="single" w:sz="12" w:space="1" w:color="000000"/>
        </w:rPr>
        <w:t>Trustee</w:t>
      </w:r>
      <w:r>
        <w:rPr>
          <w:rFonts w:ascii="Times New Roman;Times;Serif" w:hAnsi="Times New Roman;Times;Serif"/>
          <w:b w:val="false"/>
          <w:i w:val="false"/>
          <w:caps w:val="false"/>
          <w:smallCaps w:val="false"/>
          <w:sz w:val="20"/>
          <w:bdr w:val="single" w:sz="12" w:space="1" w:color="000000"/>
        </w:rPr>
        <w:t>”) and as collateral agent (in such capacity, the “</w:t>
      </w:r>
      <w:r>
        <w:rPr>
          <w:rFonts w:ascii="Times New Roman;Times;Serif" w:hAnsi="Times New Roman;Times;Serif"/>
          <w:b/>
          <w:i w:val="false"/>
          <w:caps w:val="false"/>
          <w:smallCaps w:val="false"/>
          <w:sz w:val="20"/>
          <w:bdr w:val="single" w:sz="12" w:space="1" w:color="000000"/>
        </w:rPr>
        <w:t>Collateral Agent</w:t>
      </w:r>
      <w:r>
        <w:rPr>
          <w:rFonts w:ascii="Times New Roman;Times;Serif" w:hAnsi="Times New Roman;Times;Serif"/>
          <w:b w:val="false"/>
          <w:i w:val="false"/>
          <w:caps w:val="false"/>
          <w:smallCaps w:val="false"/>
          <w:sz w:val="20"/>
          <w:bdr w:val="single" w:sz="12" w:space="1" w:color="000000"/>
        </w:rPr>
        <w:t>”). Additionally, on April 23, 2026, the Company and the Collateral Agent entered into the Pledge and Security Agreement (the “</w:t>
      </w:r>
      <w:r>
        <w:rPr>
          <w:rFonts w:ascii="Times New Roman;Times;Serif" w:hAnsi="Times New Roman;Times;Serif"/>
          <w:b/>
          <w:i w:val="false"/>
          <w:caps w:val="false"/>
          <w:smallCaps w:val="false"/>
          <w:sz w:val="20"/>
          <w:bdr w:val="single" w:sz="12" w:space="1" w:color="000000"/>
        </w:rPr>
        <w:t>Security Agreement</w:t>
      </w:r>
      <w:r>
        <w:rPr>
          <w:rFonts w:ascii="Times New Roman;Times;Serif" w:hAnsi="Times New Roman;Times;Serif"/>
          <w:b w:val="false"/>
          <w:i w:val="false"/>
          <w:caps w:val="false"/>
          <w:smallCaps w:val="false"/>
          <w:sz w:val="20"/>
          <w:bdr w:val="single" w:sz="12" w:space="1" w:color="000000"/>
        </w:rPr>
        <w:t>”). Pursuant to the Security Agreement, the 10.0% Notes are secured by a first-priority security interest in substantially all of the assets of the Company and any Guarantor, subject to certain exceptions and permitted liens. Pursuant to the Security Agreement, on April 23, 2026, the Company and the Collateral Agent entered into a separate Patent Security Agreement (the “</w:t>
      </w:r>
      <w:r>
        <w:rPr>
          <w:rFonts w:ascii="Times New Roman;Times;Serif" w:hAnsi="Times New Roman;Times;Serif"/>
          <w:b/>
          <w:i w:val="false"/>
          <w:caps w:val="false"/>
          <w:smallCaps w:val="false"/>
          <w:sz w:val="20"/>
          <w:bdr w:val="single" w:sz="12" w:space="1" w:color="000000"/>
        </w:rPr>
        <w:t>Patent Security Agreement</w:t>
      </w:r>
      <w:r>
        <w:rPr>
          <w:rFonts w:ascii="Times New Roman;Times;Serif" w:hAnsi="Times New Roman;Times;Serif"/>
          <w:b w:val="false"/>
          <w:i w:val="false"/>
          <w:caps w:val="false"/>
          <w:smallCaps w:val="false"/>
          <w:sz w:val="20"/>
          <w:bdr w:val="single" w:sz="12" w:space="1" w:color="000000"/>
        </w:rPr>
        <w:t>”) and Trademark Security Agreement (the “</w:t>
      </w:r>
      <w:r>
        <w:rPr>
          <w:rFonts w:ascii="Times New Roman;Times;Serif" w:hAnsi="Times New Roman;Times;Serif"/>
          <w:b/>
          <w:i w:val="false"/>
          <w:caps w:val="false"/>
          <w:smallCaps w:val="false"/>
          <w:sz w:val="20"/>
          <w:bdr w:val="single" w:sz="12" w:space="1" w:color="000000"/>
        </w:rPr>
        <w:t>Trademark Security Agreement</w:t>
      </w:r>
      <w:r>
        <w:rPr>
          <w:rFonts w:ascii="Times New Roman;Times;Serif" w:hAnsi="Times New Roman;Times;Serif"/>
          <w:b w:val="false"/>
          <w:i w:val="false"/>
          <w:caps w:val="false"/>
          <w:smallCaps w:val="false"/>
          <w:sz w:val="20"/>
          <w:bdr w:val="single" w:sz="12" w:space="1" w:color="000000"/>
        </w:rPr>
        <w:t>”) in connection with the grant of the first-priority security interest under the Security Agreement.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Note Purchase Agreement entered into between the Company and CPP on April 21, 2026 (the “</w:t>
      </w:r>
      <w:r>
        <w:rPr>
          <w:rFonts w:ascii="Times New Roman;Times;Serif" w:hAnsi="Times New Roman;Times;Serif"/>
          <w:b/>
          <w:i w:val="false"/>
          <w:caps w:val="false"/>
          <w:smallCaps w:val="false"/>
          <w:sz w:val="20"/>
          <w:bdr w:val="single" w:sz="12" w:space="1" w:color="000000"/>
        </w:rPr>
        <w:t>CPP Note Purchase Agreement</w:t>
      </w:r>
      <w:r>
        <w:rPr>
          <w:rFonts w:ascii="Times New Roman;Times;Serif" w:hAnsi="Times New Roman;Times;Serif"/>
          <w:b w:val="false"/>
          <w:i w:val="false"/>
          <w:caps w:val="false"/>
          <w:smallCaps w:val="false"/>
          <w:sz w:val="20"/>
          <w:bdr w:val="single" w:sz="12" w:space="1" w:color="000000"/>
        </w:rPr>
        <w:t>”), in connection with the closing of the Offering, on April 23, 2026: (i) the Company paid $4,000,000 in cash to CPP and (ii) entered into an amended and restated Seller Note with CPP (the “</w:t>
      </w:r>
      <w:r>
        <w:rPr>
          <w:rFonts w:ascii="Times New Roman;Times;Serif" w:hAnsi="Times New Roman;Times;Serif"/>
          <w:b/>
          <w:i w:val="false"/>
          <w:caps w:val="false"/>
          <w:smallCaps w:val="false"/>
          <w:sz w:val="20"/>
          <w:bdr w:val="single" w:sz="12" w:space="1" w:color="000000"/>
        </w:rPr>
        <w:t>A&amp;R Seller Note</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 on April 23, 2026, the Company and certain holders of the Company’s 7.0% Notes (as defined below) closed the transactions under the exchange agreements executed on April 21, 2026 (the “</w:t>
      </w:r>
      <w:r>
        <w:rPr>
          <w:rFonts w:ascii="Times New Roman;Times;Serif" w:hAnsi="Times New Roman;Times;Serif"/>
          <w:b/>
          <w:i w:val="false"/>
          <w:caps w:val="false"/>
          <w:smallCaps w:val="false"/>
          <w:sz w:val="20"/>
          <w:bdr w:val="single" w:sz="12" w:space="1" w:color="000000"/>
        </w:rPr>
        <w:t>Exchange Agreements</w:t>
      </w:r>
      <w:r>
        <w:rPr>
          <w:rFonts w:ascii="Times New Roman;Times;Serif" w:hAnsi="Times New Roman;Times;Serif"/>
          <w:b w:val="false"/>
          <w:i w:val="false"/>
          <w:caps w:val="false"/>
          <w:smallCaps w:val="false"/>
          <w:sz w:val="20"/>
          <w:bdr w:val="single" w:sz="12" w:space="1" w:color="000000"/>
        </w:rPr>
        <w:t>”). In connection with the closings under the Exchange Agreements, the Company repurchased $21,250,000 aggregate principal amount of outstanding 7.0% Notes in exchange for (i) the issuance of an aggregate of 18,805,310 shares of Common Stock and (ii) the payment of approximately $456,438 of accrued interest payable under the exchanged 7.0% Notes.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19, 2026, the Company entered into a further note purchase agreement for the issuance of an additional $5.0 million principal amount of 10% Notes.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Ayna 2026 Warrant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issued a warrant to purchase common stock exercisable for 380,000 shares of common stock at an exercise price per share of $0.01 (the “</w:t>
      </w:r>
      <w:r>
        <w:rPr>
          <w:rFonts w:ascii="Times New Roman;Times;Serif" w:hAnsi="Times New Roman;Times;Serif"/>
          <w:b/>
          <w:i w:val="false"/>
          <w:caps w:val="false"/>
          <w:smallCaps w:val="false"/>
          <w:sz w:val="20"/>
          <w:bdr w:val="single" w:sz="12" w:space="1" w:color="000000"/>
        </w:rPr>
        <w:t>Ayna 2026 Warrant</w:t>
      </w:r>
      <w:r>
        <w:rPr>
          <w:rFonts w:ascii="Times New Roman;Times;Serif" w:hAnsi="Times New Roman;Times;Serif"/>
          <w:b w:val="false"/>
          <w:i w:val="false"/>
          <w:caps w:val="false"/>
          <w:smallCaps w:val="false"/>
          <w:sz w:val="20"/>
          <w:bdr w:val="single" w:sz="12" w:space="1" w:color="000000"/>
        </w:rPr>
        <w:t>”) to Ayna.AI LLC (“</w:t>
      </w:r>
      <w:r>
        <w:rPr>
          <w:rFonts w:ascii="Times New Roman;Times;Serif" w:hAnsi="Times New Roman;Times;Serif"/>
          <w:b/>
          <w:i w:val="false"/>
          <w:caps w:val="false"/>
          <w:smallCaps w:val="false"/>
          <w:sz w:val="20"/>
          <w:bdr w:val="single" w:sz="12" w:space="1" w:color="000000"/>
        </w:rPr>
        <w:t>Ayna</w:t>
      </w:r>
      <w:r>
        <w:rPr>
          <w:rFonts w:ascii="Times New Roman;Times;Serif" w:hAnsi="Times New Roman;Times;Serif"/>
          <w:b w:val="false"/>
          <w:i w:val="false"/>
          <w:caps w:val="false"/>
          <w:smallCaps w:val="false"/>
          <w:sz w:val="20"/>
          <w:bdr w:val="single" w:sz="12" w:space="1" w:color="000000"/>
        </w:rPr>
        <w:t>”). The issuance of the Ayna 2026 Warrant was in satisfaction of the compensation owed by us to Ayna under the terms of the Statement of Work, dated effective as of January 1, 2026. The Ayna 2026 Warrant provides Ayna with contractual registration rights with respect to the shares of common stock issuable upon exercise of the Ayna 2026 Warrant.</w:t>
      </w:r>
    </w:p>
    <w:p>
      <w:pPr>
        <w:pStyle w:val="TextBody"/>
        <w:bidi w:val="0"/>
        <w:spacing w:before="0" w:after="0"/>
        <w:ind w:left="0" w:right="0" w:firstLine="27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Cost Control Measures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Wendell Laidley Resignation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7, 2026, Wendell Laidley resigned from his position as Chief Financial Officer of the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Appointment of Bernard Gutmann as Director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8, 2026, the Board of Directors of the Company appointed Bernard Gutmann to serve as a director of the Company and as a member of the Audit Committee.</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 and Emerging Growth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the comparison of our financial statements with other public companies difficult or impossible.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the Jumpstart Our Business Startups Act of 2012 (“</w:t>
      </w:r>
      <w:r>
        <w:rPr>
          <w:rFonts w:ascii="Times New Roman;Times;Serif" w:hAnsi="Times New Roman;Times;Serif"/>
          <w:b/>
          <w:i w:val="false"/>
          <w:caps w:val="false"/>
          <w:smallCaps w:val="false"/>
          <w:sz w:val="20"/>
          <w:bdr w:val="single" w:sz="12" w:space="1" w:color="000000"/>
        </w:rPr>
        <w:t>JOBS Act</w:t>
      </w:r>
      <w:r>
        <w:rPr>
          <w:rFonts w:ascii="Times New Roman;Times;Serif" w:hAnsi="Times New Roman;Times;Serif"/>
          <w:b w:val="false"/>
          <w:i w:val="false"/>
          <w:caps w:val="false"/>
          <w:smallCaps w:val="false"/>
          <w:sz w:val="20"/>
          <w:bdr w:val="single" w:sz="12" w:space="1" w:color="000000"/>
        </w:rPr>
        <w: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to opt out of such extended transition period.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earlier of: (1) the last day of the fiscal year (a) following the fifth anniversary of the closing of FACT’s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are to its meaning under the Securities Act, as modified by the JOBS Act.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Sunder Energy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21, 2025, we entered into an agreement to acquire Sunder Energy, LLC (“</w:t>
      </w:r>
      <w:r>
        <w:rPr>
          <w:rFonts w:ascii="Times New Roman;Times;Serif" w:hAnsi="Times New Roman;Times;Serif"/>
          <w:b/>
          <w:i w:val="false"/>
          <w:caps w:val="false"/>
          <w:smallCaps w:val="false"/>
          <w:sz w:val="20"/>
          <w:bdr w:val="single" w:sz="12" w:space="1" w:color="000000"/>
        </w:rPr>
        <w:t>Sunder</w:t>
      </w:r>
      <w:r>
        <w:rPr>
          <w:rFonts w:ascii="Times New Roman;Times;Serif" w:hAnsi="Times New Roman;Times;Serif"/>
          <w:b w:val="false"/>
          <w:i w:val="false"/>
          <w:caps w:val="false"/>
          <w:smallCaps w:val="false"/>
          <w:sz w:val="20"/>
          <w:bdr w:val="single" w:sz="12" w:space="1" w:color="000000"/>
        </w:rPr>
        <w:t>”) and completed the acquisition effective September 24, 2025 (“</w:t>
      </w:r>
      <w:r>
        <w:rPr>
          <w:rFonts w:ascii="Times New Roman;Times;Serif" w:hAnsi="Times New Roman;Times;Serif"/>
          <w:b/>
          <w:i w:val="false"/>
          <w:caps w:val="false"/>
          <w:smallCaps w:val="false"/>
          <w:sz w:val="20"/>
          <w:bdr w:val="single" w:sz="12" w:space="1" w:color="000000"/>
        </w:rPr>
        <w:t>Sunder Acquisition</w:t>
      </w:r>
      <w:r>
        <w:rPr>
          <w:rFonts w:ascii="Times New Roman;Times;Serif" w:hAnsi="Times New Roman;Times;Serif"/>
          <w:b w:val="false"/>
          <w:i w:val="false"/>
          <w:caps w:val="false"/>
          <w:smallCaps w:val="false"/>
          <w:sz w:val="20"/>
          <w:bdr w:val="single" w:sz="12" w:space="1" w:color="000000"/>
        </w:rPr>
        <w:t>”). At the closing of the Sunder Acquisition, we acquired all of the outstanding membership interests of Sunder from the sole member of Sunder for: (i) $20,000,000 in cash paid at closing, subject to certain working capital and other adjustments; (ii) a promissory note issued at the closing in the principal amount of $20,000,000 (the “</w:t>
      </w:r>
      <w:r>
        <w:rPr>
          <w:rFonts w:ascii="Times New Roman;Times;Serif" w:hAnsi="Times New Roman;Times;Serif"/>
          <w:b/>
          <w:i w:val="false"/>
          <w:caps w:val="false"/>
          <w:smallCaps w:val="false"/>
          <w:sz w:val="20"/>
          <w:bdr w:val="single" w:sz="12" w:space="1" w:color="000000"/>
        </w:rPr>
        <w:t>Seller Note</w:t>
      </w:r>
      <w:r>
        <w:rPr>
          <w:rFonts w:ascii="Times New Roman;Times;Serif" w:hAnsi="Times New Roman;Times;Serif"/>
          <w:b w:val="false"/>
          <w:i w:val="false"/>
          <w:caps w:val="false"/>
          <w:smallCaps w:val="false"/>
          <w:sz w:val="20"/>
          <w:bdr w:val="single" w:sz="12" w:space="1" w:color="000000"/>
        </w:rPr>
        <w:t>”); (iii) 3,333,334 shares of our common stock issued at closing; and (iv) subject to approval of such issuances by our stockholders following closing in accordance with the rules and regulations of the Nasdaq Stock Market, (x) an additional 3,333,333 shares of common stock to be issued on the 12-month anniversary of the closing, and (y) a further 3,333,333 shares of common stock to be issued on the 18-month anniversary of the closing (such 6,666,666 shares of common stock issuable following closing, the “</w:t>
      </w:r>
      <w:r>
        <w:rPr>
          <w:rFonts w:ascii="Times New Roman;Times;Serif" w:hAnsi="Times New Roman;Times;Serif"/>
          <w:b/>
          <w:i w:val="false"/>
          <w:caps w:val="false"/>
          <w:smallCaps w:val="false"/>
          <w:sz w:val="20"/>
          <w:bdr w:val="single" w:sz="12" w:space="1" w:color="000000"/>
        </w:rPr>
        <w:t>Deferred Consideration Shares</w:t>
      </w:r>
      <w:r>
        <w:rPr>
          <w:rFonts w:ascii="Times New Roman;Times;Serif" w:hAnsi="Times New Roman;Times;Serif"/>
          <w:b w:val="false"/>
          <w:i w:val="false"/>
          <w:caps w:val="false"/>
          <w:smallCaps w:val="false"/>
          <w:sz w:val="20"/>
          <w:bdr w:val="single" w:sz="12" w:space="1" w:color="000000"/>
        </w:rPr>
        <w:t>”). In lieu of issuing the Deferred Consideration Shares, the Company, in its sole discretion, was permitted to elect to pay the Member a cash payment equal to the number of Deferred Consideration Shares otherwise issuable by us multiplied by the volume-weighted average price of our common stock as quoted on Nasdaq for the 30-trading day period ending two business days prior to the date on which the applicable Deferred Consideration Shares were otherwise issuable. Pursuant to an Amendment and Agreement dated as of March 5, 2026 between CPP and the Company, the Company agreed to issue all of the 6,666,666 Deferred Consideration Shares following receipt of approval by the Company’s stockholders, and the Deferred Consideration Shares were issued on April 8, 2026.</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Sunder Acquisition agreement includes customary representations and warranties, covenants, and indemnities, in each case under the circumstances and subject to certain limitations set forth in the agreement. The indemnification obligations under the Sunder Acquisition agreement are subject to customary deductibles and caps. Our primary source of recovery for indemnifiable damages is set off of such damages against the amounts payable by us under the Seller Note and the Deferred Consideration Shares issuable by us following the closing of the Sunder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 The financial results of Sunder have been included in our unaudited condensed consolidated financial statements since the date of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Ambia Energy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21, 2025, we entered into an agreement to acquire Ambia Energy, LLC (“</w:t>
      </w:r>
      <w:r>
        <w:rPr>
          <w:rFonts w:ascii="Times New Roman;Times;Serif" w:hAnsi="Times New Roman;Times;Serif"/>
          <w:b/>
          <w:i w:val="false"/>
          <w:caps w:val="false"/>
          <w:smallCaps w:val="false"/>
          <w:sz w:val="20"/>
          <w:bdr w:val="single" w:sz="12" w:space="1" w:color="000000"/>
        </w:rPr>
        <w:t>Ambia</w:t>
      </w:r>
      <w:r>
        <w:rPr>
          <w:rFonts w:ascii="Times New Roman;Times;Serif" w:hAnsi="Times New Roman;Times;Serif"/>
          <w:b w:val="false"/>
          <w:i w:val="false"/>
          <w:caps w:val="false"/>
          <w:smallCaps w:val="false"/>
          <w:sz w:val="20"/>
          <w:bdr w:val="single" w:sz="12" w:space="1" w:color="000000"/>
        </w:rPr>
        <w:t>”) and completed the acquisition on November 21, 2025 (the “</w:t>
      </w:r>
      <w:r>
        <w:rPr>
          <w:rFonts w:ascii="Times New Roman;Times;Serif" w:hAnsi="Times New Roman;Times;Serif"/>
          <w:b/>
          <w:i w:val="false"/>
          <w:caps w:val="false"/>
          <w:smallCaps w:val="false"/>
          <w:sz w:val="20"/>
          <w:bdr w:val="single" w:sz="12" w:space="1" w:color="000000"/>
        </w:rPr>
        <w:t>Ambia Acquisition</w:t>
      </w:r>
      <w:r>
        <w:rPr>
          <w:rFonts w:ascii="Times New Roman;Times;Serif" w:hAnsi="Times New Roman;Times;Serif"/>
          <w:b w:val="false"/>
          <w:i w:val="false"/>
          <w:caps w:val="false"/>
          <w:smallCaps w:val="false"/>
          <w:sz w:val="20"/>
          <w:bdr w:val="single" w:sz="12" w:space="1" w:color="000000"/>
        </w:rPr>
        <w:t>”). The Ambia Acquisition was completed through the acquisition of all of the membership interests of Ambia for aggregate consideration of 10,243,924 shares of our common stock issued as of the acquisition date plus our agreement to issue an additional $9.375 million of shares of our common stock on the six-month anniversary of the Ambia Acquisition closing and an additional $9.375 million of shares of our common stock on the 12-month anniversary of the Ambia Acquisition closing (such shares, the “</w:t>
      </w:r>
      <w:r>
        <w:rPr>
          <w:rFonts w:ascii="Times New Roman;Times;Serif" w:hAnsi="Times New Roman;Times;Serif"/>
          <w:b/>
          <w:i w:val="false"/>
          <w:caps w:val="false"/>
          <w:smallCaps w:val="false"/>
          <w:sz w:val="20"/>
          <w:bdr w:val="single" w:sz="12" w:space="1" w:color="000000"/>
        </w:rPr>
        <w:t>Ambia Post-Closing Consideration Shares</w:t>
      </w:r>
      <w:r>
        <w:rPr>
          <w:rFonts w:ascii="Times New Roman;Times;Serif" w:hAnsi="Times New Roman;Times;Serif"/>
          <w:b w:val="false"/>
          <w:i w:val="false"/>
          <w:caps w:val="false"/>
          <w:smallCaps w:val="false"/>
          <w:sz w:val="20"/>
          <w:bdr w:val="single" w:sz="12" w:space="1" w:color="000000"/>
        </w:rPr>
        <w:t>”). The issuance of the Ambia Post-Closing Consideration Shares was approved by our stockholders following the Ambia Acquisition closing in accordance with the rules and regulations of the Nasdaq Stock Market (including Nasdaq Listing Rule 5635(a)). The actual number of Ambia Post-Closing Consideration Shares issuable 12-month anniversary of the Ambia Acquisition closing will be determined based on the 20-day trailing volume-weighted average price of our common stock after market close on the business day immediately prior to the issuance date of the applicable shares (the “</w:t>
      </w:r>
      <w:r>
        <w:rPr>
          <w:rFonts w:ascii="Times New Roman;Times;Serif" w:hAnsi="Times New Roman;Times;Serif"/>
          <w:b/>
          <w:i w:val="false"/>
          <w:caps w:val="false"/>
          <w:smallCaps w:val="false"/>
          <w:sz w:val="20"/>
          <w:bdr w:val="single" w:sz="12" w:space="1" w:color="000000"/>
        </w:rPr>
        <w:t>VWAP Value</w:t>
      </w:r>
      <w:r>
        <w:rPr>
          <w:rFonts w:ascii="Times New Roman;Times;Serif" w:hAnsi="Times New Roman;Times;Serif"/>
          <w:b w:val="false"/>
          <w:i w:val="false"/>
          <w:caps w:val="false"/>
          <w:smallCaps w:val="false"/>
          <w:sz w:val="20"/>
          <w:bdr w:val="single" w:sz="12" w:space="1" w:color="000000"/>
        </w:rPr>
        <w:t>”); provided that the VWAP Value for the calculation of the actual number of the Ambia Post-Closing Consideration Shares issuable will not be more than $2.8102 per share or less than $1.4988 per share. Additionally, the number of Ambia Post-Closing Consideration Shares issuable by the Company is subject to adjustment pursuant to customary working capital and balance sheet adjustment terms and subject to offset for certain indemnifiable damages in accordance with the Ambia acquisition agreement.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Ambia Acquisition agreement includes customary representations and warranties, covenants, and indemnities, in each case under the circumstances and subject to certain limitations set forth in the agreement. The indemnification obligations under the Ambia Acquisition agreement are subject to customary baskets and caps. Our primary source of recovery for indemnifiable damages is set off of such damages against the Ambia Post-Closing Consideration Shares issuable by us following closing of the Ambia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Cobalt Power Systems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30, 2026, we entered into an agreement to acquire Cobalt Power Systems, Inc. (“</w:t>
      </w:r>
      <w:r>
        <w:rPr>
          <w:rFonts w:ascii="Times New Roman;Times;Serif" w:hAnsi="Times New Roman;Times;Serif"/>
          <w:b/>
          <w:i w:val="false"/>
          <w:caps w:val="false"/>
          <w:smallCaps w:val="false"/>
          <w:sz w:val="20"/>
          <w:bdr w:val="single" w:sz="12" w:space="1" w:color="000000"/>
        </w:rPr>
        <w:t>Cobalt</w:t>
      </w:r>
      <w:r>
        <w:rPr>
          <w:rFonts w:ascii="Times New Roman;Times;Serif" w:hAnsi="Times New Roman;Times;Serif"/>
          <w:b w:val="false"/>
          <w:i w:val="false"/>
          <w:caps w:val="false"/>
          <w:smallCaps w:val="false"/>
          <w:sz w:val="20"/>
          <w:bdr w:val="single" w:sz="12" w:space="1" w:color="000000"/>
        </w:rPr>
        <w:t>”) and completed the acquisition on February 2, 2026 (the “</w:t>
      </w:r>
      <w:r>
        <w:rPr>
          <w:rFonts w:ascii="Times New Roman;Times;Serif" w:hAnsi="Times New Roman;Times;Serif"/>
          <w:b/>
          <w:i w:val="false"/>
          <w:caps w:val="false"/>
          <w:smallCaps w:val="false"/>
          <w:sz w:val="20"/>
          <w:bdr w:val="single" w:sz="12" w:space="1" w:color="000000"/>
        </w:rPr>
        <w:t>Cobalt Acquisition</w:t>
      </w:r>
      <w:r>
        <w:rPr>
          <w:rFonts w:ascii="Times New Roman;Times;Serif" w:hAnsi="Times New Roman;Times;Serif"/>
          <w:b w:val="false"/>
          <w:i w:val="false"/>
          <w:caps w:val="false"/>
          <w:smallCaps w:val="false"/>
          <w:sz w:val="20"/>
          <w:bdr w:val="single" w:sz="12" w:space="1" w:color="000000"/>
        </w:rPr>
        <w:t>”). The Cobalt Acquisition was completed through the acquisition of all of the outstanding stock of Cobalt for aggregate consideration of 1,805,705 shares of our common stock issued as of the closing (the “</w:t>
      </w:r>
      <w:r>
        <w:rPr>
          <w:rFonts w:ascii="Times New Roman;Times;Serif" w:hAnsi="Times New Roman;Times;Serif"/>
          <w:b/>
          <w:i w:val="false"/>
          <w:caps w:val="false"/>
          <w:smallCaps w:val="false"/>
          <w:sz w:val="20"/>
          <w:bdr w:val="single" w:sz="12" w:space="1" w:color="000000"/>
        </w:rPr>
        <w:t>Cobalt Closing Shares</w:t>
      </w:r>
      <w:r>
        <w:rPr>
          <w:rFonts w:ascii="Times New Roman;Times;Serif" w:hAnsi="Times New Roman;Times;Serif"/>
          <w:b w:val="false"/>
          <w:i w:val="false"/>
          <w:caps w:val="false"/>
          <w:smallCaps w:val="false"/>
          <w:sz w:val="20"/>
          <w:bdr w:val="single" w:sz="12" w:space="1" w:color="000000"/>
        </w:rPr>
        <w:t>”) plus our agreement to issue an additional $3.33 million of shares of our common stock on the 12-month anniversary of the closing and an additional $3.33 million of shares of our common stock on the 18-month anniversary of the closing (such additional shares of common stock, the “</w:t>
      </w:r>
      <w:r>
        <w:rPr>
          <w:rFonts w:ascii="Times New Roman;Times;Serif" w:hAnsi="Times New Roman;Times;Serif"/>
          <w:b/>
          <w:i w:val="false"/>
          <w:caps w:val="false"/>
          <w:smallCaps w:val="false"/>
          <w:sz w:val="20"/>
          <w:bdr w:val="single" w:sz="12" w:space="1" w:color="000000"/>
        </w:rPr>
        <w:t>Cobalt Post-Closing Consideration Shares</w:t>
      </w:r>
      <w:r>
        <w:rPr>
          <w:rFonts w:ascii="Times New Roman;Times;Serif" w:hAnsi="Times New Roman;Times;Serif"/>
          <w:b w:val="false"/>
          <w:i w:val="false"/>
          <w:caps w:val="false"/>
          <w:smallCaps w:val="false"/>
          <w:sz w:val="20"/>
          <w:bdr w:val="single" w:sz="12" w:space="1" w:color="000000"/>
        </w:rPr>
        <w:t>”). The Cobalt Closing Shares were issued on February 2, 2026. The actual number of Cobalt Post-Closing Consideration Shares issuable by us on the 12- and 18-month anniversaries of the closing will be determined based on the five-day trailing volume-weighted average price of our common stock after market close on the business day immediately prior to the issuance date of the applicable shares. Additionally, the number of Cobalt Post-Closing Consideration Shares issuable by us is subject to adjustment pursuant to customary working capital and balance sheet adjustment terms and subject to offset for certain indemnifiable damages in accordance with the share purchase agreement.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share purchase agreement for the Cobalt Acquisition includes customary representations and warranties, covenants, and indemnities, in each case under the circumstances and subject to certain limitations set forth in the agreement. The indemnification obligations under the Cobalt Acquisition agreement are subject to customary baskets and caps. Our primary source of recovery for indemnifiable damages is set off of such damages against the Cobalt Post-Closing Consideration Shares issuable by us following closing of the Cobalt Acquisition.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7.0%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September 2024, we issued $66.8 million of our 7% convertible senior notes due 2029 (the “</w:t>
      </w:r>
      <w:r>
        <w:rPr>
          <w:rFonts w:ascii="Times New Roman;Times;Serif" w:hAnsi="Times New Roman;Times;Serif"/>
          <w:b/>
          <w:i w:val="false"/>
          <w:caps w:val="false"/>
          <w:smallCaps w:val="false"/>
          <w:sz w:val="20"/>
          <w:bdr w:val="single" w:sz="12" w:space="1" w:color="000000"/>
        </w:rPr>
        <w:t>7% Notes</w:t>
      </w:r>
      <w:r>
        <w:rPr>
          <w:rFonts w:ascii="Times New Roman;Times;Serif" w:hAnsi="Times New Roman;Times;Serif"/>
          <w:b w:val="false"/>
          <w:i w:val="false"/>
          <w:caps w:val="false"/>
          <w:smallCaps w:val="false"/>
          <w:sz w:val="20"/>
          <w:bdr w:val="single" w:sz="12" w:space="1" w:color="000000"/>
        </w:rPr>
        <w:t>”) to various purchasers of the 7% Notes, $8.0 million of which were issued to a related party. In December 2024, we issued additional 7% Notes for cash proceeds of $13.0 million, and we issued an additional $0.2 million of the 7% Notes in the thirteen week period ended March 30, 2025. On September 23, 2025, we issued $22.0 million aggregate principal amount of the 7% Notes pursuant to additional note purchase agreements (the “</w:t>
      </w:r>
      <w:r>
        <w:rPr>
          <w:rFonts w:ascii="Times New Roman;Times;Serif" w:hAnsi="Times New Roman;Times;Serif"/>
          <w:b/>
          <w:i w:val="false"/>
          <w:caps w:val="false"/>
          <w:smallCaps w:val="false"/>
          <w:sz w:val="20"/>
          <w:bdr w:val="single" w:sz="12" w:space="1" w:color="000000"/>
        </w:rPr>
        <w:t>September 2025 Note Purchase Agreements</w:t>
      </w:r>
      <w:r>
        <w:rPr>
          <w:rFonts w:ascii="Times New Roman;Times;Serif" w:hAnsi="Times New Roman;Times;Serif"/>
          <w:b w:val="false"/>
          <w:i w:val="false"/>
          <w:caps w:val="false"/>
          <w:smallCaps w:val="false"/>
          <w:sz w:val="20"/>
          <w:bdr w:val="single" w:sz="12" w:space="1" w:color="000000"/>
        </w:rPr>
        <w:t>”) for net proceeds to us of $19,800,000, which net proceeds were used to pay a portion of the purchase price for the Sunder Acquisition. Further, on April 23, 2026, the Company and certain holders of the 7.0% Notes Exchange Agreements. In connection with the closings under the Exchange Agreements, the Company repurchased $21,250,000 aggregate principal amount of outstanding 7.0% Notes in exchange for (i) the issuance of an aggregate of 18,805,310 shares of Common Stock and (ii) the payment of approximately $456,438 of accrued interest payable under the exchanged 7.0%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September 2025 Note Purchase Agreements, the purchasers of the 7% Notes have an option, subject to the terms and conditions of the September 2025 Note Purchase Agreements (including approval by the requisite Company stockholders in accordance with Nasdaq Listing Rule 5635), to purchase additional 7% Notes on the same terms as the 7% Notes issued pursuant to the September 2025 Note Purchase Agreements. Additionally, we agreed to use our commercially reasonable efforts to implement an exchange transaction within six months after the closing under the September 2025 Note Purchase Agreements whereby the 7% Notes issued under the September 2025 Note Purchase Agreements and our other outstanding 7% Notes would be exchanged into a new series of notes registered for resale with the Securities and Exchange Commission.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7% Notes are our general unsecured obligations and will mature on July 1, 2029, unless earlier converted, redeemed, or repurchased. Interest on the 7% Notes accrues at a rate of 7% per year from September 16, 2024 and will be payable semiannually in arrears on January 1 and July 1 of each year. Until the close of business on the second scheduled trading day immediately preceding the maturity date, holders of the 7% Notes may convert all or any portion of their 7% Notes at any time, in integral multiples of $1,000 principal amount, at the option of the holder. Upon conversion, we may satisfy its conversion obligation by paying or delivering, as the case may be, cash, shares of common stock or a combination of cash and shares of common stock, at our election, in the manner and subject to the terms, conditions and limitations provided in the Indenture, dated September 16, 2024, between us and U.S. Bank Trust Company, National Association, as trustee (the “</w:t>
      </w:r>
      <w:r>
        <w:rPr>
          <w:rFonts w:ascii="Times New Roman;Times;Serif" w:hAnsi="Times New Roman;Times;Serif"/>
          <w:b/>
          <w:i w:val="false"/>
          <w:caps w:val="false"/>
          <w:smallCaps w:val="false"/>
          <w:sz w:val="20"/>
          <w:bdr w:val="single" w:sz="12" w:space="1" w:color="000000"/>
        </w:rPr>
        <w:t>Indenture</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conversion rate for the 7% Notes is initially 467.8363 shares of common stock per $1,000 principal amount of 7% Notes. The conversion rate for the 7% Notes is subject to adjustment from time to time in accordance with the terms of the Indenture. In addition, following certain corporate events that occur prior to the maturity date of the 7% Notes or if we deliver a notice of redemption in respect of the 7% Notes, we will, under certain circumstances, increase the conversion rate of the 7% Notes for a holder who elects to convert its 7% Notes, in connection with such a corporate event that occurs prior to the maturity date, or if we deliver a notice of redemption in respect of the 7%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not redeem the 7% Notes prior to September 16, 2026. We may redeem for cash all or any portion of the 7% Notes, at our option, subject to the conditions and requirements of the Indenture, (i) on or after September 16, 2026 and prior to July 1, 2029, if the last reported sale price of our common stock has been at least 150% of the conversion price for the 7% Notes then in effect for at least 20 trading days during any 30 consecutive trading day period (including the last trading day of such period) ending on, and including, the trading day immediately preceding the date on which we provide notice of redemption at a redemption price equal to 100% of the principal amount of the 7% Notes to be redeemed, plus accrued and unpaid interest, if any, to, but excluding, the redemption date. No sinking fund is provided for the 7%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we undergo a fundamental change (as defined in the Indenture), then, subject to certain conditions and except as described in the Indenture, holders may require us to repurchase for cash all or any portion of their 7% Notes at a fundamental change repurchase price equal to 100% of the principal amount of the 7% Notes to be repurchased, plus accrued and unpaid interest, if any, to, but excluding, the fundamental change repurchase date.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Indenture includes customary covenants and sets forth certain events of default after which the 7% Notes may be declared immediately due and payable and sets forth certain types of bankruptcy or insolvency events of default involving us after which the 7% Notes become automatically due and payable. The following events are considered “events of default” under the Indenture: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any payment of interest on any 7% Note when due and payable and the default continues for a period of 30 days;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payment of principal of any 7% Note when due and payable on the maturity date, upon optional redemption, upon any required repurchase, upon declaration of acceleration or otherwise;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by us to comply with its obligation to convert the 7% Notes in accordance with the Indenture upon exercise of a holder’s conversion right, and such failure continues for five business days;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by us to give a fundamental change notice or notice of a make-whole fundamental change, and such failure continues for five business days;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8440" w:type="dxa"/>
        <w:jc w:val="left"/>
        <w:tblInd w:w="0" w:type="dxa"/>
        <w:tblLayout w:type="fixed"/>
        <w:tblCellMar>
          <w:top w:w="0" w:type="dxa"/>
          <w:left w:w="0" w:type="dxa"/>
          <w:bottom w:w="0" w:type="dxa"/>
          <w:right w:w="0" w:type="dxa"/>
        </w:tblCellMar>
      </w:tblPr>
      <w:tblGrid>
        <w:gridCol w:w="105"/>
        <w:gridCol w:w="200"/>
        <w:gridCol w:w="81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by us to comply with its obligations in respect of any consolidation, merger or sale of assets;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by us to comply with any of the other agreements in the Indenture or the 7% Notes for 60 days after receipt of written notice of such failure from the trustee or the holders of at least 25% in principal amount of the 7% Notes then outstanding;</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by us or any significant subsidiary of the company with respect to any mortgage, agreement or other instrument under which there may be outstanding, or by which there may be secured or evidenced, any indebtedness with a principal amount in excess of $10,000,000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7% Notes then outstanding in accordance with this Indenture;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9850" w:type="dxa"/>
        <w:jc w:val="left"/>
        <w:tblInd w:w="0" w:type="dxa"/>
        <w:tblLayout w:type="fixed"/>
        <w:tblCellMar>
          <w:top w:w="0" w:type="dxa"/>
          <w:left w:w="0" w:type="dxa"/>
          <w:bottom w:w="0" w:type="dxa"/>
          <w:right w:w="0" w:type="dxa"/>
        </w:tblCellMar>
      </w:tblPr>
      <w:tblGrid>
        <w:gridCol w:w="105"/>
        <w:gridCol w:w="200"/>
        <w:gridCol w:w="95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events of bankruptcy, insolvency or reorganization of the company or any of our significant subsidiaries;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certain bankruptcy and insolvency-related events of default occur with respect to the Company, the principal of, and accrued and unpaid interest, if any, on, all of the 7.00% Notes then outstanding shall automatically become due and payable. If an event of default with respect to the 7.00% Notes, other than certain bankruptcy and insolvency-related events of default with respect to the Company, occurs and is continuing, the trustee, by notice to the Company, or the holders of at least 25% in principal amount of the outstanding 7.00% Notes by notice to the Company and the trustee, may declare 100% of the principal of, and accrued and unpaid special interest, if any, on, all the outstanding 7.00%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7.00% Notes.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Indenture provides that the company shall not, and shall not permit any subsidiary, to incur any indebtedness that ranks senior to the 7% Notes and that is secured by a perfected first priority security interests in the assets of the company or any of its subsidiaries; provided, however, the company and its subsidiaries may incur or issue: (i) any Indebtedness that is authorized by holders of at least 51% in aggregate principal amount of 7% Notes then outstanding in accordance with the Indenture; and (ii) for the avoidance of doubt, any securitization financings that may be completed from time to time by the company and/or its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Indenture further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“qualified successor entity” (as defined in the Indenture) organized and existing under the laws of the United States of America, any State thereof or the District of Columbia, and such corporation (if not the company) expressly assumes by supplemental indenture all of the company’s obligations under the 7% Notes and the Indenture; and (ii) immediately after giving effect to such transaction, no default or event of default has occurred and is continuing under the Indenture.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Other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bear all costs, expenses and fees in connection with the registration of Offered Securities. The Selling Securityholders will bear all commissions and discounts, if any, attributable to their sales of Offered Securities. We are registering certain shares of our common stock for sale by the Selling Securityholders pursuant to registration rights granted to the Selling Securityholders. See the section of this prospectus entitled “</w:t>
      </w:r>
      <w:r>
        <w:rPr>
          <w:rFonts w:ascii="Times New Roman;Times;Serif" w:hAnsi="Times New Roman;Times;Serif"/>
          <w:b w:val="false"/>
          <w:i/>
          <w:caps w:val="false"/>
          <w:smallCaps w:val="false"/>
          <w:sz w:val="20"/>
          <w:bdr w:val="single" w:sz="12" w:space="1" w:color="000000"/>
        </w:rPr>
        <w:t>Selling Securityholders</w:t>
      </w:r>
      <w:r>
        <w:rPr>
          <w:rFonts w:ascii="Times New Roman;Times;Serif" w:hAnsi="Times New Roman;Times;Serif"/>
          <w:b w:val="false"/>
          <w:i w:val="false"/>
          <w:caps w:val="false"/>
          <w:smallCaps w:val="false"/>
          <w:sz w:val="20"/>
          <w:bdr w:val="single" w:sz="12" w:space="1" w:color="000000"/>
        </w:rPr>
        <w:t>” for more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offering the securities covered by this prospectus, the Selling Securityholders and any broker-dealers who execute sales for the Selling Securityholders may be deemed to be “underwriters” within the meaning of the Securities Act of 1933, as amended (the “</w:t>
      </w:r>
      <w:r>
        <w:rPr>
          <w:rFonts w:ascii="Times New Roman;Times;Serif" w:hAnsi="Times New Roman;Times;Serif"/>
          <w:b/>
          <w:i w:val="false"/>
          <w:caps w:val="false"/>
          <w:smallCaps w:val="false"/>
          <w:sz w:val="20"/>
          <w:bdr w:val="single" w:sz="12" w:space="1" w:color="000000"/>
        </w:rPr>
        <w:t>Securities Act</w:t>
      </w:r>
      <w:r>
        <w:rPr>
          <w:rFonts w:ascii="Times New Roman;Times;Serif" w:hAnsi="Times New Roman;Times;Serif"/>
          <w:b w:val="false"/>
          <w:i w:val="false"/>
          <w:caps w:val="false"/>
          <w:smallCaps w:val="false"/>
          <w:sz w:val="20"/>
          <w:bdr w:val="single" w:sz="12" w:space="1" w:color="000000"/>
        </w:rPr>
        <w:t>”) in connection with such sales. Any profits realized by the Selling Securityholders and the compensation of any broker-dealer may be deemed to be underwriting discounts and commissions.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Selling Securityholders may offer and sell the Offered Securities owned by them covered by this prospectus from time to time, in a number of different ways and at varying prices. If any underwriters, dealers or agents are involved in the sale of any of the Offered Securities, their names and any applicable purchase price, fee, commission or discount arrangement between or among them will be set forth, or will be calculable from the information set forth, in any applicable prospectus supplement. See the sections of this prospectus entitled “</w:t>
      </w:r>
      <w:r>
        <w:rPr>
          <w:rFonts w:ascii="Times New Roman;Times;Serif" w:hAnsi="Times New Roman;Times;Serif"/>
          <w:b w:val="false"/>
          <w:i/>
          <w:caps w:val="false"/>
          <w:smallCaps w:val="false"/>
          <w:sz w:val="20"/>
          <w:bdr w:val="single" w:sz="12" w:space="1" w:color="000000"/>
        </w:rPr>
        <w:t>About this Prospectus</w:t>
      </w:r>
      <w:r>
        <w:rPr>
          <w:rFonts w:ascii="Times New Roman;Times;Serif" w:hAnsi="Times New Roman;Times;Serif"/>
          <w:b w:val="false"/>
          <w:i w:val="false"/>
          <w:caps w:val="false"/>
          <w:smallCaps w:val="false"/>
          <w:sz w:val="20"/>
          <w:bdr w:val="single" w:sz="12" w:space="1" w:color="000000"/>
        </w:rPr>
        <w:t>” and “</w:t>
      </w:r>
      <w:r>
        <w:rPr>
          <w:rFonts w:ascii="Times New Roman;Times;Serif" w:hAnsi="Times New Roman;Times;Serif"/>
          <w:b w:val="false"/>
          <w:i/>
          <w:caps w:val="false"/>
          <w:smallCaps w:val="false"/>
          <w:sz w:val="20"/>
          <w:bdr w:val="single" w:sz="12" w:space="1" w:color="000000"/>
        </w:rPr>
        <w:t>Plan of Distribution</w:t>
      </w:r>
      <w:r>
        <w:rPr>
          <w:rFonts w:ascii="Times New Roman;Times;Serif" w:hAnsi="Times New Roman;Times;Serif"/>
          <w:b w:val="false"/>
          <w:i w:val="false"/>
          <w:caps w:val="false"/>
          <w:smallCaps w:val="false"/>
          <w:sz w:val="20"/>
          <w:bdr w:val="single" w:sz="12" w:space="1" w:color="000000"/>
        </w:rPr>
        <w:t>”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Risk Factors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Below is a summary of material factors that make an investment in our securities speculative or risky. Importantly, this summary does not address all of the risks and uncertainties that we face.</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history of losses that may continue in the future; our management has identified conditions that raise substantial doubt about our ability to continue as a going concern; and we may not achieve profitability or generate positive cash flow.</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Raising additional funds may cause dilution to existing stockholders and/or may restrict our operations or require us to relinquish proprietary rights.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have identified material weaknesses in our internal controls over financial reporting. As a result of these material weaknesses, we previously identified material errors to our interim results for the thirteen weeks ended March 30, 2025, the thirteen and twenty-six weeks ended June 29, 2025, and the thirteen and thirty-nine weeks ended September 28, 2025 (the “Prior Periods”) and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 </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8035" w:type="dxa"/>
        <w:jc w:val="left"/>
        <w:tblInd w:w="0" w:type="dxa"/>
        <w:tblLayout w:type="fixed"/>
        <w:tblCellMar>
          <w:top w:w="0" w:type="dxa"/>
          <w:left w:w="0" w:type="dxa"/>
          <w:bottom w:w="0" w:type="dxa"/>
          <w:right w:w="0" w:type="dxa"/>
        </w:tblCellMar>
      </w:tblPr>
      <w:tblGrid>
        <w:gridCol w:w="105"/>
        <w:gridCol w:w="200"/>
        <w:gridCol w:w="77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risks related to the restatement of our previously issued quarterly financial statements.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prepare and timely file our periodic reports with the SEC limits our access to the public markets to raise debt or equity capital.</w:t>
            </w:r>
          </w:p>
        </w:tc>
      </w:tr>
    </w:tbl>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in part on the availability of rebates, tax credits and other financial incentives. The OBBBA has materially reduced the availability of these rebates, credits or incentives, which may adversely impact our business.</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 our domestic and international markets, as well as inflation concerns, instability of financial institutions, rising interest rates, and recessionary concerns may adversely affect our industry, business and financial results.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incurred losses and may be unable to achieve or sustain profitability in the future.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competition from both traditional energy companies and renewable energy companies.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growth strategy depends on the widespread adoption of solar power technology.</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exposed to the credit risk of customers and our finance partners, and payment delinquencies on accounts receivables.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unauthorized access to or disclosure or theft of personal information we gather, store or use could harm our reputation and subject us to claims or litigation.</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depends on the continuing contributions of key personnel, including Thurman J. Rodgers. If we are unable to attract and retain key employees and qualified personnel, our business and prospects could be harmed.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18"/>
        <w:gridCol w:w="9882"/>
      </w:tblGrid>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results and ability to grow may fluctuate from quarter to quarter and year to year, which could make future performance difficult to predict and could cause operating results for a particular period to fall below expectations.</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Directors, executive officers and principal stockholders will continue to have significant influence over our company, which could limit your ability to influence the outcome of key transactions, including a change of control.</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meet all applicable requirements of Nasdaq and Nasdaq determines to delist our common stock, the delisting could adversely affect the market liquidity of our common stock and the market price of our common stock could decrease.</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10.0% Senior Secured Notes are secured obligations, and there are risks associated with our 10.0% Senior Secured Notes that could adversely affect our business and financial condition.</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features of the Convertible Senior Notes and Yorkville Notes may adversely affect our financial condition and operating results.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(including potential sales of securities by the Selling Securityholders), or the perception of future sales, by us or our stockholders in the public market could cause the market price for the common stock to decline.</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359"/>
        <w:gridCol w:w="90"/>
        <w:gridCol w:w="286"/>
        <w:gridCol w:w="7470"/>
      </w:tblGrid>
      <w:tr>
        <w:trPr/>
        <w:tc>
          <w:tcPr>
            <w:tcW w:w="2359"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Securities offered by the Selling Securityholder</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ind w:left="0" w:right="0" w:hanging="180"/>
              <w:jc w:val="left"/>
              <w:rPr/>
            </w:pPr>
            <w:r>
              <w:rPr/>
              <w:t>Up to 65,385,828 shares of our common stock consisting of:</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283"/>
              <w:ind w:left="0" w:right="0" w:hanging="180"/>
              <w:jc w:val="both"/>
              <w:rPr/>
            </w:pPr>
            <w:r>
              <w:rPr/>
              <w:t>10,243,924 shares of common stock previously issued by us in connection with our acquisition of Ambia;</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7470" w:type="dxa"/>
            <w:tcBorders/>
            <w:vAlign w:val="center"/>
          </w:tcPr>
          <w:p>
            <w:pPr>
              <w:pStyle w:val="TableContents"/>
              <w:bidi w:val="0"/>
              <w:spacing w:before="0" w:after="283"/>
              <w:ind w:left="0" w:right="0" w:hanging="180"/>
              <w:jc w:val="both"/>
              <w:rPr/>
            </w:pPr>
            <w:r>
              <w:rPr/>
              <w:t> </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283"/>
              <w:ind w:left="0" w:right="0" w:hanging="180"/>
              <w:jc w:val="both"/>
              <w:rPr/>
            </w:pPr>
            <w:r>
              <w:rPr/>
              <w:t>3,333,334 shares of common stock previously issued by us in connection with our acquisition of Sunder;</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7470" w:type="dxa"/>
            <w:tcBorders/>
            <w:vAlign w:val="center"/>
          </w:tcPr>
          <w:p>
            <w:pPr>
              <w:pStyle w:val="TableContents"/>
              <w:bidi w:val="0"/>
              <w:spacing w:before="0" w:after="283"/>
              <w:ind w:left="0" w:right="0" w:hanging="180"/>
              <w:jc w:val="both"/>
              <w:rPr/>
            </w:pPr>
            <w:r>
              <w:rPr/>
              <w:t> </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283"/>
              <w:ind w:left="0" w:right="0" w:hanging="180"/>
              <w:jc w:val="both"/>
              <w:rPr/>
            </w:pPr>
            <w:r>
              <w:rPr/>
              <w:t>up to 50,760,218 shares of common stock issuable upon conversion of our 7% Notes; and</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7470" w:type="dxa"/>
            <w:tcBorders/>
            <w:vAlign w:val="center"/>
          </w:tcPr>
          <w:p>
            <w:pPr>
              <w:pStyle w:val="TableContents"/>
              <w:bidi w:val="0"/>
              <w:spacing w:before="0" w:after="283"/>
              <w:ind w:left="0" w:right="0" w:hanging="180"/>
              <w:jc w:val="both"/>
              <w:rPr/>
            </w:pPr>
            <w:r>
              <w:rPr/>
              <w:t> </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283"/>
              <w:jc w:val="both"/>
              <w:rPr/>
            </w:pPr>
            <w:r>
              <w:rPr/>
              <w:t>1,048,352 shares of common stock held by certain former affiliates.</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ind w:left="0" w:right="0" w:hanging="180"/>
              <w:jc w:val="both"/>
              <w:rPr/>
            </w:pPr>
            <w:r>
              <w:rPr/>
              <w:t> </w:t>
            </w:r>
          </w:p>
        </w:tc>
      </w:tr>
      <w:tr>
        <w:trPr/>
        <w:tc>
          <w:tcPr>
            <w:tcW w:w="2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outstanding prior to this offering</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150,283,214 (as of June 22, 2026).</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ind w:left="0" w:right="0" w:hanging="180"/>
              <w:jc w:val="both"/>
              <w:rPr/>
            </w:pPr>
            <w:r>
              <w:rPr/>
              <w:t> </w:t>
            </w:r>
          </w:p>
        </w:tc>
      </w:tr>
      <w:tr>
        <w:trPr/>
        <w:tc>
          <w:tcPr>
            <w:tcW w:w="2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outstanding after this offering</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ind w:left="0" w:right="0" w:hanging="180"/>
              <w:jc w:val="both"/>
              <w:rPr/>
            </w:pPr>
            <w:r>
              <w:rPr/>
              <w:t>215,669,042 (based on the total shares outstanding as of June 22, 2026).</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jc w:val="both"/>
              <w:rPr/>
            </w:pPr>
            <w:r>
              <w:rPr/>
              <w:t> </w:t>
            </w:r>
          </w:p>
        </w:tc>
      </w:tr>
      <w:tr>
        <w:trPr/>
        <w:tc>
          <w:tcPr>
            <w:tcW w:w="2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of the offering</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Securityholders will determine when and how they will dispose of the shares of common stock registered for resale under this prospectus.</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jc w:val="both"/>
              <w:rPr/>
            </w:pPr>
            <w:r>
              <w:rPr/>
              <w:t> </w:t>
            </w:r>
          </w:p>
        </w:tc>
      </w:tr>
      <w:tr>
        <w:trPr/>
        <w:tc>
          <w:tcPr>
            <w:tcW w:w="2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will not receive any proceeds from the resale of shares of common stock included in this prospectus by the Selling Securityholders.   We will incur all costs associated with this prospectus and the registration statement of which it is a part.</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jc w:val="both"/>
              <w:rPr/>
            </w:pPr>
            <w:r>
              <w:rPr/>
              <w:t> </w:t>
            </w:r>
          </w:p>
        </w:tc>
      </w:tr>
      <w:tr>
        <w:trPr/>
        <w:tc>
          <w:tcPr>
            <w:tcW w:w="2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investing in our securities, you should carefully read and consider the information set forth in “</w:t>
            </w:r>
            <w:r>
              <w:rPr>
                <w:rFonts w:ascii="Times New Roman;Times;Serif" w:hAnsi="Times New Roman;Times;Serif"/>
                <w:i/>
                <w:sz w:val="20"/>
              </w:rPr>
              <w:t>Risk Factors</w:t>
            </w:r>
            <w:r>
              <w:rPr>
                <w:rFonts w:ascii="Times New Roman;Times;Serif" w:hAnsi="Times New Roman;Times;Serif"/>
                <w:sz w:val="20"/>
              </w:rPr>
              <w:t>” beginning on page 13.</w:t>
            </w:r>
          </w:p>
        </w:tc>
      </w:tr>
      <w:tr>
        <w:trPr/>
        <w:tc>
          <w:tcPr>
            <w:tcW w:w="23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jc w:val="both"/>
              <w:rPr/>
            </w:pPr>
            <w:r>
              <w:rPr/>
              <w:t> </w:t>
            </w:r>
          </w:p>
        </w:tc>
      </w:tr>
      <w:tr>
        <w:trPr/>
        <w:tc>
          <w:tcPr>
            <w:tcW w:w="2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ticker symbols</w:t>
            </w:r>
          </w:p>
        </w:tc>
        <w:tc>
          <w:tcPr>
            <w:tcW w:w="90" w:type="dxa"/>
            <w:tcBorders/>
            <w:vAlign w:val="center"/>
          </w:tcPr>
          <w:p>
            <w:pPr>
              <w:pStyle w:val="TableContents"/>
              <w:bidi w:val="0"/>
              <w:spacing w:before="0" w:after="283"/>
              <w:jc w:val="left"/>
              <w:rPr/>
            </w:pPr>
            <w:r>
              <w:rPr/>
              <w:t> </w:t>
            </w:r>
          </w:p>
        </w:tc>
        <w:tc>
          <w:tcPr>
            <w:tcW w:w="7756" w:type="dxa"/>
            <w:gridSpan w:val="2"/>
            <w:tcBorders/>
            <w:vAlign w:val="center"/>
          </w:tcPr>
          <w:p>
            <w:pPr>
              <w:pStyle w:val="TableContents"/>
              <w:bidi w:val="0"/>
              <w:spacing w:before="0" w:after="283"/>
              <w:jc w:val="both"/>
              <w:rPr/>
            </w:pPr>
            <w:r>
              <w:rPr/>
              <w:t>“</w:t>
            </w:r>
            <w:r>
              <w:rPr>
                <w:rFonts w:ascii="Times New Roman;Times;Serif" w:hAnsi="Times New Roman;Times;Serif"/>
                <w:sz w:val="20"/>
              </w:rPr>
              <w:t>SPWR” and “SPWRW”</w:t>
            </w:r>
          </w:p>
        </w:tc>
      </w:tr>
    </w:tbl>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additional information concerning the offering, see “</w:t>
      </w:r>
      <w:r>
        <w:rPr>
          <w:rFonts w:ascii="Times New Roman;Times;Serif" w:hAnsi="Times New Roman;Times;Serif"/>
          <w:b w:val="false"/>
          <w:i/>
          <w:caps w:val="false"/>
          <w:smallCaps w:val="false"/>
          <w:sz w:val="20"/>
          <w:bdr w:val="single" w:sz="12" w:space="1" w:color="000000"/>
        </w:rPr>
        <w:t>Plan of Distribution</w:t>
      </w:r>
      <w:r>
        <w:rPr>
          <w:rFonts w:ascii="Times New Roman;Times;Serif" w:hAnsi="Times New Roman;Times;Serif"/>
          <w:b w:val="false"/>
          <w:i w:val="false"/>
          <w:caps w:val="false"/>
          <w:smallCaps w:val="false"/>
          <w:sz w:val="20"/>
          <w:bdr w:val="single" w:sz="12" w:space="1" w:color="000000"/>
        </w:rPr>
        <w:t>” beginning on page 122.</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Businesses and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losses that may continue in the future; our management has identified conditions that raise substantial doubt about our ability to continue as a going concern; and we may not achieve profitability or generate positive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losses and negative cash flows from operations. We incurred a net loss from continuing operations of $44.3 million in the fiscal year ended December 28, 2025 and of $19.2 million in in the thirteen weeks ended March 29, 2026. We had an accumulated deficit of $451.5 million as of March 29, 2026. We have current debt of $38.0 million, and notes payable and derivative liabilities, net of current portion of $131.8 million, as of March 29, 2026, as well as other current and long-term liabilities (including the liability we recorded relating to a litigation matter with Siemens). We had cash and cash equivalents, excluding restricted cash, of $9.5 million as of March 29, 2026, which was held for working capital expenditures. These conditions raise substantial doubt about our ability to continue as a going concern. Our ability to continue as a going concern requires that we obtain sufficient funding, either through external financial transactions or cash flows generated from operations, to meet our obligations and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adequate additional funding, either through external financial transactions or cash flows generated from operations,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profitability or positive cash flow for a number of reasons, including declines in revenue, as well as increases in costs of our products, U.S. and global macroeconomic trends, including with respect to the impact of U.S. trade tariffs and the imposition of additional tariffs applicable to our industry or our products. In addition, we may be unable to identify further cost savings opportunities below present levels that would not adversely impact the functioning of our existing operations needed to meet customer and regulatory requirements. If we fail to generate sufficient revenue to support our operations, we may not be able to achieve profitability or generate sufficient cash flow to meet our financial obligations and our liquidity position will be negatively impacted. See “Management’s Discussion and Analysis of Financial Condition and Results of Operations - Liquidity and Capital Resources” and “Notes to Consolidated Financial Statements - (1) Organization - (c) Liquidity and Going Concern” for a further discussion of the other factors that may impact our liquidity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generate sufficient cash flows from operations, raise additional capital or reduce certain discretionary spending would have a material adverse effect on our ability to achieve our intended business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significant amounts of cash since inception. We expect to incur significant operating expenses as we continue to grow our business, including expenses incurred in connection with acquisitions and the further integration of acquired businesses, including the SunPower Businesses, Sunder, Ambia and Cobalt. We anticipate that our operating losses and negative operating cash flows will continue into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excluding restricted cash, of $9.5 million as of March 29, 2026. Our cash position raises substantial doubt regarding our ability to continue as a going concern for 12 months after the consolidated financial statements issuance. Further, we cannot guarantee that our business will generate sufficient cash flow from operations to fund our operations or liquidity needs. Over time, we expect that we will need to raise additional funds through the issuance of additional equity, equity-related or debt securities or through obtaining credit from financial institutions to fund, together with our principal sources of liquidity, any significant unplanned or accelerated expenses and new strategic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capital to continue operations. Such additional capital might not be available when we need it and our actual cash requirements might be greater than anticipated. Additionally,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 We cannot be certain that additional capital will be available on attractive terms, if at all, when needed, which could be dilutive to stockholders, and our financial condition, results of operations, business and prospects could be materially and adversely affected. If the financial markets become difficult or costly to access, including due to rising interest rates, inflation, fluctuations in exchange rates or other changes in geopolitical or economic conditions, including, without limitation, with respect to tariffs and trade policies, our ability to raise additional capital may be negatively impacted. Our failure to raise capital in the future would have a negative impact on our ability to expand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funds may cause dilution to existing stockholders and/or may restrict our operations or require us to relinquish proprietary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by issuing equity, convertible debt or other convertible securities, our existing stockholders may experience substantial dilution, and the terms of these issued securities may include liquidation or other preferences that adversely affect the rights of our existing common stockholders. For example, we may issue debt or equity securities under our shelf registration statement, through our at-the-market offering facility, through our existing equity line of credit with White Lion (as defined below), through our standby equity purchase facility with Yorkville or we may issue additional debt or equity securities in private transactions. Any agreements for future debt or preferred equity financings, if available, may involve covenants limiting or restricting our ability to take specific actions, such as raising additional capital, incurring additional debt, making capital expenditures or declaring dividends. Our ability to use our at-the-market offering facility or shelf registration statement are currently constrained by the size of our non-affiliate market capitalization, our trading volume and other factors, and there can be no assurance regarding the price at which we will be able to sell such shares, and any sales of our common stock under our at-the-market offering facility, and any offerings we might complete under our shelf registration statement, may be at prices that result in additional dilution to our existing stockholders. Further, as a result of our current ineligibility to use Form S-3, we currently cannot use our at-the-market offering facility or conduct securities offerings using our shelf registration statement. If we incur additional debt, the debt holders, together with holders of our outstanding Convertible Senior Notes and the Yorkville Notes (each as defined below), would have rights senior to holders of common stock to make claims on our assets, and the terms of any future debt could restrict our operations, including our ability to pay dividends on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controls over financial reporting. As a result of these material weaknesses, we identified material errors to our interim results for the thirteen weeks ended March 30, 2025, the thirteen and twenty-six weeks ended June 29, 2025, and the thirteen and thirty-nine weeks ended September 28, 2025 (the “Prior Periods”) and we have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for the year ended December 28, 2025,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maintain controls to execute the criteria established in the COSO Framework for (i) the control environment, (ii) risk assessment, (iii) control activities, (iv) information and communication, and (v) monitoring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control deficiencies identified below constitute a material weakness, either individually or in the aggregate.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Environment.</w:t>
      </w:r>
      <w:r>
        <w:rPr>
          <w:rFonts w:ascii="Times New Roman;Times;Serif" w:hAnsi="Times New Roman;Times;Serif"/>
          <w:b w:val="false"/>
          <w:i w:val="false"/>
          <w:caps w:val="false"/>
          <w:smallCaps w:val="false"/>
          <w:sz w:val="20"/>
        </w:rPr>
        <w:t xml:space="preserve"> Our Company did not maintain an effective control environment and identified the following material weakness: our 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Activities.</w:t>
      </w:r>
      <w:r>
        <w:rPr>
          <w:rFonts w:ascii="Times New Roman;Times;Serif" w:hAnsi="Times New Roman;Times;Serif"/>
          <w:b w:val="false"/>
          <w:i w:val="false"/>
          <w:caps w:val="false"/>
          <w:smallCaps w:val="false"/>
          <w:sz w:val="20"/>
        </w:rPr>
        <w:t xml:space="preserve"> Our Company did not design and implement effective control activities and identified the following material weakness: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Ineffective design and operation of certain control activities due to significant personnel changes throughout fiscal 2025. Control deficiencies, which aggregate to a material weakness, occurred within substantially all areas of financial reporting.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and Communication. </w:t>
      </w:r>
      <w:r>
        <w:rPr>
          <w:rFonts w:ascii="Times New Roman;Times;Serif" w:hAnsi="Times New Roman;Times;Serif"/>
          <w:b w:val="false"/>
          <w:i w:val="false"/>
          <w:caps w:val="false"/>
          <w:smallCaps w:val="false"/>
          <w:sz w:val="20"/>
        </w:rPr>
        <w:t>Our Company did not design and implement effective information and communication activities and identified the following material weaknesses</w:t>
      </w:r>
      <w:r>
        <w:rPr>
          <w:rFonts w:ascii="Times New Roman;Times;Serif" w:hAnsi="Times New Roman;Times;Serif"/>
          <w:b w:val="false"/>
          <w:i/>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tc>
      </w:tr>
    </w:tbl>
    <w:p>
      <w:pPr>
        <w:pStyle w:val="TextBody"/>
        <w:bidi w:val="0"/>
        <w:spacing w:before="0" w:after="0"/>
        <w:ind w:left="108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Company did not have adequate processes and controls for communicating information among the accounting, finance, operations, and legal departments, necessary to support the proper functioning of internal controls.</w:t>
            </w:r>
          </w:p>
        </w:tc>
      </w:tr>
    </w:tbl>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Monitoring Activities. </w:t>
      </w:r>
      <w:r>
        <w:rPr>
          <w:rFonts w:ascii="Times New Roman;Times;Serif" w:hAnsi="Times New Roman;Times;Serif"/>
          <w:b w:val="false"/>
          <w:i w:val="false"/>
          <w:caps w:val="false"/>
          <w:smallCaps w:val="false"/>
          <w:sz w:val="20"/>
        </w:rPr>
        <w:t>Our Company did not design and implement effective monitoring activities and identified the following material 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described in the paragraphs above contributed to material accounting errors identified and corrected during the audit of our Company’s financial statements. Additionally, in connection with the preparation of our audited financial statements for the year ended December, 28, 2025, and as a result of these material weaknesses, we identified material errors to our interim results for the thirteen weeks ended March 30, 2025, the thirteen and twenty-six weeks ended June 29, 2025, and the thirteen and thirty-nine weeks ended September 28, 2025 (the “Prior Periods”) and we determined that the Prior Periods included in our Quarterly Reports on Form 10-Q for the quarters ended March 30, 2025, June 29, 2025, and September 28, 2025 (the “Prior Filings”) should no longer be relied upon and should be restated. If we fail to adequately remediate these material weaknesses, there could be material misstatements that may not be prevented or detected.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provide assurance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(and which would limit our ability to use Form S-3 and may impact the availability of Rule 144), restatements of financial statements or other corrective disclosures, an inability to access commercial lending markets, defaults under our convertible notes and outstanding loans and other agreements, or other material adverse effects on our business, reputation, results of operations, financial condition or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face risks related to the restatement of our previously issued quarterly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determination that the Prior Filings should no longer be relied upon and should be restated, we face a number of additional risks and uncertainties, which may affect investor confidence in the accuracy of our financial disclosures and may raise reputation issues for our business. For example, we may face potential litigation or other disputes, which may include claims relating to federal and state securities laws, contractual claims and other claims arising from the restatement of the Prior Filings and the material weaknesses in our internal control over financial reporting and the preparation of our financial statements. We may discover additional errors in our previously filed financial statements. We cannot ensure that all of the risks and challenges described above will be eliminated or that general reputational harm will not persist. If one or more of the foregoing risks or challenges persist, our business, operations and financial condition are likely to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prepare and timely file our periodic reports with the SEC limits our access to the public markets to raise debt or equity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file our Quarterly Report on Form 10-Q for the quarter ended March 29, 2026, our Annual Report on Form 10-K for the fiscal year ended December 29, 2024, our Quarterly Report on Form 10-Q for the quarter ended September 28, 2025 or the amendment required to our Current Report originally filed on September 26, 2025 relating to the Sunder acquisition within the timeframe required by the SEC. Accordingly,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international trade policies, tariffs, or trade disputes could significantly and adversely affect our business, revenues, margins, results of operations, and cash flows.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2018, safeguard tariffs on imported solar cells and modules (“</w:t>
      </w:r>
      <w:r>
        <w:rPr>
          <w:rFonts w:ascii="Times New Roman;Times;Serif" w:hAnsi="Times New Roman;Times;Serif"/>
          <w:b/>
          <w:i w:val="false"/>
          <w:caps w:val="false"/>
          <w:smallCaps w:val="false"/>
          <w:sz w:val="20"/>
        </w:rPr>
        <w:t>CSPV</w:t>
      </w:r>
      <w:r>
        <w:rPr>
          <w:rFonts w:ascii="Times New Roman;Times;Serif" w:hAnsi="Times New Roman;Times;Serif"/>
          <w:b w:val="false"/>
          <w:i w:val="false"/>
          <w:caps w:val="false"/>
          <w:smallCaps w:val="false"/>
          <w:sz w:val="20"/>
        </w:rPr>
        <w:t>”)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Times;Serif" w:hAnsi="Times New Roman;Times;Serif"/>
          <w:b/>
          <w:i w:val="false"/>
          <w:caps w:val="false"/>
          <w:smallCaps w:val="false"/>
          <w:sz w:val="20"/>
        </w:rPr>
        <w:t>International Trade Commission</w:t>
      </w:r>
      <w:r>
        <w:rPr>
          <w:rFonts w:ascii="Times New Roman;Times;Serif" w:hAnsi="Times New Roman;Times;Serif"/>
          <w:b w:val="false"/>
          <w:i w:val="false"/>
          <w:caps w:val="false"/>
          <w:smallCaps w:val="false"/>
          <w:sz w:val="20"/>
        </w:rPr>
        <w:t>”). On February 4, 2022, then President Biden issued Proclamation 10339 extending the existing safeguard measures on U.S. imports of CSPV products by an additional four years until February 6, 2026. Prior to the termination of the safeguard tariffs, modules were subject to a tariff rate of approximately 15%. Cells were subjected to a tariff-rate quota, under which the first 5 GW of cell imports each year was exempt from tariffs, and cells imported after the 5 GW quota was reached were subject to the same approximately 15% tariff as modules in the first year, with the same 0.25% decline in each of the three subsequent years. The tariff-free cell quota applied globally, without any allocation by country or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solar cells and modules based on interdigitated back contact technology were excluded from these safeguard tariffs, our solar products based on other technologies continue were subject to the safeguard tariffs until February 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cells and panels from various countries continue to be subject to U.S. antidumping, and countervailing duty (AD/CVD) actions in the United States. The U.S. Department of Commerce (the “</w:t>
      </w:r>
      <w:r>
        <w:rPr>
          <w:rFonts w:ascii="Times New Roman;Times;Serif" w:hAnsi="Times New Roman;Times;Serif"/>
          <w:b/>
          <w:i w:val="false"/>
          <w:caps w:val="false"/>
          <w:smallCaps w:val="false"/>
          <w:sz w:val="20"/>
        </w:rPr>
        <w:t>Department of Commerce</w:t>
      </w:r>
      <w:r>
        <w:rPr>
          <w:rFonts w:ascii="Times New Roman;Times;Serif" w:hAnsi="Times New Roman;Times;Serif"/>
          <w:b w:val="false"/>
          <w:i w:val="false"/>
          <w:caps w:val="false"/>
          <w:smallCaps w:val="false"/>
          <w:sz w:val="20"/>
        </w:rPr>
        <w:t>”) maintains antidumping and countervailing duty orders on solar cells as well as panels produced in China. In 2022, the Department of Commerce found that solar product producers in Cambodia, Malaysia, Thailand, and Vietnam were circumventing the China AD/CVD actions. As a result, imports of solar products from these countries may be treated as if they are of Chinese origin and therefore subject to the aforementioned antidumping and countervailing duty orders. On June 6, 2022, then President Biden issued an Executive Order allowing U.S. solar installers to import solar modules and cells from Cambodia, Malaysia, Thailand and Vietnam free from certain duties for 24 months, along with other incentives designed to accelerate U.S. domestic production of clean energy technologies. This moratorium ended in June 2024 and China-wide AD/CVD action now applies to imports from those countries that contain Chinese-origin inputs. Additionally, on December 29, 2023, Auxin and Concept Clean Energy, Inc. filed suit in the U.S. Court of International Trade challenging the legal basis for the moratorium and implementing regulations. In August 2025 the Court of International Trade found the moratorium on the collection of AD/CVD duties to be unlawful and ordered retroactive collection of duties that should have been paid during that period. The retroactive collection of duties was stayed pending appeal. On February 9, 2026, the U.S. government withdrew its appeal of that decision, but other parties continue to pursue the appeal. In addition, on May 15, 2024 the Department of Commerce and the U.S. International Trade Commission initiated antidumping and countervailing duty investigations of CSPV products from Cambodia, Malaysia, Thailand, and Vietnam. Both the Department of Commerce and the U.S. International Trade Commission made affirmative findings for all countries. On June 24, 2025, the Department of Commerce imposed antidumping and countervailing duty orders on CSPV products from all four countries. Duty rates range zero to over 100% antidumping duties and approximately 15% to over 3000% countervailing duties depending on the company and country. Antidumping and countervailing duties are assessed retroactively and thus final assessment of duties on imports made after June 2025 will be determined in future proceedings by the Department of Commerce.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AD/CVD duty rates, together with uncertainty surrounding the implications of existing tariffs affecting the U.S. solar market and potential trade tensions between the U.S. and other countries has caused and is likely to cause further market volatility, price fluctuations, supply shortages, and project delays, any of which could harm our business, and the pursuit of mitigating actions may divert substantial resources from other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our solar power products and greatly reduce our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in part on the availability of rebates, tax credits and other financial incentives. The OBBBA has materially reduced the availability of these rebates, credits or incentives, which may adversely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Inflation Reduction Act of 2022 (“</w:t>
      </w:r>
      <w:r>
        <w:rPr>
          <w:rFonts w:ascii="Times New Roman;Times;Serif" w:hAnsi="Times New Roman;Times;Serif"/>
          <w:b/>
          <w:i w:val="false"/>
          <w:caps w:val="false"/>
          <w:smallCaps w:val="false"/>
          <w:sz w:val="20"/>
        </w:rPr>
        <w:t>IRA</w:t>
      </w:r>
      <w:r>
        <w:rPr>
          <w:rFonts w:ascii="Times New Roman;Times;Serif" w:hAnsi="Times New Roman;Times;Serif"/>
          <w:b w:val="false"/>
          <w:i w:val="false"/>
          <w:caps w:val="false"/>
          <w:smallCaps w:val="false"/>
          <w:sz w:val="20"/>
        </w:rPr>
        <w:t>”) extended and modified prior law applicable to U.S. federal tax credits that are available with respect to solar energy systems. Under the IRA, the following tax credits were generally available: (i) a production tax credit under Code Section 45 (for facilities that began construction before January 1, 2025) and Code Section 45Y (for facilities that are placed in service after December 31, 2024) (the “</w:t>
      </w:r>
      <w:r>
        <w:rPr>
          <w:rFonts w:ascii="Times New Roman;Times;Serif" w:hAnsi="Times New Roman;Times;Serif"/>
          <w:b/>
          <w:i w:val="false"/>
          <w:caps w:val="false"/>
          <w:smallCaps w:val="false"/>
          <w:sz w:val="20"/>
        </w:rPr>
        <w:t>PTC</w:t>
      </w:r>
      <w:r>
        <w:rPr>
          <w:rFonts w:ascii="Times New Roman;Times;Serif" w:hAnsi="Times New Roman;Times;Serif"/>
          <w:b w:val="false"/>
          <w:i w:val="false"/>
          <w:caps w:val="false"/>
          <w:smallCaps w:val="false"/>
          <w:sz w:val="20"/>
        </w:rPr>
        <w:t>”) with respect to electricity produced from certain qualifying facilities, (ii) an investment tax credit under Code Section 48 (for facilities that began construction before January 1, 2025) and Code Section 48E (for facilities that are placed in service after December 31, 2024) (the “</w:t>
      </w:r>
      <w:r>
        <w:rPr>
          <w:rFonts w:ascii="Times New Roman;Times;Serif" w:hAnsi="Times New Roman;Times;Serif"/>
          <w:b/>
          <w:i w:val="false"/>
          <w:caps w:val="false"/>
          <w:smallCaps w:val="false"/>
          <w:sz w:val="20"/>
        </w:rPr>
        <w:t>ITC</w:t>
      </w:r>
      <w:r>
        <w:rPr>
          <w:rFonts w:ascii="Times New Roman;Times;Serif" w:hAnsi="Times New Roman;Times;Serif"/>
          <w:b w:val="false"/>
          <w:i w:val="false"/>
          <w:caps w:val="false"/>
          <w:smallCaps w:val="false"/>
          <w:sz w:val="20"/>
        </w:rPr>
        <w:t>”) in connection with the installation of certain solar facilities and energy storage technology, and (iii) a residential clean energy credit (the “</w:t>
      </w:r>
      <w:r>
        <w:rPr>
          <w:rFonts w:ascii="Times New Roman;Times;Serif" w:hAnsi="Times New Roman;Times;Serif"/>
          <w:b/>
          <w:i w:val="false"/>
          <w:caps w:val="false"/>
          <w:smallCaps w:val="false"/>
          <w:sz w:val="20"/>
        </w:rPr>
        <w:t>Section 25D Credit</w:t>
      </w:r>
      <w:r>
        <w:rPr>
          <w:rFonts w:ascii="Times New Roman;Times;Serif" w:hAnsi="Times New Roman;Times;Serif"/>
          <w:b w:val="false"/>
          <w:i w:val="false"/>
          <w:caps w:val="false"/>
          <w:smallCaps w:val="false"/>
          <w:sz w:val="20"/>
        </w:rPr>
        <w:t>”) in connection with the installation of qualifying property that uses solar energy to generate electricity for residential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w:t>
      </w:r>
      <w:r>
        <w:rPr>
          <w:rFonts w:ascii="Times New Roman;Times;Serif" w:hAnsi="Times New Roman;Times;Serif"/>
          <w:b/>
          <w:i w:val="false"/>
          <w:caps w:val="false"/>
          <w:smallCaps w:val="false"/>
          <w:sz w:val="20"/>
        </w:rPr>
        <w:t>OBBBA</w:t>
      </w:r>
      <w:r>
        <w:rPr>
          <w:rFonts w:ascii="Times New Roman;Times;Serif" w:hAnsi="Times New Roman;Times;Serif"/>
          <w:b w:val="false"/>
          <w:i w:val="false"/>
          <w:caps w:val="false"/>
          <w:smallCaps w:val="false"/>
          <w:sz w:val="20"/>
        </w:rPr>
        <w:t>”) was enacted and significantly modified the IRA’s clean energy incentive framework by accelerating the termination of certain credits and adding new eligibility restrictions and compliance burdens. The OBBBA effectively repealed, on an accelerated timeline, key federal tax incentives for solar projects by curtailing eligibility for the clean electricity PTC and ITC for applicable solar facilities placed in service after December 31, 2027 (subject to grandfathering for projects that begin construction by July 4, 2026) and by terminating the Section 25D Credit after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PTC, solar energy projects that began construction before January 1, 2025 generally remain eligible for the PTC under Section 45 (as amended by the IRA) and generally are not subject to the accelerated phaseouts or other limitations introduced by the OBBBA. The PTC available to a taxpayer in 2024 and prior taxable years under Code Section 45 generally is equal to a certain rate multiplied by the kilowatt hours of electricity produced by the taxpayer from solar energy at a facility owned by it and sold to an unrelated party during that taxable year. The base rates for the PTC under Code Section 45 is 0.3 cents (adjusted for inflation). This rate is increased to 1.5 cents (adjusted for inflation) for projects that (i) have a maximum net output of less than one megawatt (measured in alternating current), (ii) begin construction before January 29, 2023, and (iii) meet certain prevailing wage and apprenticeship requirements. It also may be increased for projects that include a certain percentage of components produced in the U.S. and projects that are located in certain energy communities, in each case subject to applicable requirements and IRS guidance.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PTC under Code Section 45Y, the successor to Code Section 45 that is applicable for facilities placed in service after December 31, 2024, generally is similar to the PTC under Code Section 45 but includes certain different terms and qualification requirements. The PTC amount under Code Section 45Y generally is equal to the PTC outlined above for Code Section 45, including the availability of the same increased credit rates under the same circumstances. The PTC under Code Section 45Y applies to kilowatt hours of electricity produced at a “qualified facility,” which generally is a facility, such as a solar energy facility, that generates electricity and has a greenhouse gas emission rate that is not greater than zero.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OBBBA, solar facilities that begin construction after July 4, 2026 (one year after enactment of the OBBBA) are ineligible for the Code Section 45Y credit if placed in service after December 31, 2027. Facilities that begin construction prior to July 4, 2026 are not subject to this accelerated placed-in-service deadline. In addition, IRS guidance interpreting these OBBBA termination provisions imposes more stringent “beginning of construction” requirements, increasing the risk that projects may fail to qualify if development timelines slip or if the taxpayer cannot satisfy the applicable standards. Moreover, the OBBBA denies the Code Section 45Y for certain leased residential solar water heating property (while generally excluding leased solar electric generating property from that denial). A facility is not eligible for the PTC under Code Section 45Y if a tax credit already is allowed with respect to the facility under Code Section 45, 48 or 48E (or certain other tax credit provisions) for the taxable year or any prior taxable year.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ITC, solar energy projects that began construction before January 1, 2025 generally remain eligible for the ITC under Section 48 and are not subject to the accelerated phaseouts or other limitations introduced by the OBBBA. The ITC available under Code Section 48E is the successor provision of Code Section 48 and is applicable for investments in facilities placed in service after December 31, 2024. The ITC under Code Section 48E generally is similar to the ITC outlined above under Code Section 48 in structure, including generally providing for the same increased credit rates under the same circumstances. The ITC under Code Section 48E applies to investments in a “qualified facility” and “energy storage technology”. A “qualified facility” for these purposes generally is the same as described above for the PTC under Code Section 45Y and “energy storage technology” is defined by reference to such term in Code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Section 45Y, solar facilities that begin construction after July 4, 2026 (one year after enactment) are ineligible for the Section 48E credit if placed in service after December 31, 2027. This placed-in-service deadline would not apply to energy storage technology. Moreover, the OBBBA denies the Code Section 48E for certain leased residential solar water heating property (while generally excluding leased solar electric generating property from that denial). The ITC under Code Section 48E is subject to recapture if the Internal Revenue Service determines that the greenhouse gas emissions rate for the facility exceeds a certain threshold. A facility is not eligible for the ITC under Code Section 48E if a tax credit already is allowed with respect to the facility under Code Section 45, 45Y or 48 (or certain other tax credit provisions) for the taxable year or any prior taxable year.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IRA, the Section 25D Credit available to a taxpayer is equal to the “applicable percentage” of expenditures for property that uses solar energy to generate electricity for use in a dwelling unit located in the U.S. and used as a residence by the taxpayer. The applicable percentage is 26% for such systems that are placed in service before January 1, 2022 and 30% for such systems that are placed in service after December 31, 2021. As modified by the OBBBA, the Section 25D Credit terminated with respect to expenditures made after December 31, 2025, and an expenditure generally is treated as made when the original installation of the property is completed (or, in certain cases, when construction or reconstruction is completed and the taxpayer’s original use of the structure begins). The unavailability of the Section 25D Credit for systems when installation is completed after December 31, 2025 likely will impact the prices of our solar energy systems and overall value proposition our solar systems provide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also introduces additional restrictions relating to certain FEOC and supply chain sourcing, which may affect project eligibility and increase compliance costs. On February 12, 2026, the U.S. Treasury Department and Internal Revenue Service released IRS Notice 2026-15, which provides additional guidance regarding the prohibited foreign entity (“PFE”) rules under the OBBBA. In particular, this notice establishes interim safe harbors for determining whether a project receives material assistance from a PFE, including guidance on calculation of the Material Assistance Cost Ratio. While this guidance reduces certain uncertainties, it is interim in nature, and further rulemaking, including a notice of proposed rulemaking and final regulations expected later in 2026, may modify or replace this framework. Such future guidance could impose more restrictive requirements or additional compliance burdens, which may increase our costs and adversely affect our ability, or our customers’ ability, to qualify for applicable tax credits. If we or our customers are unable to satisfy the PFE or related eligibility requirements, it could materially and adversely affect our revenues, results of operations, cash flows and the overall demand for our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has materially reduced the governmental incentives available to participants in the solar industry, which is likely to adversely affect the results of our operations and our ability to compete in this industry by increasing the cost of capital, causing us to increase the prices of our energy and solar energy systems and reduce the size of our addressable market. Even where incentives remain available, evolving statutory requirements and administrative guidance may create uncertainty, increase compliance costs, and delay or reduce tax credit financing, which could disrupt project timelines and harm our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U.S. federal tax credits discussed above have complex legal and operational requirements, including with respect to “beginning of construction” and placed-in-service requirements. There also may be uncertainty as to how such requirements promulgated under the IRA or the OBBBA are interpreted. If Internal Revenue Service guidance regarding implementation of the IRA or the OBBBA is viewed by investors as unclear, tax credit financing may be delayed or downsized, harming our ability to secure financing for customers. Our failure to either (i) interpret the new requirements under the IRA and the OBBBA regarding among other things, timing of construction, prevailing wage, apprenticeship, domestic content, siting in an “energy community,” accurately or (ii) adequately update our supply-chain, manufacturing, installation, and record-keeping processes to meet such requirements, may result a partial or full reduction in the related U.S. federal tax benefit, and our customers, financiers and shareholders may require us to indemnify them for certain of such reductions.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we cannot be certain if the reduced reporting requirements applicable to these companies will make our common stock less attractive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of Section 404 of the Sarbanes-Oxley Act of 2002, as amended (the “</w:t>
            </w:r>
            <w:r>
              <w:rPr>
                <w:rFonts w:ascii="Times New Roman;Times;Serif" w:hAnsi="Times New Roman;Times;Serif"/>
                <w:b/>
                <w:sz w:val="20"/>
              </w:rPr>
              <w:t>Sarbanes-Oxley Act</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any requirement that may be adopted by the Public Company Accounting Oversight Board (the “</w:t>
            </w:r>
            <w:r>
              <w:rPr>
                <w:rFonts w:ascii="Times New Roman;Times;Serif" w:hAnsi="Times New Roman;Times;Serif"/>
                <w:b/>
                <w:sz w:val="20"/>
              </w:rPr>
              <w:t>PCAOB</w:t>
            </w:r>
            <w:r>
              <w:rPr>
                <w:rFonts w:ascii="Times New Roman;Times;Serif" w:hAnsi="Times New Roman;Times;Serif"/>
                <w:sz w:val="20"/>
              </w:rPr>
              <w:t>”) regarding mandatory audit firm rotation or a supplement to the auditor’s report providing additional information about the audit and the financial statements;</w:t>
            </w:r>
          </w:p>
        </w:tc>
      </w:tr>
    </w:tbl>
    <w:p>
      <w:pPr>
        <w:pStyle w:val="TextBody"/>
        <w:bidi w:val="0"/>
        <w:spacing w:before="0" w:after="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05"/>
        <w:gridCol w:w="200"/>
        <w:gridCol w:w="94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in our periodic reports and proxy statements;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nonbinding advisory stockholder votes on executive compensation and stockholder approval of any golden parachute payments not previously approved.</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after we no longer qualify as an emerging growth company, we may still qualify as a “smaller reporting company,” as defined in the Exchange Act, which generally would allow us to continue to take advantage of many of the same exemptions from disclosure requirements, including providing only two years of audited financial statements, not being required to comply with the auditor attestation requirements of Section 404 of the Sarbanes-Oxley Act and reduced disclosure obligations regarding executive compensation our periodic reports and proxy statements, unless we are also an accelerated filer, in which case different requirements will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conditions in our domestic and international markets, as well as inflation concerns, instability of financial institutions, rising interest rates, and recessionary concerns may adversely affect our industry, business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overall demand for our solar energy products and on the economic health and willingness of our customers and potential customers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unfavorable macroeconomic and market conditions have resulted in sustained periods of decreased demand. 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demand for our products as a result of constraints on spending for solar energy systems by our customers and/or a reduction in government subsidies for renewable energy investments;</w:t>
            </w:r>
          </w:p>
        </w:tc>
      </w:tr>
    </w:tbl>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105"/>
        <w:gridCol w:w="200"/>
        <w:gridCol w:w="90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price competition for our products that may adversely affect revenue, gross margin and profitability;</w:t>
            </w:r>
          </w:p>
        </w:tc>
      </w:tr>
    </w:tbl>
    <w:p>
      <w:pPr>
        <w:pStyle w:val="TextBody"/>
        <w:bidi w:val="0"/>
        <w:spacing w:before="0" w:after="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105"/>
        <w:gridCol w:w="200"/>
        <w:gridCol w:w="71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introduction of any disadvantageous trade regulations and import duties and tariffs;</w:t>
            </w:r>
          </w:p>
        </w:tc>
      </w:tr>
    </w:tbl>
    <w:p>
      <w:pPr>
        <w:pStyle w:val="TextBody"/>
        <w:bidi w:val="0"/>
        <w:spacing w:before="0" w:after="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05"/>
        <w:gridCol w:w="200"/>
        <w:gridCol w:w="9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ability to forecast operating results and make decisions about budgeting, planning and future investments;</w:t>
            </w:r>
          </w:p>
        </w:tc>
      </w:tr>
    </w:tbl>
    <w:p>
      <w:pPr>
        <w:pStyle w:val="TextBody"/>
        <w:bidi w:val="0"/>
        <w:spacing w:before="0" w:after="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05"/>
        <w:gridCol w:w="200"/>
        <w:gridCol w:w="56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in the popularity of solar energy as a green energy solution;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tc>
      </w:tr>
    </w:tbl>
    <w:p>
      <w:pPr>
        <w:pStyle w:val="TextBody"/>
        <w:bidi w:val="0"/>
        <w:spacing w:before="0" w:after="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105"/>
        <w:gridCol w:w="200"/>
        <w:gridCol w:w="56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overhead and production costs as a percentage of revenue.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in customer spending in response to unfavorable or uncertain macroeconomic and market conditions, globally or in a particular region where we operate, would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electric generation products is heavily influenced by federal, state and local government laws, geopolitical forces (such as trade policies and tariffs),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trade and policy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geopolitics, trade and local content laws, policies and tariffs,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We cannot predict what actions may be taken by the United States or other countries with respect to trade policies and tariffs or with respect to other policies and incentives that impact the solar industry, or that promote other forms of energy production over the solar industry. Any new regulations or policies pertaining our solar power products may result in significant additional expenses for our customers, which could cause a significant reduction in demand for our solar power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net metering and related policies to offer competitive pricing to customers in many of our current markets and changes to net metering policies may significantly reduce demand for electricity from residential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California, the California Public Utilities Commission (“</w:t>
      </w:r>
      <w:r>
        <w:rPr>
          <w:rFonts w:ascii="Times New Roman;Times;Serif" w:hAnsi="Times New Roman;Times;Serif"/>
          <w:b/>
          <w:i w:val="false"/>
          <w:caps w:val="false"/>
          <w:smallCaps w:val="false"/>
          <w:sz w:val="20"/>
        </w:rPr>
        <w:t>CPUC</w:t>
      </w:r>
      <w:r>
        <w:rPr>
          <w:rFonts w:ascii="Times New Roman;Times;Serif" w:hAnsi="Times New Roman;Times;Serif"/>
          <w:b w:val="false"/>
          <w:i w:val="false"/>
          <w:caps w:val="false"/>
          <w:smallCaps w:val="false"/>
          <w:sz w:val="20"/>
        </w:rPr>
        <w:t>”) issued an order in 2016 retaining retail-based net metering credits for residential customers of California’s major utilities as part of Net Energy Metering 2.0 (“</w:t>
      </w:r>
      <w:r>
        <w:rPr>
          <w:rFonts w:ascii="Times New Roman;Times;Serif" w:hAnsi="Times New Roman;Times;Serif"/>
          <w:b/>
          <w:i w:val="false"/>
          <w:caps w:val="false"/>
          <w:smallCaps w:val="false"/>
          <w:sz w:val="20"/>
        </w:rPr>
        <w:t>NEM 2.0</w:t>
      </w:r>
      <w:r>
        <w:rPr>
          <w:rFonts w:ascii="Times New Roman;Times;Serif" w:hAnsi="Times New Roman;Times;Serif"/>
          <w:b w:val="false"/>
          <w:i w:val="false"/>
          <w:caps w:val="false"/>
          <w:smallCaps w:val="false"/>
          <w:sz w:val="20"/>
        </w:rPr>
        <w:t>”). Under NEM 2.0, new distributed generation customers receive the retail rate for electricity exported to the grid, less certain non-by 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Times;Serif" w:hAnsi="Times New Roman;Times;Serif"/>
          <w:b/>
          <w:i w:val="false"/>
          <w:caps w:val="false"/>
          <w:smallCaps w:val="false"/>
          <w:sz w:val="20"/>
        </w:rPr>
        <w:t>NEM 3.0</w:t>
      </w:r>
      <w:r>
        <w:rPr>
          <w:rFonts w:ascii="Times New Roman;Times;Serif" w:hAnsi="Times New Roman;Times;Serif"/>
          <w:b w:val="false"/>
          <w:i w:val="false"/>
          <w:caps w:val="false"/>
          <w:smallCaps w:val="false"/>
          <w:sz w:val="20"/>
        </w:rPr>
        <w:t>”), also referred to by the CPUC as the NEM 2.0 successor tariff. NEM 3.0 was finalized on December 15, 2022 and includes several changes from previous net metering plans. The changes instituted by NEM 3.0 impacted the amount that homeowners with solar power will be able to recuperate when selling excess energy back to the utility grid. With NEM 3.0, the value of the credits for net exports are tied to the state’s Distributed Energy Resources Avoided Cost Calculator Documentation (“</w:t>
      </w:r>
      <w:r>
        <w:rPr>
          <w:rFonts w:ascii="Times New Roman;Times;Serif" w:hAnsi="Times New Roman;Times;Serif"/>
          <w:b/>
          <w:i w:val="false"/>
          <w:caps w:val="false"/>
          <w:smallCaps w:val="false"/>
          <w:sz w:val="20"/>
        </w:rPr>
        <w:t>ACC</w:t>
      </w:r>
      <w:r>
        <w:rPr>
          <w:rFonts w:ascii="Times New Roman;Times;Serif" w:hAnsi="Times New Roman;Times;Serif"/>
          <w:b w:val="false"/>
          <w:i w:val="false"/>
          <w:caps w:val="false"/>
          <w:smallCaps w:val="false"/>
          <w:sz w:val="20"/>
        </w:rPr>
        <w:t>”). Another significant change with NEM 3.0 relates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 Overall, the institution on NEM 3.0 has resulted in a smaller market for residential solar systems and it is not certain that market conditions will improve or that NEM 3.0 will be amended or replaced with a more solar-friendly rate structure. Other states may adopt policies similar to NEM 3.0 that cause deterioration to other residential solar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shortage, delay or component price change from these suppliers or delays and price increases associated with the product transport logistics could result in sales and installation delays, cancellations and loss of market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solar panels, inverters and other system components from a number of suppliers for certain components; however, we may be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are a limited number of inverter and battery suppliers. Once we design a system for use with a particular inverter or battery, if that type of inverter or battery is not readily available at an anticipated price, we may incur additional delay and expense to redesign the system and source alternative inventory.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our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substantially focuses on solar service agreements and transactions with residential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solar service agreements and transactions with residential customers. Our energy system sales to homeowners utilize power purchase agreements (“</w:t>
      </w:r>
      <w:r>
        <w:rPr>
          <w:rFonts w:ascii="Times New Roman;Times;Serif" w:hAnsi="Times New Roman;Times;Serif"/>
          <w:b/>
          <w:i w:val="false"/>
          <w:caps w:val="false"/>
          <w:smallCaps w:val="false"/>
          <w:sz w:val="20"/>
        </w:rPr>
        <w:t>PPAs</w:t>
      </w:r>
      <w:r>
        <w:rPr>
          <w:rFonts w:ascii="Times New Roman;Times;Serif" w:hAnsi="Times New Roman;Times;Serif"/>
          <w:b w:val="false"/>
          <w:i w:val="false"/>
          <w:caps w:val="false"/>
          <w:smallCaps w:val="false"/>
          <w:sz w:val="20"/>
        </w:rPr>
        <w:t>”), leases, loans and other products and services. We currently offer PPAs and leases through Goodleap, LLC, LightReach, EverBright, LLC, Dividend Solar Loan Company and other financial institutions. If we were unable to arrange new or alternative financing methods for PPAs and leases on favorable terms, our business, financial condition, results of operations, and prospects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operations and growth effectively, we may be unable to execute our business plan, maintain high levels of customer service or adequately address competitive challenges.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recent periods (including through the integration of acquired companies) as measured by our number of customers, and we intend to continue efforts to expand our business within existing and new markets. This growth (including these integration activities)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and may be unable to achieve or sustain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including a net loss from continuing operations of $44.3 million in the fiscal year ended December 28, 2025. We had an accumulated deficit of $451.5 million as of March 29, 2026. Additionally, as of March 29, 2026, we had current indebtedness of $38.0 million and long-term indebtedness, including derivative liabilities, net of current of $131.8 million.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pStyle w:val="TextBody"/>
        <w:bidi w:val="0"/>
        <w:spacing w:before="0" w:after="0"/>
        <w:ind w:left="0" w:right="0" w:firstLine="36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05"/>
        <w:gridCol w:w="200"/>
        <w:gridCol w:w="23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the customer base;</w:t>
            </w:r>
          </w:p>
        </w:tc>
      </w:tr>
    </w:tbl>
    <w:p>
      <w:pPr>
        <w:pStyle w:val="TextBody"/>
        <w:bidi w:val="0"/>
        <w:spacing w:before="0" w:after="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105"/>
        <w:gridCol w:w="200"/>
        <w:gridCol w:w="4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or further lowering the cost of capital;</w:t>
            </w:r>
          </w:p>
        </w:tc>
      </w:tr>
    </w:tbl>
    <w:p>
      <w:pPr>
        <w:pStyle w:val="TextBody"/>
        <w:bidi w:val="0"/>
        <w:spacing w:before="0" w:after="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05"/>
        <w:gridCol w:w="200"/>
        <w:gridCol w:w="52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cost of components for our solar service offerings;</w:t>
            </w:r>
          </w:p>
        </w:tc>
      </w:tr>
    </w:tbl>
    <w:p>
      <w:pPr>
        <w:pStyle w:val="TextBody"/>
        <w:bidi w:val="0"/>
        <w:spacing w:before="0" w:after="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05"/>
        <w:gridCol w:w="200"/>
        <w:gridCol w:w="43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and maintaining our sales partner network;</w:t>
            </w:r>
          </w:p>
        </w:tc>
      </w:tr>
    </w:tbl>
    <w:p>
      <w:pPr>
        <w:pStyle w:val="TextBody"/>
        <w:bidi w:val="0"/>
        <w:spacing w:before="0" w:after="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05"/>
        <w:gridCol w:w="200"/>
        <w:gridCol w:w="58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our direct-to-consumer and New Homes business to scale;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operating costs by lowering customer acquisition costs and optimizing our design and installation processes and supply chain logistics.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do achieve profitability, we may be unable to sustain or increase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material drop in the retail price of utility-generated electricity or electricity from other sources could adversely impact our ability to attract customers, which would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 significant number of new power generation plants, including nuclear, coal, natural gas or renewable energy technologies;</w:t>
            </w:r>
          </w:p>
        </w:tc>
      </w:tr>
    </w:tbl>
    <w:p>
      <w:pPr>
        <w:pStyle w:val="TextBody"/>
        <w:bidi w:val="0"/>
        <w:spacing w:before="0" w:after="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105"/>
        <w:gridCol w:w="200"/>
        <w:gridCol w:w="60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additional electric transmission and distribution lines;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reduction in the price of natural gas or other natural resources as a result of new drilling techniques or other technological developments, a relaxation of associated regulatory standards, or broader economic or policy developments;</w:t>
            </w:r>
          </w:p>
        </w:tc>
      </w:tr>
    </w:tbl>
    <w:p>
      <w:pPr>
        <w:pStyle w:val="TextBody"/>
        <w:bidi w:val="0"/>
        <w:spacing w:before="0" w:after="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105"/>
        <w:gridCol w:w="200"/>
        <w:gridCol w:w="74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energy conservation technologies and public initiatives to reduce electricity consumption;</w:t>
            </w:r>
          </w:p>
        </w:tc>
      </w:tr>
    </w:tbl>
    <w:p>
      <w:pPr>
        <w:pStyle w:val="TextBody"/>
        <w:bidi w:val="0"/>
        <w:spacing w:before="0" w:after="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105"/>
        <w:gridCol w:w="200"/>
        <w:gridCol w:w="91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subsidies impacting electricity prices, including in connection with electricity generation and transmission; and</w:t>
            </w:r>
          </w:p>
        </w:tc>
      </w:tr>
    </w:tbl>
    <w:p>
      <w:pPr>
        <w:pStyle w:val="TextBody"/>
        <w:bidi w:val="0"/>
        <w:spacing w:before="0" w:after="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105"/>
        <w:gridCol w:w="200"/>
        <w:gridCol w:w="63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new energy technologies that provide less expensive energy.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both traditional energy companies and renewable energy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utilities’ diversified generation portfolios which may allow utilities to sell electricity more cheaply than electricity generated by our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depends on the widespread adoption of solar power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may affect the demand for solar energy systems, including, but not limited to,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substance and magnitude of solar support programs including government targets, subsidies, incentives, renewable portfolio standards and residential net metering rules;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pricing of other conventional and non-renewable energy sources, such as natural gas, coal, oil and other fossil fuels, wind, utility-scale solar, nuclear, geothermal and biomass;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reliability and availability of energy generated by solar energy systems compared to conventional and other non-solar renewable energy sources;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tc>
      </w:tr>
    </w:tbl>
    <w:p>
      <w:pPr>
        <w:pStyle w:val="TextBody"/>
        <w:bidi w:val="0"/>
        <w:spacing w:before="0" w:after="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105"/>
        <w:gridCol w:w="200"/>
        <w:gridCol w:w="48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and the level of interest rates.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seasonal trends, poor weather, labor shortages, and construction cycles.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industry-specific seasonal fluctuations. In the U.S., many customers make purchasing decisions towards the end of the year in order to take advantage of tax credits and residential solar sales tend to decline during the winter months. In addition, sales in the new home development market are often tied to construction market demands, which tend to follow national trends in construction, including declining sales during cold weather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Natural disasters, terrorist activities, political unrest, economic volatility, and other outbreaks could disrupt our delivery and operations,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credit risk of customers and our finance partners, and payment delinquencies on accounts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by customers and the financial institutions that fund some of our customers’ solar systems have not been material to date, but we expect that the risk of customer defaults or financial partner defaults may increase as we grow our business. For example, Sunnova Energy International, Inc. (“Sunnova”), a major provider of financing for solar systems, announced that substantial doubt exists regarding its ability to continue as a going concern. While the Company does not use Sunnova for any of its customer financing, if any of our financing partners experience liquidity concerns or stop funding projects, we may incur significant losses or project delays. If any of our customers are unable to make milestone payments on systems purchased in cash, our revenue and costs could be adversely affected. If economic conditions worsen, certain of our customers or finance partners may face liquidity concerns and may be unable to satisfy their payment obligations to us on a timely basis or at all, which could have a material adverse effect on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the anticipated benefits of past or future acquisitions, including the transactions under the asset purchase agreement with the SunPower Debtors, the Sunder Acquisition, the Ambia Acquisition and the Cobalt Acquisition and integration of these acquisitions may disrupt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we acquired The Solaria Corporation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On September 30, 2024, we completed the acquisition of the Acquired SunPower Assets under the APA with the SunPower Debtors, which resulted in our acquisition of the SunPower Businesses and a significant expansion of our business operations and headcount. On September 21, 2025, we entered into an agreement to acquire Sunder and completed the Sunder Acquisition effective September 24, 2025. On November 21, 2025, we entered into an agreement to acquire Ambia and completed the Ambia Acquisition on November 21, 2025. We completed the acquisition of Cobalt on February 2, 2026.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 has numerous risks, including, but not limited to, the following:</w:t>
      </w:r>
    </w:p>
    <w:p>
      <w:pPr>
        <w:pStyle w:val="TextBody"/>
        <w:bidi w:val="0"/>
        <w:spacing w:before="0" w:after="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05"/>
        <w:gridCol w:w="200"/>
        <w:gridCol w:w="6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assimilating the operations and personnel of the acquired company;</w:t>
            </w:r>
          </w:p>
        </w:tc>
      </w:tr>
    </w:tbl>
    <w:p>
      <w:pPr>
        <w:pStyle w:val="TextBody"/>
        <w:bidi w:val="0"/>
        <w:spacing w:before="0" w:after="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05"/>
        <w:gridCol w:w="200"/>
        <w:gridCol w:w="93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effectively integrating the acquired technologies or products with current products and technologies;</w:t>
            </w:r>
          </w:p>
        </w:tc>
      </w:tr>
    </w:tbl>
    <w:p>
      <w:pPr>
        <w:pStyle w:val="TextBody"/>
        <w:bidi w:val="0"/>
        <w:spacing w:before="0" w:after="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105"/>
        <w:gridCol w:w="200"/>
        <w:gridCol w:w="78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maintaining controls, procedures and policies during the transition and integration;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 of ongoing business and distraction of management and employees from other opportunities and challenges due to integration issues;</w:t>
            </w:r>
          </w:p>
        </w:tc>
      </w:tr>
    </w:tbl>
    <w:p>
      <w:pPr>
        <w:pStyle w:val="TextBody"/>
        <w:bidi w:val="0"/>
        <w:spacing w:before="0" w:after="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105"/>
        <w:gridCol w:w="200"/>
        <w:gridCol w:w="96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integrating the acquired company’s accounting, management information and other administrative systems;</w:t>
            </w:r>
          </w:p>
        </w:tc>
      </w:tr>
    </w:tbl>
    <w:p>
      <w:pPr>
        <w:pStyle w:val="TextBody"/>
        <w:bidi w:val="0"/>
        <w:spacing w:before="0" w:after="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05"/>
        <w:gridCol w:w="200"/>
        <w:gridCol w:w="68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technical and managerial personnel of the acquired business;</w:t>
            </w:r>
          </w:p>
        </w:tc>
      </w:tr>
    </w:tbl>
    <w:p>
      <w:pPr>
        <w:pStyle w:val="TextBody"/>
        <w:bidi w:val="0"/>
        <w:spacing w:before="0" w:after="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customers, vendors, and other business partners of the acquired business;</w:t>
            </w:r>
          </w:p>
        </w:tc>
      </w:tr>
    </w:tbl>
    <w:p>
      <w:pPr>
        <w:pStyle w:val="TextBody"/>
        <w:bidi w:val="0"/>
        <w:spacing w:before="0" w:after="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achieve the financial and strategic goals for the acquired and combined businesses;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incurring acquisition-related costs or amortization costs for acquired intangible assets that could impact operating results;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due diligence processes to identify significant issues with product quality, legal and financial liabilities, among other things;</w:t>
            </w:r>
          </w:p>
        </w:tc>
      </w:tr>
    </w:tbl>
    <w:p>
      <w:pPr>
        <w:pStyle w:val="TextBody"/>
        <w:bidi w:val="0"/>
        <w:spacing w:before="0" w:after="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105"/>
        <w:gridCol w:w="200"/>
        <w:gridCol w:w="66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assert that internal controls over financial reporting are effective;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or obtain in a timely manner, approvals from governmental authorities, which could delay or prevent such acquisitions.</w:t>
            </w:r>
          </w:p>
        </w:tc>
      </w:tr>
    </w:tbl>
    <w:p>
      <w:pPr>
        <w:pStyle w:val="TextBody"/>
        <w:bidi w:val="0"/>
        <w:spacing w:before="0" w:after="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05"/>
        <w:gridCol w:w="200"/>
        <w:gridCol w:w="76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inability to rebuild trust with home builders due to the bankruptcy of the SunPower Debtors. </w:t>
            </w:r>
          </w:p>
        </w:tc>
      </w:tr>
    </w:tbl>
    <w:p>
      <w:pPr>
        <w:pStyle w:val="TextBody"/>
        <w:bidi w:val="0"/>
        <w:spacing w:before="0" w:after="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105"/>
        <w:gridCol w:w="200"/>
        <w:gridCol w:w="94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advantageous financing arrangements with financiers in order to pass the saving on to customers.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file claims against other parties for infringing its intellectual property that may be costly and may not be resolved in its favor.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technology or improvements in distributed solar energy generation and related technologies or components may materially adversely affect demand for our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complex and evolving data protection laws. Many of these laws and regulations are subject to change and uncertain interpretation and could result in claims, increased cost of operations or otherwise harm its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Times;Serif" w:hAnsi="Times New Roman;Times;Serif"/>
          <w:b/>
          <w:i w:val="false"/>
          <w:caps w:val="false"/>
          <w:smallCaps w:val="false"/>
          <w:sz w:val="20"/>
        </w:rPr>
        <w:t>CCPA</w:t>
      </w:r>
      <w:r>
        <w:rPr>
          <w:rFonts w:ascii="Times New Roman;Times;Serif" w:hAnsi="Times New Roman;Times;Serif"/>
          <w:b w:val="false"/>
          <w:i w:val="false"/>
          <w:caps w:val="false"/>
          <w:smallCaps w:val="false"/>
          <w:sz w:val="20"/>
        </w:rPr>
        <w:t>”) and California voters recently approved the California Privacy Rights Act (“</w:t>
      </w:r>
      <w:r>
        <w:rPr>
          <w:rFonts w:ascii="Times New Roman;Times;Serif" w:hAnsi="Times New Roman;Times;Serif"/>
          <w:b/>
          <w:i w:val="false"/>
          <w:caps w:val="false"/>
          <w:smallCaps w:val="false"/>
          <w:sz w:val="20"/>
        </w:rPr>
        <w:t>CPRA</w:t>
      </w:r>
      <w:r>
        <w:rPr>
          <w:rFonts w:ascii="Times New Roman;Times;Serif" w:hAnsi="Times New Roman;Times;Serif"/>
          <w:b w:val="false"/>
          <w:i w:val="false"/>
          <w:caps w:val="false"/>
          <w:smallCaps w:val="false"/>
          <w:sz w:val="20"/>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the Company’s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U.S., an increasing number of laws, regulations, and industry standards may govern data privacy and security. For example, the European Union’s General Data Protection Regulation (“</w:t>
      </w:r>
      <w:r>
        <w:rPr>
          <w:rFonts w:ascii="Times New Roman;Times;Serif" w:hAnsi="Times New Roman;Times;Serif"/>
          <w:b/>
          <w:i w:val="false"/>
          <w:caps w:val="false"/>
          <w:smallCaps w:val="false"/>
          <w:sz w:val="20"/>
        </w:rPr>
        <w:t>EU GDPR</w:t>
      </w:r>
      <w:r>
        <w:rPr>
          <w:rFonts w:ascii="Times New Roman;Times;Serif" w:hAnsi="Times New Roman;Times;Serif"/>
          <w:b w:val="false"/>
          <w:i w:val="false"/>
          <w:caps w:val="false"/>
          <w:smallCaps w:val="false"/>
          <w:sz w:val="20"/>
        </w:rPr>
        <w:t>”) and the United Kingdom’s GDPR (“</w:t>
      </w:r>
      <w:r>
        <w:rPr>
          <w:rFonts w:ascii="Times New Roman;Times;Serif" w:hAnsi="Times New Roman;Times;Serif"/>
          <w:b/>
          <w:i w:val="false"/>
          <w:caps w:val="false"/>
          <w:smallCaps w:val="false"/>
          <w:sz w:val="20"/>
        </w:rPr>
        <w:t>UK GDPR</w:t>
      </w:r>
      <w:r>
        <w:rPr>
          <w:rFonts w:ascii="Times New Roman;Times;Serif" w:hAnsi="Times New Roman;Times;Serif"/>
          <w:b w:val="false"/>
          <w:i w:val="false"/>
          <w:caps w:val="false"/>
          <w:smallCaps w:val="false"/>
          <w:sz w:val="20"/>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Times;Serif" w:hAnsi="Times New Roman;Times;Serif"/>
          <w:b/>
          <w:i w:val="false"/>
          <w:caps w:val="false"/>
          <w:smallCaps w:val="false"/>
          <w:sz w:val="20"/>
        </w:rPr>
        <w:t>EEA</w:t>
      </w:r>
      <w:r>
        <w:rPr>
          <w:rFonts w:ascii="Times New Roman;Times;Serif" w:hAnsi="Times New Roman;Times;Serif"/>
          <w:b w:val="false"/>
          <w:i w:val="false"/>
          <w:caps w:val="false"/>
          <w:smallCaps w:val="false"/>
          <w:sz w:val="20"/>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the Company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unauthorized access to or disclosure or theft of personal information we gather, store or use could harm our reputation and subject us to claims or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laws and regulations relating to interactions by the Company or its dealers with current or prospective residential customers, it could result in negative publicity, claims, investigations and litigation and adversely affect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home improvement contracts for the installation of solar systems for residential customers. We offer leases, loans and other products and services directly to consumers and through sales partners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Times;Serif" w:hAnsi="Times New Roman;Times;Serif"/>
          <w:b w:val="false"/>
          <w:i/>
          <w:caps w:val="false"/>
          <w:smallCaps w:val="false"/>
          <w:sz w:val="20"/>
        </w:rPr>
        <w:t>As sales to residential customers have grown, we have increasingly become subject to substantial financing and consumer protection laws and regulations.</w:t>
      </w:r>
      <w:r>
        <w:rPr>
          <w:rFonts w:ascii="Times New Roman;Times;Serif" w:hAnsi="Times New Roman;Times;Serif"/>
          <w:b w:val="false"/>
          <w:i w:val="false"/>
          <w:caps w:val="false"/>
          <w:smallCaps w:val="false"/>
          <w:sz w:val="20"/>
        </w:rPr>
        <w:t>” These laws and regulations are dynamic and subject to potentially differing interpretations and 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that these requirements may be interpreted and applied in a manner inconsistent from one jurisdiction to another and may conflict with other rules or our practices or the practices of our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included in lawsuits brought by the consumer customers of certain contractors in our networks, citing claims based on the sales practices of these contractors.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introducing new services and product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our brand and reputation or change or loss of use of our brand could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significantly on our reputation for high-quality products, excellent customer service and the brand name “SunPower”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to no longer use, lose the right to continue to use or if others use the “SunPower”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success depends on the continuing contributions of key personnel, including Thurman J. Rodgers. If we are unable to attract and retain key employees and qualified personnel, our business and prospects could be harmed.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the services of our key executive officers and other key employees, in particular Thurman J. Rodgers, and the loss of services of any principal member of the management team or other key employees could adversely affect our operations. There have been, and from time to time there may continue to be, changes in our management team resulting from the hiring or departure of executives and key employees, or the transition of executives within our business, which could disrupt our business. For example, during 2024, 2025 and early 2026, we had turnover in key positions, including our Chief Executive Officer and our Chief Financial Officer. As a result of the SunPower Acquisition, the Sunder Acquisition, the Ambia Acquisition and the Cobalt Acquisition, we also appointed new employees to key positions and restructured our management reporting lines. Such changes in our executive management team or workforce may be disruptive to our business, divert management’s attention, result in a loss of knowledge and negatively impact employee morale. 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investing significant resources in developing new members of management as we complete our restructuring and strategic transformation, including as a result of the SunPower Acquisition.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The failure to attract, integrate, train, motivate and retain these personnel could seriously harm our business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dealers or suppliers fail to hire and retain sufficient employees and service providers in key functions, our growth and ability to timely complete customer projects and successfully manage customer accounts would be constrained.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ability to grow may fluctuate from quarter to quarter and year to year, which could make future performance difficult to predict and could cause operating results for a particular period to fall below expectations.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pStyle w:val="TextBody"/>
        <w:bidi w:val="0"/>
        <w:spacing w:before="0" w:after="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105"/>
        <w:gridCol w:w="200"/>
        <w:gridCol w:w="54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or initiation of any governmental rebates or incentives;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fluctuations in customer demand for our solar energy services, solar energy systems and energy storage systems;</w:t>
            </w:r>
          </w:p>
        </w:tc>
      </w:tr>
    </w:tbl>
    <w:p>
      <w:pPr>
        <w:pStyle w:val="TextBody"/>
        <w:bidi w:val="0"/>
        <w:spacing w:before="0" w:after="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105"/>
        <w:gridCol w:w="200"/>
        <w:gridCol w:w="53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dealers’ ability to complete installations in a timely manner;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dealers’ ability to gain interconnection permission for an installed solar energy system from the relevant utility;</w:t>
            </w:r>
          </w:p>
        </w:tc>
      </w:tr>
    </w:tbl>
    <w:p>
      <w:pPr>
        <w:pStyle w:val="TextBody"/>
        <w:bidi w:val="0"/>
        <w:spacing w:before="0" w:after="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05"/>
        <w:gridCol w:w="200"/>
        <w:gridCol w:w="44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terms and costs of suitable financing;</w:t>
            </w:r>
          </w:p>
        </w:tc>
      </w:tr>
    </w:tbl>
    <w:p>
      <w:pPr>
        <w:pStyle w:val="TextBody"/>
        <w:bidi w:val="0"/>
        <w:spacing w:before="0" w:after="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105"/>
        <w:gridCol w:w="200"/>
        <w:gridCol w:w="82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timing of sales and potential decreases in value of Solar Renewable Energy Certificates;</w:t>
            </w:r>
          </w:p>
        </w:tc>
      </w:tr>
    </w:tbl>
    <w:p>
      <w:pPr>
        <w:pStyle w:val="TextBody"/>
        <w:bidi w:val="0"/>
        <w:spacing w:before="0" w:after="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05"/>
        <w:gridCol w:w="200"/>
        <w:gridCol w:w="95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expand its operations and the amount and timing of expenditures related to this expansion;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or capital-raising activities or commitments;</w:t>
            </w:r>
          </w:p>
        </w:tc>
      </w:tr>
    </w:tbl>
    <w:p>
      <w:pPr>
        <w:pStyle w:val="TextBody"/>
        <w:bidi w:val="0"/>
        <w:spacing w:before="0" w:after="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05"/>
        <w:gridCol w:w="200"/>
        <w:gridCol w:w="84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policies or terms or those of competitors, including centralized electric utilities;</w:t>
            </w:r>
          </w:p>
        </w:tc>
      </w:tr>
    </w:tbl>
    <w:p>
      <w:pPr>
        <w:pStyle w:val="TextBody"/>
        <w:bidi w:val="0"/>
        <w:spacing w:before="0" w:after="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105"/>
        <w:gridCol w:w="200"/>
        <w:gridCol w:w="89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competitors’ businesses, technology or the competitive landscape; and</w:t>
            </w:r>
          </w:p>
        </w:tc>
      </w:tr>
    </w:tbl>
    <w:p>
      <w:pPr>
        <w:pStyle w:val="TextBody"/>
        <w:bidi w:val="0"/>
        <w:spacing w:before="0" w:after="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or other weather or meteorological conditions.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or other reasons, the results of any prior quarterly or annual periods should not be relied upon as indications of our future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insurance on the terms of any available insurance coverage could be materially adversely affected by international, national, state or local events or company-specific events, as well as the financial condition of insurers.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policies cover legal and contractual liabilities arising out of bodily injury, personal injury or property damage to third parties and are subject to policy limits.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Times;Serif" w:hAnsi="Times New Roman;Times;Serif"/>
          <w:b w:val="false"/>
          <w:i/>
          <w:caps w:val="false"/>
          <w:smallCaps w:val="false"/>
          <w:sz w:val="20"/>
        </w:rPr>
        <w:t>We may be required to file claims against other parties for infringing its intellectual property that may be costly and may not be resolved in our favor</w:t>
      </w:r>
      <w:r>
        <w:rPr>
          <w:rFonts w:ascii="Times New Roman;Times;Serif" w:hAnsi="Times New Roman;Times;Serif"/>
          <w:b w:val="false"/>
          <w:i w:val="false"/>
          <w:caps w:val="false"/>
          <w:smallCaps w:val="false"/>
          <w:sz w:val="20"/>
        </w:rPr>
        <w:t>.” We rely substantially upon trade secret laws and contractual restrictions to protect our proprietary rights, and, if these rights are not sufficiently protected, our ability to compete and generate revenue could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sales to residential customers have grown, we have increasingly become subject to consumer protection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often required, at the request of our end customer, to undertake certain obligations such as:</w:t>
      </w:r>
    </w:p>
    <w:p>
      <w:pPr>
        <w:pStyle w:val="TextBody"/>
        <w:bidi w:val="0"/>
        <w:spacing w:before="0" w:after="0"/>
        <w:ind w:left="0" w:right="0" w:firstLine="36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05"/>
        <w:gridCol w:w="200"/>
        <w:gridCol w:w="35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output performance warranties; and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3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maintenance.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construction, cost overruns, delays, regulatory compliance and other contingencies, any of which could have a material adverse effect on its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Times;Serif" w:hAnsi="Times New Roman;Times;Serif"/>
          <w:b/>
          <w:i w:val="false"/>
          <w:caps w:val="false"/>
          <w:smallCaps w:val="false"/>
          <w:sz w:val="20"/>
        </w:rPr>
        <w:t>CSLB</w:t>
      </w:r>
      <w:r>
        <w:rPr>
          <w:rFonts w:ascii="Times New Roman;Times;Serif" w:hAnsi="Times New Roman;Times;Serif"/>
          <w:b w:val="false"/>
          <w:i w:val="false"/>
          <w:caps w:val="false"/>
          <w:smallCaps w:val="false"/>
          <w:sz w:val="20"/>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or our installation partners may face construction delays or cost overruns, which may adversely affect our or our sales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occupational safety and health requirements and best practices can be costly, and noncompliance with such requirements may result in potentially significant penalties, operational delays and adverse publicity.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w:t>
      </w:r>
      <w:r>
        <w:rPr>
          <w:rFonts w:ascii="Times New Roman;Times;Serif" w:hAnsi="Times New Roman;Times;Serif"/>
          <w:b/>
          <w:i w:val="false"/>
          <w:caps w:val="false"/>
          <w:smallCaps w:val="false"/>
          <w:sz w:val="20"/>
        </w:rPr>
        <w:t>OSHA</w:t>
      </w:r>
      <w:r>
        <w:rPr>
          <w:rFonts w:ascii="Times New Roman;Times;Serif" w:hAnsi="Times New Roman;Times;Serif"/>
          <w:b w:val="false"/>
          <w:i w:val="false"/>
          <w:caps w:val="false"/>
          <w:smallCaps w:val="false"/>
          <w:sz w:val="20"/>
        </w:rPr>
        <w:t>”) and the Department of Transportation (“</w:t>
      </w:r>
      <w:r>
        <w:rPr>
          <w:rFonts w:ascii="Times New Roman;Times;Serif" w:hAnsi="Times New Roman;Times;Serif"/>
          <w:b/>
          <w:i w:val="false"/>
          <w:caps w:val="false"/>
          <w:smallCaps w:val="false"/>
          <w:sz w:val="20"/>
        </w:rPr>
        <w:t>DOT</w:t>
      </w:r>
      <w:r>
        <w:rPr>
          <w:rFonts w:ascii="Times New Roman;Times;Serif" w:hAnsi="Times New Roman;Times;Serif"/>
          <w:b w:val="false"/>
          <w:i w:val="false"/>
          <w:caps w:val="false"/>
          <w:smallCaps w:val="false"/>
          <w:sz w:val="20"/>
        </w:rPr>
        <w: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has benefited from the declining cost of solar energy system components, but it may be harmed if the cost of such components stabilizes or increases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claims against us could result in adverse publicity and potentially significant monetary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warranty costs may exceed the warranty reserve.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warranties that cover parts performance and labor to purchasers of our solar modules. We also have legacy warranty and performance obligations from our former business manufacturing solar panels.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claims and legal proceedings that arise from normal business activities. In addition, from time to time, third parties have asserted and may in the future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including the legal claims noted below,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12 - Commitments and Contingencies” in the notes to consolidated financial statements included elsewhere in this prospectus for a further discussion of the legal claims summarized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provided in Note 12, on February 22, 2024, the court in the case issued an order against certain subsidiaries of the Company which awarded Siemens approximately $6.9 million.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We have appealed these judgments. On August 19, 2024, Siemens applied for the enforcement to a sister state judgment in the Superior Court of Alameda, California and the court entered a judgement in favor of Siemens. On December 9, 2024, Siemens moved to amend the judgment to add the Company as a judgement debtor. Our subsidiaries opposed the Siemens motion. The court heard the motion by submission on April 3, 2025, but has not yet issued a ruling. The Company recognized $6.9 million as a legal loss related to this litigation in 2023, and in 2024, the Company recorded an additional accrual for $2.0 million for attorneys’ fees, expenses, and pre-judgment interest, in accrued expenses and other current liabilities within its consolidated balance sheet as of December 29, 2024. This legal loss was recognized in fiscal 2024 in loss from discontinued operations, net of tax on the consolidated statements of operations and comprehensive loss. The Company had liability of $6.9 million recorded as a legal loss related to this litigation, excluding amounts for attorneys’ fees and costs, in accrued expenses and other current liabilities within its consolidated balance sheet at December 29, 2024. 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has agreed to pay Siemens $9.5 million as follows: $4.75 million was payable prior to April 30, 2026 and a payment of $2.375 million is due on each of September 30, 2026 and December 31, 2026. If the Company successfully engages in one or more financing transactions with $5.0 million or more after the Company’s issuances of the 10.0% convertible senior secured notes due 2029, any remaining payments to Siemens (if any) will become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management’s attention and affect our ability to attract and retain qualified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SunPower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carryforwards and certain other tax attributes may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w:t>
      </w:r>
      <w:r>
        <w:rPr>
          <w:rFonts w:ascii="Times New Roman;Times;Serif" w:hAnsi="Times New Roman;Times;Serif"/>
          <w:b/>
          <w:i w:val="false"/>
          <w:caps w:val="false"/>
          <w:smallCaps w:val="false"/>
          <w:sz w:val="20"/>
        </w:rPr>
        <w:t>NOL</w:t>
      </w:r>
      <w:r>
        <w:rPr>
          <w:rFonts w:ascii="Times New Roman;Times;Serif" w:hAnsi="Times New Roman;Times;Serif"/>
          <w:b w:val="false"/>
          <w:i w:val="false"/>
          <w:caps w:val="false"/>
          <w:smallCaps w:val="false"/>
          <w:sz w:val="20"/>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resell all, some or none of such the shares of common stock offered hereunder at any time or from time to time in their discretion and at different prices. As a result, investors who purchase shares from the Selling Securityholders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Securityholders in this offering as a result of future sales made by us to third parties under our existing equity lines of credit at prices lower than the prices such investors paid for their shares in this offering. In addition, if we sell or issue a substantial number of shares to third parties under our existing equity lines of credit or pursuant to conversions of our Convertible Senior Notes, respectively, or if investors expect that we will do so, the actual sales of shares or the mere existence of our arrangements with third parties and the Selling Securityholders may make it more difficult for us to sell equity or equity-related securities in the future at a time and at a price that we might otherwise wish to effect such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by our existing stockholders could cause the price of our shares of common stock to fall.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can resell, under this prospectus, up to 65,385,828 shares of common stock from time to time after the date of this prospectus relating to the Offered Securities. If all of the 65,385,828 shares offered for resale by the Selling Stockholders under this prospectus were issued and outstanding as of the date hereof (without taking into account the any limitations on exercise in any securities convertible into the Offered Securities), such shares would represent approximately 30.3% of the total number of outstanding shares of common stock and approximately 44.2% of the total number of outstanding shares of common stock held by non-affiliates, in each case as of June 22,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shares of common stock in the public market by the Selling Securityholders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Times;Serif" w:hAnsi="Times New Roman;Times;Serif"/>
          <w:b w:val="false"/>
          <w:i/>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Other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executive officers and principal stockholders will continue to have significant influence over our company, which could limit your ability to influence the outcome of key transactions, including a change of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executive officers and each of our 5% stockholders and their affiliates, in the aggregate, beneficially own approximately 48.3% of the outstanding shares of our common stock, based on the number of shares outstanding as of June 22, 2026 (including all convertible securities and securities that such holders have the right to acquire within 60 days following June 22, 2026). As a result, these stockholders, if acting together, will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common stock may be volatile,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w:t>
      </w:r>
    </w:p>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us;</w:t>
            </w:r>
          </w:p>
        </w:tc>
      </w:tr>
    </w:tbl>
    <w:p>
      <w:pPr>
        <w:pStyle w:val="TextBody"/>
        <w:bidi w:val="0"/>
        <w:spacing w:before="0" w:after="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05"/>
        <w:gridCol w:w="200"/>
        <w:gridCol w:w="53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bl>
    <w:p>
      <w:pPr>
        <w:pStyle w:val="TextBody"/>
        <w:bidi w:val="0"/>
        <w:spacing w:before="0" w:after="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05"/>
        <w:gridCol w:w="200"/>
        <w:gridCol w:w="19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of competitors;</w:t>
            </w:r>
          </w:p>
        </w:tc>
      </w:tr>
    </w:tbl>
    <w:p>
      <w:pPr>
        <w:pStyle w:val="TextBody"/>
        <w:bidi w:val="0"/>
        <w:spacing w:before="0" w:after="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105"/>
        <w:gridCol w:w="200"/>
        <w:gridCol w:w="88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failing to meet the expectation of securities analysts or investors in a particular period;</w:t>
            </w:r>
          </w:p>
        </w:tc>
      </w:tr>
    </w:tbl>
    <w:p>
      <w:pPr>
        <w:pStyle w:val="TextBody"/>
        <w:bidi w:val="0"/>
        <w:spacing w:before="0" w:after="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105"/>
        <w:gridCol w:w="200"/>
        <w:gridCol w:w="93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bl>
    <w:p>
      <w:pPr>
        <w:pStyle w:val="TextBody"/>
        <w:bidi w:val="0"/>
        <w:spacing w:before="0" w:after="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05"/>
        <w:gridCol w:w="200"/>
        <w:gridCol w:w="78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us;</w:t>
            </w:r>
          </w:p>
        </w:tc>
      </w:tr>
    </w:tbl>
    <w:p>
      <w:pPr>
        <w:pStyle w:val="TextBody"/>
        <w:bidi w:val="0"/>
        <w:spacing w:before="0" w:after="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05"/>
        <w:gridCol w:w="200"/>
        <w:gridCol w:w="35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product candidates;</w:t>
            </w:r>
          </w:p>
        </w:tc>
      </w:tr>
    </w:tbl>
    <w:p>
      <w:pPr>
        <w:pStyle w:val="TextBody"/>
        <w:bidi w:val="0"/>
        <w:spacing w:before="0" w:after="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bl>
    <w:p>
      <w:pPr>
        <w:pStyle w:val="TextBody"/>
        <w:bidi w:val="0"/>
        <w:spacing w:before="0" w:after="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05"/>
        <w:gridCol w:w="200"/>
        <w:gridCol w:w="51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bl>
    <w:p>
      <w:pPr>
        <w:pStyle w:val="TextBody"/>
        <w:bidi w:val="0"/>
        <w:spacing w:before="0" w:after="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105"/>
        <w:gridCol w:w="200"/>
        <w:gridCol w:w="86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bl>
    <w:p>
      <w:pPr>
        <w:pStyle w:val="TextBody"/>
        <w:bidi w:val="0"/>
        <w:spacing w:before="0" w:after="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shares of our securities available for public sale</w:t>
            </w:r>
          </w:p>
        </w:tc>
      </w:tr>
    </w:tbl>
    <w:p>
      <w:pPr>
        <w:pStyle w:val="TextBody"/>
        <w:bidi w:val="0"/>
        <w:spacing w:before="0" w:after="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05"/>
        <w:gridCol w:w="200"/>
        <w:gridCol w:w="49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bl>
    <w:p>
      <w:pPr>
        <w:pStyle w:val="TextBody"/>
        <w:bidi w:val="0"/>
        <w:spacing w:before="0" w:after="0"/>
        <w:ind w:left="0" w:right="0" w:firstLine="337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common stock by our Directors, executive officers or significant stockholders or the perception that such sales could occur;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fuel prices, international currency fluctuations and acts of war or terrorism.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market for our securities may not continue, which would adversely affect the liquidity and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compliance with the requirements for listing our common stock on Nasdaq. On April 28, 2025, we received a letter from the Listing Qualifications staff of Nasdaq (the “</w:t>
      </w:r>
      <w:r>
        <w:rPr>
          <w:rFonts w:ascii="Times New Roman;Times;Serif" w:hAnsi="Times New Roman;Times;Serif"/>
          <w:b/>
          <w:i w:val="false"/>
          <w:caps w:val="false"/>
          <w:smallCaps w:val="false"/>
          <w:sz w:val="20"/>
        </w:rPr>
        <w:t>Nasdaq Staff</w:t>
      </w:r>
      <w:r>
        <w:rPr>
          <w:rFonts w:ascii="Times New Roman;Times;Serif" w:hAnsi="Times New Roman;Times;Serif"/>
          <w:b w:val="false"/>
          <w:i w:val="false"/>
          <w:caps w:val="false"/>
          <w:smallCaps w:val="false"/>
          <w:sz w:val="20"/>
        </w:rPr>
        <w:t>”) indicating that, as a result of our delay in filing the Company’s Annual Report on Form 10-K for the year ended December 29, 2024 (the “</w:t>
      </w:r>
      <w:r>
        <w:rPr>
          <w:rFonts w:ascii="Times New Roman;Times;Serif" w:hAnsi="Times New Roman;Times;Serif"/>
          <w:b/>
          <w:i w:val="false"/>
          <w:caps w:val="false"/>
          <w:smallCaps w:val="false"/>
          <w:sz w:val="20"/>
        </w:rPr>
        <w:t>2024 Form 10-K</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had no immediate effect on the listing or trading of our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We filed our 2024 Form 10-K on April 30, 2025. Subsequently, on November 19, 2025, we received a notice from the Nasdaq staff indicating that, as a result of our delay in filing the Company’s Quarterly Report on Form 10-Q for the quarter ended September 28, 2025 (the “</w:t>
      </w:r>
      <w:r>
        <w:rPr>
          <w:rFonts w:ascii="Times New Roman;Times;Serif" w:hAnsi="Times New Roman;Times;Serif"/>
          <w:b/>
          <w:i w:val="false"/>
          <w:caps w:val="false"/>
          <w:smallCaps w:val="false"/>
          <w:sz w:val="20"/>
        </w:rPr>
        <w:t>Q3 Form 10-Q</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relating to our Q3 Form 10-Q had no immediate effect on the listing or trading of our common stock or warrants. The Nasdaq letter stated that, under Nasdaq rules, the Company had 60 calendar days to submit a plan to regain compliance with Nasdaq’s continued listing requirements. We filed the Q3 Form 10-Q on December 19,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the listing standards, we and our stockholders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05"/>
        <w:gridCol w:w="200"/>
        <w:gridCol w:w="49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common stock is a “penny stock” which will require brokers trading in our common stock to adhere to more stringent rules, possibly resulting in a reduced level of trading activity in the secondary trading market for our common stock;</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analyst coverage; and a decreased ability to issue additional securities or obtain additional financing in the future.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by our shareholders could cause the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Certificate of Incorporation and Bylaws and provisions of the Delaware General Corporation Law may delay or prevent an acquisition by a third party that could otherwise be in the interests of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pStyle w:val="TextBody"/>
        <w:bidi w:val="0"/>
        <w:spacing w:before="0" w:after="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05"/>
        <w:gridCol w:w="200"/>
        <w:gridCol w:w="66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director nominations;</w:t>
            </w:r>
          </w:p>
        </w:tc>
      </w:tr>
    </w:tbl>
    <w:p>
      <w:pPr>
        <w:pStyle w:val="TextBody"/>
        <w:bidi w:val="0"/>
        <w:spacing w:before="0" w:after="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105"/>
        <w:gridCol w:w="200"/>
        <w:gridCol w:w="97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limiting stockholders’ ability to call special meetings of stockholders and to take action by written consent;</w:t>
            </w:r>
          </w:p>
        </w:tc>
      </w:tr>
    </w:tbl>
    <w:p>
      <w:pPr>
        <w:pStyle w:val="TextBody"/>
        <w:bidi w:val="0"/>
        <w:spacing w:before="0" w:after="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05"/>
        <w:gridCol w:w="200"/>
        <w:gridCol w:w="55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business combinations with interested stockholders;</w:t>
            </w:r>
          </w:p>
        </w:tc>
      </w:tr>
    </w:tbl>
    <w:p>
      <w:pPr>
        <w:pStyle w:val="TextBody"/>
        <w:bidi w:val="0"/>
        <w:spacing w:before="0" w:after="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105"/>
        <w:gridCol w:w="200"/>
        <w:gridCol w:w="22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of our Certificate of Incorporation and Bylaws could discourage potential takeover attempts and reduce the price that investors might be willing to pay for the shares of our common stock in the future, which could reduce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pStyle w:val="TextBody"/>
        <w:bidi w:val="0"/>
        <w:spacing w:before="0" w:after="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05"/>
        <w:gridCol w:w="200"/>
        <w:gridCol w:w="49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behalf of 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a duty (including any fiduciary duty) owed by any of our current or former Directors, officers, stockholders, employees or agents to us or our stockholders;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of our current or former Directors, officers, stockholders, employees or agents relating to any provision of the Delaware General Corporation Law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or our Certificate of Incorporation or the Bylaws or as to which the DGCL confers jurisdiction on the Court of Chancery of the State of Delaware;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entered into separate Forward Purchase Agreements (the “Forward Purchase Agreements”) with each of (i) Meteora Special Opportunity Fund I, LP (“</w:t>
      </w:r>
      <w:r>
        <w:rPr>
          <w:rFonts w:ascii="Times New Roman;Times;Serif" w:hAnsi="Times New Roman;Times;Serif"/>
          <w:b/>
          <w:i w:val="false"/>
          <w:caps w:val="false"/>
          <w:smallCaps w:val="false"/>
          <w:sz w:val="20"/>
        </w:rPr>
        <w:t>MSOF</w:t>
      </w:r>
      <w:r>
        <w:rPr>
          <w:rFonts w:ascii="Times New Roman;Times;Serif" w:hAnsi="Times New Roman;Times;Serif"/>
          <w:b w:val="false"/>
          <w:i w:val="false"/>
          <w:caps w:val="false"/>
          <w:smallCaps w:val="false"/>
          <w:sz w:val="20"/>
        </w:rPr>
        <w:t>”), Meteora Capital Partners, LP (“</w:t>
      </w:r>
      <w:r>
        <w:rPr>
          <w:rFonts w:ascii="Times New Roman;Times;Serif" w:hAnsi="Times New Roman;Times;Serif"/>
          <w:b/>
          <w:i w:val="false"/>
          <w:caps w:val="false"/>
          <w:smallCaps w:val="false"/>
          <w:sz w:val="20"/>
        </w:rPr>
        <w:t>MCP</w:t>
      </w:r>
      <w:r>
        <w:rPr>
          <w:rFonts w:ascii="Times New Roman;Times;Serif" w:hAnsi="Times New Roman;Times;Serif"/>
          <w:b w:val="false"/>
          <w:i w:val="false"/>
          <w:caps w:val="false"/>
          <w:smallCaps w:val="false"/>
          <w:sz w:val="20"/>
        </w:rPr>
        <w:t>”) and Meteora Select Trading Opportunities Master, LP (“MSTO”) (with MSOF, MCP, and MSTO collectively as “</w:t>
      </w:r>
      <w:r>
        <w:rPr>
          <w:rFonts w:ascii="Times New Roman;Times;Serif" w:hAnsi="Times New Roman;Times;Serif"/>
          <w:b/>
          <w:i w:val="false"/>
          <w:caps w:val="false"/>
          <w:smallCaps w:val="false"/>
          <w:sz w:val="20"/>
        </w:rPr>
        <w:t>Meteora</w:t>
      </w:r>
      <w:r>
        <w:rPr>
          <w:rFonts w:ascii="Times New Roman;Times;Serif" w:hAnsi="Times New Roman;Times;Serif"/>
          <w:b w:val="false"/>
          <w:i w:val="false"/>
          <w:caps w:val="false"/>
          <w:smallCaps w:val="false"/>
          <w:sz w:val="20"/>
        </w:rPr>
        <w:t>”); (ii) Polar Multi-Strategy Master Fund (“</w:t>
      </w:r>
      <w:r>
        <w:rPr>
          <w:rFonts w:ascii="Times New Roman;Times;Serif" w:hAnsi="Times New Roman;Times;Serif"/>
          <w:b/>
          <w:i w:val="false"/>
          <w:caps w:val="false"/>
          <w:smallCaps w:val="false"/>
          <w:sz w:val="20"/>
        </w:rPr>
        <w:t>Polar</w:t>
      </w:r>
      <w:r>
        <w:rPr>
          <w:rFonts w:ascii="Times New Roman;Times;Serif" w:hAnsi="Times New Roman;Times;Serif"/>
          <w:b w:val="false"/>
          <w:i w:val="false"/>
          <w:caps w:val="false"/>
          <w:smallCaps w:val="false"/>
          <w:sz w:val="20"/>
        </w:rPr>
        <w:t>”), and (iii) Diametric True Alpha Market Neutral Master Fund, LP, Diametric True Alpha Enhanced Market Neutral Master Fund, LP, and Pinebridge Partners Master Fund, LP (collectively, “</w:t>
      </w:r>
      <w:r>
        <w:rPr>
          <w:rFonts w:ascii="Times New Roman;Times;Serif" w:hAnsi="Times New Roman;Times;Serif"/>
          <w:b/>
          <w:i w:val="false"/>
          <w:caps w:val="false"/>
          <w:smallCaps w:val="false"/>
          <w:sz w:val="20"/>
        </w:rPr>
        <w:t>Sandia</w:t>
      </w:r>
      <w:r>
        <w:rPr>
          <w:rFonts w:ascii="Times New Roman;Times;Serif" w:hAnsi="Times New Roman;Times;Serif"/>
          <w:b w:val="false"/>
          <w:i w:val="false"/>
          <w:caps w:val="false"/>
          <w:smallCaps w:val="false"/>
          <w:sz w:val="20"/>
        </w:rPr>
        <w:t>”, and each of Meteora, Polar, and Sandia, individually, an “</w:t>
      </w:r>
      <w:r>
        <w:rPr>
          <w:rFonts w:ascii="Times New Roman;Times;Serif" w:hAnsi="Times New Roman;Times;Serif"/>
          <w:b/>
          <w:i w:val="false"/>
          <w:caps w:val="false"/>
          <w:smallCaps w:val="false"/>
          <w:sz w:val="20"/>
        </w:rPr>
        <w:t>FPA 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FPA Investors</w:t>
      </w:r>
      <w:r>
        <w:rPr>
          <w:rFonts w:ascii="Times New Roman;Times;Serif" w:hAnsi="Times New Roman;Times;Serif"/>
          <w:b w:val="false"/>
          <w:i w:val="false"/>
          <w:caps w:val="false"/>
          <w:smallCaps w:val="false"/>
          <w:sz w:val="20"/>
        </w:rPr>
        <w:t>”), pursuant to which FACT (now SunPower Inc. (f/k/a Complete Solaria, Inc.) following the closing of the Business Combination) agreed to purchase in the aggregate, on the date that is 24 months after the closing date of the Forward Purchase Agreements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 On December 18, 2023, the Company and each FPA Investor entered into separate amendments to the Forward Purchase Agreements (the “</w:t>
      </w:r>
      <w:r>
        <w:rPr>
          <w:rFonts w:ascii="Times New Roman;Times;Serif" w:hAnsi="Times New Roman;Times;Serif"/>
          <w:b/>
          <w:i w:val="false"/>
          <w:caps w:val="false"/>
          <w:smallCaps w:val="false"/>
          <w:sz w:val="20"/>
        </w:rPr>
        <w:t xml:space="preserve">First Amendments”). </w:t>
      </w:r>
      <w:r>
        <w:rPr>
          <w:rFonts w:ascii="Times New Roman;Times;Serif" w:hAnsi="Times New Roman;Times;Serif"/>
          <w:b w:val="false"/>
          <w:i w:val="false"/>
          <w:caps w:val="false"/>
          <w:smallCaps w:val="false"/>
          <w:sz w:val="20"/>
        </w:rPr>
        <w:t>The First Amendments lower the reset floor price of each Forward Purchase Agreement from $5.00 to $3.00 and allow the Company to raise up to $10,000,000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 On May 7 and 8, 2024, respectively, the Company entered into separate amendments to the Forward Purchase Agreements (the collectively the “</w:t>
      </w:r>
      <w:r>
        <w:rPr>
          <w:rFonts w:ascii="Times New Roman;Times;Serif" w:hAnsi="Times New Roman;Times;Serif"/>
          <w:b/>
          <w:i w:val="false"/>
          <w:caps w:val="false"/>
          <w:smallCaps w:val="false"/>
          <w:sz w:val="20"/>
        </w:rPr>
        <w:t>Second Amendments</w:t>
      </w:r>
      <w:r>
        <w:rPr>
          <w:rFonts w:ascii="Times New Roman;Times;Serif" w:hAnsi="Times New Roman;Times;Serif"/>
          <w:b w:val="false"/>
          <w:i w:val="false"/>
          <w:caps w:val="false"/>
          <w:smallCaps w:val="false"/>
          <w:sz w:val="20"/>
        </w:rPr>
        <w:t>”) with Sandia (the “</w:t>
      </w:r>
      <w:r>
        <w:rPr>
          <w:rFonts w:ascii="Times New Roman;Times;Serif" w:hAnsi="Times New Roman;Times;Serif"/>
          <w:b/>
          <w:i w:val="false"/>
          <w:caps w:val="false"/>
          <w:smallCaps w:val="false"/>
          <w:sz w:val="20"/>
        </w:rPr>
        <w:t>Sandia Second Amendment</w:t>
      </w:r>
      <w:r>
        <w:rPr>
          <w:rFonts w:ascii="Times New Roman;Times;Serif" w:hAnsi="Times New Roman;Times;Serif"/>
          <w:b w:val="false"/>
          <w:i w:val="false"/>
          <w:caps w:val="false"/>
          <w:smallCaps w:val="false"/>
          <w:sz w:val="20"/>
        </w:rPr>
        <w:t>”) and Polar (the “</w:t>
      </w:r>
      <w:r>
        <w:rPr>
          <w:rFonts w:ascii="Times New Roman;Times;Serif" w:hAnsi="Times New Roman;Times;Serif"/>
          <w:b/>
          <w:i w:val="false"/>
          <w:caps w:val="false"/>
          <w:smallCaps w:val="false"/>
          <w:sz w:val="20"/>
        </w:rPr>
        <w:t>Polar Second Amendment</w:t>
      </w:r>
      <w:r>
        <w:rPr>
          <w:rFonts w:ascii="Times New Roman;Times;Serif" w:hAnsi="Times New Roman;Times;Serif"/>
          <w:b w:val="false"/>
          <w:i w:val="false"/>
          <w:caps w:val="false"/>
          <w:smallCaps w:val="false"/>
          <w:sz w:val="20"/>
        </w:rPr>
        <w:t>”). The Second Amendments lower the reset price of each Forward Purchase Agreement from $3.00 to $1.00 per share and amend the VWAP Trigger Event provision to read: “After December 31, 2024, an event that occurs if the VWAP Price, for any 20 trading days during a 30 consecutive trading day-period, is below $1.00 per Share.” The Sandia Second Amendment is not effective until the Company executes similar amendments with both Polar and Meteora. Subsequently, on June 14, 2024, the Company entered into an amendment to the Forward Purchase Agreement with Sandia (the “</w:t>
      </w:r>
      <w:r>
        <w:rPr>
          <w:rFonts w:ascii="Times New Roman;Times;Serif" w:hAnsi="Times New Roman;Times;Serif"/>
          <w:b/>
          <w:i w:val="false"/>
          <w:caps w:val="false"/>
          <w:smallCaps w:val="false"/>
          <w:sz w:val="20"/>
        </w:rPr>
        <w:t>Sandia Third Amendment</w:t>
      </w:r>
      <w:r>
        <w:rPr>
          <w:rFonts w:ascii="Times New Roman;Times;Serif" w:hAnsi="Times New Roman;Times;Serif"/>
          <w:b w:val="false"/>
          <w:i w:val="false"/>
          <w:caps w:val="false"/>
          <w:smallCaps w:val="false"/>
          <w:sz w:val="20"/>
        </w:rPr>
        <w:t>”). The Sandia Third Amendment sets the reset price of each Forward Purchase Agreement to $1.00 per share and amends the VWAP Trigger Event provision to read: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the Sandia Forward Purchase Agreement. On July 17, 2024, the Company entered into the third amendment to the Forward Purchase Agreement with Polar (the “</w:t>
      </w:r>
      <w:r>
        <w:rPr>
          <w:rFonts w:ascii="Times New Roman;Times;Serif" w:hAnsi="Times New Roman;Times;Serif"/>
          <w:b/>
          <w:i w:val="false"/>
          <w:caps w:val="false"/>
          <w:smallCaps w:val="false"/>
          <w:sz w:val="20"/>
        </w:rPr>
        <w:t>Polar Third Amendment</w:t>
      </w:r>
      <w:r>
        <w:rPr>
          <w:rFonts w:ascii="Times New Roman;Times;Serif" w:hAnsi="Times New Roman;Times;Serif"/>
          <w:b w:val="false"/>
          <w:i w:val="false"/>
          <w:caps w:val="false"/>
          <w:smallCaps w:val="false"/>
          <w:sz w:val="20"/>
        </w:rPr>
        <w:t>”), pursuant to which the Company and Polar agreed that Section 2 (Most Favored Nation) of the Forward Purchase Agreement is applicable to all 2,450,000 shares subject to the Forward Purchase Agreement. On July 15, 2025, the Company and Meteora entered into an amendment to the FPA between Meteora and the Company, on July 16, 2025, the Company and Sandia entered into an amendment to the FPA between Sandia and the Company, and on August 1, 2025, the Company and Polar entered in an amendment to the FPA between Polar and the Company (collectively, the “FPA Amendments”). The FPA Amendments extend the valuation date applicable to the Forward Purchase Agreements (the “Valuation Date”) to the earliest to occur of (a) 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 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the Company’s option, in cash or shares of our common stock. 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the Company may owe to the applicable seller via the Settlement Amount Adjustment, and notwithstanding anything to the contrary, the applicable seller shall not be required to remit the Settlement Amount to the Company or return any portion of the Prepayment Amount.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to purchase shares of our common stock may not be exercised at all or may be exercised on a cashless basis and we may not receive any cash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Servicing our outstanding debt requires a significant amount of cash, and we may not have sufficient cash flow from our business to pay our substantial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of the principal of, to pay interest on or to refinance our indebtedness, including (a) 12.00% Notes due 2029 (the “</w:t>
      </w:r>
      <w:r>
        <w:rPr>
          <w:rFonts w:ascii="Times New Roman;Times;Serif" w:hAnsi="Times New Roman;Times;Serif"/>
          <w:b/>
          <w:i w:val="false"/>
          <w:caps w:val="false"/>
          <w:smallCaps w:val="false"/>
          <w:sz w:val="20"/>
        </w:rPr>
        <w:t>12.0% Notes</w:t>
      </w:r>
      <w:r>
        <w:rPr>
          <w:rFonts w:ascii="Times New Roman;Times;Serif" w:hAnsi="Times New Roman;Times;Serif"/>
          <w:b w:val="false"/>
          <w:i w:val="false"/>
          <w:caps w:val="false"/>
          <w:smallCaps w:val="false"/>
          <w:sz w:val="20"/>
        </w:rPr>
        <w:t>”), the 7.00% Notes due 2029 (the “</w:t>
      </w:r>
      <w:r>
        <w:rPr>
          <w:rFonts w:ascii="Times New Roman;Times;Serif" w:hAnsi="Times New Roman;Times;Serif"/>
          <w:b/>
          <w:i w:val="false"/>
          <w:caps w:val="false"/>
          <w:smallCaps w:val="false"/>
          <w:sz w:val="20"/>
        </w:rPr>
        <w:t>7.0% Notes</w:t>
      </w:r>
      <w:r>
        <w:rPr>
          <w:rFonts w:ascii="Times New Roman;Times;Serif" w:hAnsi="Times New Roman;Times;Serif"/>
          <w:b w:val="false"/>
          <w:i w:val="false"/>
          <w:caps w:val="false"/>
          <w:smallCaps w:val="false"/>
          <w:sz w:val="20"/>
        </w:rPr>
        <w:t>”) and the 10.00% Senior Secured Convertible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collectively with the 12.0% Notes and the 7.0% Notes, the “</w:t>
      </w:r>
      <w:r>
        <w:rPr>
          <w:rFonts w:ascii="Times New Roman;Times;Serif" w:hAnsi="Times New Roman;Times;Serif"/>
          <w:b/>
          <w:i w:val="false"/>
          <w:caps w:val="false"/>
          <w:smallCaps w:val="false"/>
          <w:sz w:val="20"/>
        </w:rPr>
        <w:t>Convertible Senior Notes</w:t>
      </w:r>
      <w:r>
        <w:rPr>
          <w:rFonts w:ascii="Times New Roman;Times;Serif" w:hAnsi="Times New Roman;Times;Serif"/>
          <w:b w:val="false"/>
          <w:i w:val="false"/>
          <w:caps w:val="false"/>
          <w:smallCaps w:val="false"/>
          <w:sz w:val="20"/>
        </w:rPr>
        <w:t>”), and (b) the Promissory Note and YA Debenture issued to Yorkville (collectively, the “</w:t>
      </w:r>
      <w:r>
        <w:rPr>
          <w:rFonts w:ascii="Times New Roman;Times;Serif" w:hAnsi="Times New Roman;Times;Serif"/>
          <w:b/>
          <w:i w:val="false"/>
          <w:caps w:val="false"/>
          <w:smallCaps w:val="false"/>
          <w:sz w:val="20"/>
        </w:rPr>
        <w:t>Yorkville Notes</w:t>
      </w:r>
      <w:r>
        <w:rPr>
          <w:rFonts w:ascii="Times New Roman;Times;Serif" w:hAnsi="Times New Roman;Times;Serif"/>
          <w:b w:val="false"/>
          <w:i w:val="false"/>
          <w:caps w:val="false"/>
          <w:smallCaps w:val="false"/>
          <w:sz w:val="20"/>
        </w:rPr>
        <w:t>”), depends on our future performance, which is subject to economic, financial, competitive and other factors beyond our control. Our business may not continue to generate cash flow from operations in the future sufficient to service our debt and make necessary capital expenditures. Additionally, as a result of the delayed filing of our Annual Report on Form 10-K for the year ended December 29, 2024 and, subsequently, our Quarterly Report on Form 10-Q for the quarter ended September 28, 2025, we incurred additional interest under the then-outstanding 12.0% Notes and 7.0% Notes.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10.0% Senior Secured Notes are secured obligations, and there are risks associated with our 10.0% Senior Secured Notes that could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in connection with a private offering of $41.0 million aggregate principal amount of 10.00% Convertible Senior Secured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The indenture for the 10.0% Notes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includes customary covenants and sets forth certain events of default after which the 10.0% Notes may be declared immediately due and payable and sets forth certain types of bankruptcy or insolvency events of default involving the Company after which the 10.0% Notes become automatically due and payable, which include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payment defaults on the 10% Notes (which, in the case of a default in the payment of interest on the Notes, will be subject to a 30-day cure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comply with its obligation to convert the 10.0% Notes in accordance with the Indenture upon exercise of a holder’s conversion right;</w:t>
            </w:r>
          </w:p>
        </w:tc>
      </w:tr>
    </w:tbl>
    <w:p>
      <w:pPr>
        <w:pStyle w:val="TextBody"/>
        <w:bidi w:val="0"/>
        <w:spacing w:before="0" w:after="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05"/>
        <w:gridCol w:w="200"/>
        <w:gridCol w:w="80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send certain notices under the Indenture within specified periods of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by the Company in its other obligations or agreements under the Indenture or the Notes if such default is not cured or waived within 60 days after notice is given in accordance with the Indenture;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defaults by the Company or any of its significant subsidiaries with respect to (y) the liens securing the Company’s payment obligations under Siemens Settlement, or (z) indebtedness for borrowed money of at least $10.0 million;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insolvency or reorganization of the Company or any of the Company’s significant subsidiaries;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interest and liens purported to be created by any collateral document, including the Security Agreement (as defined below), shall cease to be in full force and effect or shall cease to give the collateral agent, for the benefit of the holders of the 10.0% Notes, the liens, rights, powers and privileges purported to be created and granted under such collateral documents, subject to certain exceptions;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guarantee with respect to the 10.0% Notes ceases to be in full force and effect or the Company or any guarantor denies or disaffirms its obligations under the Indenture or any guarantee with respect to the 10.0% Notes.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certain bankruptcy and insolvency-related events of default occur with respect to the Company, the principal of, and accrued and unpaid interest, if any, on, all of the 10.0% Notes then outstanding shall automatically become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in compliance with the covenants under the 10% Senior Secured Notes depends on, among other things, our operating performance, competitive developments, financial market conditions and stock exchange listing of our common stock, all of which are significantly affected by financial, business, economic and other factors. We are not able to control many of these factors. Accordingly, our cash flow may not be sufficient to allow us to make required payments under the 10.0% Notes or meet our other obligations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satisfy our obligations under the 10.0% Notes, including compliance with the affirmative, negative and financial covenants applicable to the Company, or if there are events of defaults under the 10.0% Notes, the holders will have the right to foreclose on their first priority security interest relating to substantially all of our assets to the exclusion of our general unsecured creditors. If the holders of the 10.0% Notes pursue foreclosure, any such foreclosure would have a material and adverse impact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conversion features of the Convertible Senior Notes may adversely affect our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in the indentures or other agreements governing the Convertible Senior Notes, as well as the agreements governing the Yorkville Notes may delay or prevent an otherwise a beneficial takeover attempt of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in the indentures or other agreements governing the Convertible Senior Notes may make it more difficult or expensive for a third party to acquire us. For example, the indentures and other agreements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the Convertible Senior Notes or the Yorkville Notes may dilute the ownership interest of our stockholders or may otherwise depress the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some or all of the Convertible Senior Notes or the Yorkville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the Convertible Senior Notes could adversely affect our reported financial condition and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shares of common stock underlying the Convertible Senior Notes will be reflected in our diluted earnings per share using the “if converted” method.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(including potential sales of securities by the Selling Securityholders), or the perception of future sales, by us or our stockholders in the public market could cause the market price for the common stock to decline.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 In the future, we may issue our securities to raise capital or in connection with investments or acquisitions. The amount of shares of common stock issued or issuable upon exercise or conversion of securities issued in connection with a capital raise or an investment or acquisition could constitute a material portion of the then-outstanding shares of our common stock. Any issuance of additional securities in connection with capital raising activities, investments or acquisitions may result in additional dilution to our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Market and Industry Data</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in this prospectus concerning the market and the industries in which SunPower competes, including its market position, general expectations of market opportunities and market size, is based on information from various third-party sources, publicly available information, various industry publications, internal data and estimates, and assumptions made by SunPower based on such sources. Internal data and estimates are based upon information obtained from trade and business organizations and other contacts in the markets in which SunPower operates and SunPower management’s understanding of industry conditions. This information and any estimates provided herein involve numerous assumptions and limitations, and you are cautioned not to give undue weight to such information. Third-party sources generally state that the information contained in such sources has been obtained from sources believed to be reliable. Although we believe that such information is reliable, there can be no assurance as to the accuracy or completeness of such information.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Although we are responsible for all of the disclosure contained in this prospectus and we believe the third-party market position, general expectations of market opportunity and market size data included in this prospectus are reliable, we have not independently verified any third-party information and each publication speaks as of its original publication date (and not as of the date of this prospectus). In addition, we do not know all of the assumptions regarding general economic conditions or growth that were used in preparing the forecasts from the sources relied upon or cited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offered by the Selling Securityholders pursuant to this prospectus will be sold by the Selling Securityholders for their own accounts. We will not receive any of the proceeds from the resale of the shares of common stock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fees, discounts and selling commissions incurred by the Selling Securityholders in connection with any sale of their shares. We will incur all costs associated with this prospectus and the registration statement of which it is a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Determination of Offering Price</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common stock may be sold by the Selling Securityholders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Market Information for Securities and Dividend Policy</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on Nasdaq under the symbols “SPWR” and “SPWRW,” respectively. Our common stock and public warrants were previously listed on Nasdaq under the symbols “CSLR” and “CSLRW”, respectively. Prior to the consummation of the Business Combination, our common stock and our Public Warrants were listed on the New York Stock Exchange under the symbols “FACT” and “FACT WS,” respectively. On June 22, 2026, there were 152 holders of record of the common stock. We currently do not intend to list the Private Warrants on any stock exchange or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depend on, among other things, the consent of our lender(s), our results of operations, cash requirements, financial condition, contractual restrictions and other factors that the SunPower Board may deem relevant.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is a residential solar and energy services company headquartered in Orem, Utah. We operate a technology-enabled platform that supports a national network of sales partners, dealers, and installation professionals to deliver solar energy systems, battery storage solutions, and related services to homeowners and homebuilders throughout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through the thirteen week period ended March 29, 2026 we significantly reshaped our business through a series of strategic acquisitions, including the acquisition of Sunder Energy, LLC (“Sunder”), Ambia Energy LLC (“Ambia”) and Cobalt Power Systems, Inc. (“Cobalt”). These acquisitions expanded our geographic footprint, dealer network, installation capacity, and national sales presence. The operating results in the current quarter reflect the integration and ongoing operations of these acquired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discussed below and in the notes to the consolidated financial statements included in this prospectus, we have three reportable segments: Residential Solar Installation, New Homes Business and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within one year after the date that the unaudited condensed consolidated financial statements are issued. The consolidated financial statements included in this prospectus have been prepared assuming our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continued the integration of recent acquisitions of Sunder and Ambia into our operating platform. In the thirteen week period ended March 29, 2026, we acquired Cobalt for $9.7 million. Cobalt focuses on large premium renewable energy systems across residential, new home, multifamily and commercial projects and its operating results will be incorporated into the New Homes reportable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i w:val="false"/>
          <w:caps w:val="false"/>
          <w:smallCaps w:val="false"/>
          <w:sz w:val="20"/>
        </w:rPr>
        <w:t>Growth Strategy and Outlook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contains the following elements: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 revenue by expanding installation capacity and developing new geographic markets</w:t>
            </w:r>
            <w:r>
              <w:rPr>
                <w:rFonts w:ascii="Times New Roman;Times;Serif" w:hAnsi="Times New Roman;Times;Serif"/>
                <w:b w:val="false"/>
                <w:i w:val="false"/>
                <w:caps w:val="false"/>
                <w:smallCaps w:val="false"/>
                <w:sz w:val="20"/>
              </w:rPr>
              <w:t xml:space="preserve"> - We continue to expand our network of 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 revenue and margin by engaging national-scale sales partners</w:t>
            </w:r>
            <w:r>
              <w:rPr>
                <w:rFonts w:ascii="Times New Roman;Times;Serif" w:hAnsi="Times New Roman;Times;Serif"/>
                <w:b w:val="false"/>
                <w:i w:val="false"/>
                <w:caps w:val="false"/>
                <w:smallCaps w:val="false"/>
                <w:sz w:val="20"/>
              </w:rPr>
              <w:t xml:space="preserve"> - We aim to offer a turnkey solar solution to prospective sales 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Increase revenue and margin by executing on a battery storage opportunity </w:t>
            </w:r>
            <w:r>
              <w:rPr>
                <w:rFonts w:ascii="Times New Roman;Times;Serif" w:hAnsi="Times New Roman;Times;Serif"/>
                <w:b w:val="false"/>
                <w:i w:val="false"/>
                <w:caps w:val="false"/>
                <w:smallCaps w:val="false"/>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(the “</w:t>
      </w:r>
      <w:r>
        <w:rPr>
          <w:rFonts w:ascii="Times New Roman;Times;Serif" w:hAnsi="Times New Roman;Times;Serif"/>
          <w:b/>
          <w:i w:val="false"/>
          <w:caps w:val="false"/>
          <w:smallCaps w:val="false"/>
          <w:sz w:val="20"/>
        </w:rPr>
        <w:t>Additional Merger</w:t>
      </w:r>
      <w:r>
        <w:rPr>
          <w:rFonts w:ascii="Times New Roman;Times;Serif" w:hAnsi="Times New Roman;Times;Serif"/>
          <w:b w:val="false"/>
          <w:i w:val="false"/>
          <w:caps w:val="false"/>
          <w:smallCaps w:val="false"/>
          <w:sz w:val="20"/>
        </w:rPr>
        <w:t>”, and together with the First Merger and the Second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between Complete Solaria and FACT were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completed the divestiture of our solar panel business to Maxeon (“</w:t>
      </w:r>
      <w:r>
        <w:rPr>
          <w:rFonts w:ascii="Times New Roman;Times;Serif" w:hAnsi="Times New Roman;Times;Serif"/>
          <w:b/>
          <w:i w:val="false"/>
          <w:caps w:val="false"/>
          <w:smallCaps w:val="false"/>
          <w:sz w:val="20"/>
        </w:rPr>
        <w:t>Divestiture</w:t>
      </w:r>
      <w:r>
        <w:rPr>
          <w:rFonts w:ascii="Times New Roman;Times;Serif" w:hAnsi="Times New Roman;Times;Serif"/>
          <w:b w:val="false"/>
          <w:i w:val="false"/>
          <w:caps w:val="false"/>
          <w:smallCaps w:val="false"/>
          <w:sz w:val="20"/>
        </w:rPr>
        <w:t>”), pursuant to the terms of the Disposal Agreement. Under the terms of the Disposal Agreement, Maxeon agreed to acquire certain assets and employees of Complete Solaria,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$1.1 million, $2.0 million and $173.4 million in the fiscal years ended December 28, 2025, December 29, 2024 and December 31, 2023, respectively. We also sold all the Maxeon shares in the year ended December 31, 2023, and recorded a $4.2 million loss on the sale of these shares in our consolidated statements of operations and comprehensive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Assets of SunPower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we acquired the SunPower Businesses for consideration of $54.5 million which we financed through the issuance of $66.8 million of 7.0% senior unsecured convertible notes in September 2024. These notes mature on July 1, 2029 and are convertible into shares of the Company’s common stock at the option of the holder at a current conversion rate of $1.71 per share. The SunPower Businesses operated as a solar technology and energy services provider that offered fully integrated solar, storage, and home energy solutions to customers in the United States through an array of hardware, software, and “Smart Energy” solutions. This transaction was accounted for as a business combination under Accounting Standards Codification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we acquired all of the membership interests in Sunder Energy LLC (“Sunder”) for consideration of $57.8 million. We financed this transaction through (1) $20.7 million in cash, subject to certain working capital and other adjustments; (2) a promissory note to the seller in the principal amount of $20.0 million (“Seller Note”); and (3) 10.0 million shares of the Company’s common stock valued at $17.1 million (based on the $1.71 closing share price of the Company’s common stock on September 24, 2025). We issued 3.3 million shares at the acquisition date and will issue the remaining shares in two equal tranches of 3.3 million shares at 12 months and 18 months following the date of acquisition. Sunder is a solar sales company. Sunder provides a third-party solar energy sales force to initiate and execute contracts with customers throughout the United States. Sunder’s sales force works with solar installation companies in which Sunder acts as the agent for each transaction entered. Sunder earns revenue from contracts sold to customers for solar installations performed by third-party installation companies. We acquired Sunder as a strategic acquisition to expand its overall market share and its penetration into more U.S. states. We accounted for this transaction as a business combination under ASC 805.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we acquired all of the membership interests in Ambia Energy LLC (“Ambia”) for consideration of $33.4 million. We financed this acquisition through the issuance of 10.2 million shares of our common stock with a fair value of $16.5 million on the date of acquisition and an agreement to issue an additional $16.9 million in shares of our common stock in two tranches with the final issuance on the 12-month anniversary of the Ambia closing. Ambia is a residential solar energy system installer and operates in various markets throughout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Chain Constraints and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risk factors that could impact our results, please refer to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Definitions/Components of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for the Residential Solar Installation and New Homes Business reportable segments when installation is substantially complete, the system is capable of interconnection to the local power grid, and control has transferred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activities-including system design, equipment delivery, installation, and grid interconnection-are treated as a single performance obligation. For most contracts, revenue is recognized over time beginning upon installation, using an input method based on direct installation costs. Installation costs incurred prior to this point are deferred.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is generated through cash sales, third-party financing arrangements, and power purchase or lease structures. Homeowners are the customers in cash and financing arrangements, while leasing partners are the customers in power purchase and lease arrangements. New Homes Business revenue is primarily generated from sales to homebuilders, with limited lease arrangements recognized upon system acceptance.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recorded at the transaction price, net of customer incentives and financing-related fees, and may include estimated variable consideration. Deferred revenue represents amounts billed or collected in advance of performance. None of the Company’s arrangements contain a significant financing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Dealer reportable segment, we earn revenue from contracts in which solar installations are performed by third-party installation companies. In these arrangements, our performance obligation is to facilitate the transaction and arrange for installation services rather than provide those services directly. As a result, we act as an agent and recognize revenue on a net basis, representing the fee retained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Permission to Operate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and Fulfill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amortization of internally developed software and amortization of developed technology. Cost of revenues from these services is recognized when we transfer control of the product to the customer, which is generally upon installation.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direct and incremental costs of obtaining customer contracts. These costs are paid to internal sales teams and third-party vendors who source residential customer contracts for the sale of solar energy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related costs, including salaries and employee benefits, stock-based compensation, and other advertising and promotional expenses. We expense certain sales and marketing, including promotional expenses,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depreciation expense, business insurance costs and other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income, net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changes in the fair value of (i) derivative liabilities associated with our debt, (ii) warrant liabilities, (iii) Simple Agreements for Future Equity (“SAFE”), and (iv) forward purchase agreements (“FPAs”) as non-operating gains and losses within this category.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consolidated financial statements included elsewhere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policies associated with our revenue recognition and business combination have the greatest impact on our consolidated financial statements. Therefore, we consider these to be our 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involves significant judgment in determining the timing of control transfer, identification of the customer, estimation of variable consideration, and measurement of progress toward completion. For the Residential Solar Installation and New Homes Business segments, the Company’s performance obligation is the design and installation of a fully functioning solar energy system, which includes design, equipment delivery, installation, and grid interconnection services. These activities are combined into a single performance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over time using an input method based on direct installation costs, beginning when installation is complete and control of the system begins to transfer to the customer. This approach requires management to estimate total expected installation costs, and changes in these estimates may impact the timing and amount of revenue recognized. Installation costs incurred prior to the transfer of control are deferred.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New Homes Business lease arrangements, revenue is recognized at a point in time upon system acceptance. In arrangements involving financing partners or leasing partners, judgment is required to determine the appropriate customer, which affects revenue timing and presentation. Dealer segment revenue is recognized on a net basis at the point in time when Permission to Operate is obtained.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may include variable consideration, which is estimated using the most likely amount and constrained to amounts for which a significant revenue reversal is not probable. Estimates are reassessed each reporting period, and changes are recognized prospectively. Revenue is recorded net of customer incentives and does not include a significant financing component. Changes in assumptions related to these estimates could materially affect reported revenue and deferred balances.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Business Combinations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all acquired assets and liabilities, including goodwill, and other identifiable intangible assets at fair value. The initial recognition of identifiable intangible assets, requires certain estimates and assumptions concerning the determination of the fair values and useful lives. The judgments made in the context of the purchase price allocation can materially affect our future results of operations. Accordingly, when valuing identifiable intangible assets, we obtain assistance from third-party valuation specialists. The valuations calculated from estimates are based on information available at the acquisition date. Goodwill is not amortized but is subject to annual tests for impairment or more frequent tests if events or circumstances indicate it may be impaired. Other intangible assets are amortized over their estimated useful lives and are subject to impairment if events or circumstances indicate a possible inability to realize the carrying amount.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discussion of recently issued accounting standards applicable to our Company is described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in the accompanying notes to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Thirteen weeks ended March 29, 2026 and March 30,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data for the thirteen-weeks ended March 29, 2026 and the thirteen-weeks ended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We have derived this data from our unaudited condensed consolidated financial statements included elsewhere in this prospectus. This information should be read in conjunction with our unaudited condensed consolidated financial statements and related notes included elsewhere in this prospectus. The results of historical periods are not necessarily indicative of the results of operations for any future period.</w:t>
      </w:r>
    </w:p>
    <w:p>
      <w:pPr>
        <w:pStyle w:val="TextBody"/>
        <w:bidi w:val="0"/>
        <w:spacing w:before="0" w:after="0"/>
        <w:ind w:left="0" w:right="0" w:firstLine="720"/>
        <w:jc w:val="both"/>
        <w:rPr>
          <w:caps w:val="false"/>
          <w:smallCaps w:val="false"/>
        </w:rPr>
      </w:pPr>
      <w:r>
        <w:rPr>
          <w:caps w:val="false"/>
          <w:smallCaps w:val="false"/>
        </w:rPr>
        <w:t> </w:t>
      </w:r>
    </w:p>
    <w:tbl>
      <w:tblPr>
        <w:tblW w:w="7691" w:type="dxa"/>
        <w:jc w:val="left"/>
        <w:tblInd w:w="0" w:type="dxa"/>
        <w:tblLayout w:type="fixed"/>
        <w:tblCellMar>
          <w:top w:w="0" w:type="dxa"/>
          <w:left w:w="0" w:type="dxa"/>
          <w:bottom w:w="0" w:type="dxa"/>
          <w:right w:w="0" w:type="dxa"/>
        </w:tblCellMar>
      </w:tblPr>
      <w:tblGrid>
        <w:gridCol w:w="3005"/>
        <w:gridCol w:w="90"/>
        <w:gridCol w:w="178"/>
        <w:gridCol w:w="786"/>
        <w:gridCol w:w="221"/>
        <w:gridCol w:w="92"/>
        <w:gridCol w:w="192"/>
        <w:gridCol w:w="772"/>
        <w:gridCol w:w="215"/>
        <w:gridCol w:w="90"/>
        <w:gridCol w:w="155"/>
        <w:gridCol w:w="680"/>
        <w:gridCol w:w="110"/>
        <w:gridCol w:w="90"/>
        <w:gridCol w:w="121"/>
        <w:gridCol w:w="574"/>
        <w:gridCol w:w="320"/>
      </w:tblGrid>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4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32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72,793</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78,413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28,106</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51,037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32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profit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44,687</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17,311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2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28,564</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32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30,325</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32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63,882</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31,102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32,780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(19,195</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(3,726</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32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r>
              <w:rPr>
                <w:rFonts w:ascii="Times New Roman;Times;Serif" w:hAnsi="Times New Roman;Times;Serif"/>
                <w:b w:val="false"/>
                <w:i w:val="false"/>
                <w:caps w:val="false"/>
                <w:smallCaps w:val="false"/>
                <w:position w:val="7"/>
                <w:sz w:val="16"/>
                <w:sz w:val="20"/>
              </w:rPr>
              <w:t>(1)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(6,041</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right"/>
              <w:rPr>
                <w:caps w:val="false"/>
                <w:smallCaps w:val="false"/>
              </w:rPr>
            </w:pPr>
            <w:r>
              <w:rPr>
                <w:caps w:val="false"/>
                <w:smallCaps w:val="false"/>
              </w:rPr>
              <w:t>—</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w:t>
            </w:r>
            <w:r>
              <w:rPr>
                <w:rFonts w:ascii="Times New Roman;Times;Serif" w:hAnsi="Times New Roman;Times;Serif"/>
                <w:b w:val="false"/>
                <w:i w:val="false"/>
                <w:caps w:val="false"/>
                <w:smallCaps w:val="false"/>
                <w:position w:val="7"/>
                <w:sz w:val="16"/>
                <w:sz w:val="20"/>
              </w:rPr>
              <w:t>(2)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30,761</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before taxes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4,642</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2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interest expense and amortization of debt issuance costs to related party of $2.3 million and $1.4 million in the thirteen-weeks ended March 29, 2026 and March 30, 2025, respectively.</w:t>
            </w:r>
          </w:p>
        </w:tc>
      </w:tr>
    </w:tbl>
    <w:p>
      <w:pPr>
        <w:pStyle w:val="TextBody"/>
        <w:bidi w:val="0"/>
        <w:spacing w:before="0" w:after="0"/>
        <w:ind w:left="0" w:right="0" w:firstLine="36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275"/>
        <w:gridCol w:w="6095"/>
      </w:tblGrid>
      <w:tr>
        <w:trPr/>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gains and (losses) with related parties (in millions):</w:t>
            </w:r>
          </w:p>
        </w:tc>
      </w:tr>
    </w:tbl>
    <w:p>
      <w:pPr>
        <w:pStyle w:val="TextBody"/>
        <w:bidi w:val="0"/>
        <w:spacing w:before="0" w:after="0"/>
        <w:jc w:val="both"/>
        <w:rPr>
          <w:caps w:val="false"/>
          <w:smallCaps w:val="false"/>
        </w:rPr>
      </w:pPr>
      <w:r>
        <w:rPr>
          <w:caps w:val="false"/>
          <w:smallCaps w:val="false"/>
        </w:rPr>
        <w:t> </w:t>
      </w:r>
    </w:p>
    <w:tbl>
      <w:tblPr>
        <w:tblW w:w="7546" w:type="dxa"/>
        <w:jc w:val="left"/>
        <w:tblInd w:w="0" w:type="dxa"/>
        <w:tblLayout w:type="fixed"/>
        <w:tblCellMar>
          <w:top w:w="0" w:type="dxa"/>
          <w:left w:w="0" w:type="dxa"/>
          <w:bottom w:w="0" w:type="dxa"/>
          <w:right w:w="0" w:type="dxa"/>
        </w:tblCellMar>
      </w:tblPr>
      <w:tblGrid>
        <w:gridCol w:w="5060"/>
        <w:gridCol w:w="90"/>
        <w:gridCol w:w="287"/>
        <w:gridCol w:w="677"/>
        <w:gridCol w:w="183"/>
        <w:gridCol w:w="150"/>
        <w:gridCol w:w="324"/>
        <w:gridCol w:w="640"/>
        <w:gridCol w:w="135"/>
      </w:tblGrid>
      <w:tr>
        <w:trPr/>
        <w:tc>
          <w:tcPr>
            <w:tcW w:w="506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forward purchase agreement liabilities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87"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tcBorders/>
            <w:vAlign w:val="center"/>
          </w:tcPr>
          <w:p>
            <w:pPr>
              <w:pStyle w:val="TableContents"/>
              <w:bidi w:val="0"/>
              <w:spacing w:before="0" w:after="283"/>
              <w:jc w:val="right"/>
              <w:rPr>
                <w:caps w:val="false"/>
                <w:smallCaps w:val="false"/>
              </w:rPr>
            </w:pPr>
            <w:r>
              <w:rPr>
                <w:caps w:val="false"/>
                <w:smallCaps w:val="false"/>
              </w:rPr>
              <w:t>—</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324" w:type="dxa"/>
            <w:tcBorders/>
            <w:vAlign w:val="center"/>
          </w:tcPr>
          <w:p>
            <w:pPr>
              <w:pStyle w:val="TableContents"/>
              <w:bidi w:val="0"/>
              <w:spacing w:before="0" w:after="283"/>
              <w:jc w:val="left"/>
              <w:rPr>
                <w:caps w:val="false"/>
                <w:smallCaps w:val="false"/>
              </w:rPr>
            </w:pPr>
            <w:r>
              <w:rPr>
                <w:caps w:val="false"/>
                <w:smallCaps w:val="false"/>
              </w:rPr>
              <w:t> </w:t>
            </w:r>
          </w:p>
        </w:tc>
        <w:tc>
          <w:tcPr>
            <w:tcW w:w="6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SAFE Agreement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87"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324" w:type="dxa"/>
            <w:tcBorders/>
            <w:vAlign w:val="center"/>
          </w:tcPr>
          <w:p>
            <w:pPr>
              <w:pStyle w:val="TableContents"/>
              <w:bidi w:val="0"/>
              <w:spacing w:before="0" w:after="283"/>
              <w:jc w:val="left"/>
              <w:rPr>
                <w:caps w:val="false"/>
                <w:smallCaps w:val="false"/>
              </w:rPr>
            </w:pPr>
            <w:r>
              <w:rPr>
                <w:caps w:val="false"/>
                <w:smallCaps w:val="false"/>
              </w:rPr>
              <w:t> </w:t>
            </w:r>
          </w:p>
        </w:tc>
        <w:tc>
          <w:tcPr>
            <w:tcW w:w="640" w:type="dxa"/>
            <w:tcBorders/>
            <w:vAlign w:val="center"/>
          </w:tcPr>
          <w:p>
            <w:pPr>
              <w:pStyle w:val="TableContents"/>
              <w:bidi w:val="0"/>
              <w:spacing w:before="0" w:after="283"/>
              <w:jc w:val="right"/>
              <w:rPr>
                <w:caps w:val="false"/>
                <w:smallCaps w:val="false"/>
              </w:rPr>
            </w:pPr>
            <w:r>
              <w:rPr>
                <w:caps w:val="false"/>
                <w:smallCaps w:val="false"/>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Deferred Sunder Consideration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types of services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887" w:type="dxa"/>
        <w:jc w:val="left"/>
        <w:tblInd w:w="0" w:type="dxa"/>
        <w:tblLayout w:type="fixed"/>
        <w:tblCellMar>
          <w:top w:w="0" w:type="dxa"/>
          <w:left w:w="0" w:type="dxa"/>
          <w:bottom w:w="0" w:type="dxa"/>
          <w:right w:w="0" w:type="dxa"/>
        </w:tblCellMar>
      </w:tblPr>
      <w:tblGrid>
        <w:gridCol w:w="2435"/>
        <w:gridCol w:w="90"/>
        <w:gridCol w:w="192"/>
        <w:gridCol w:w="772"/>
        <w:gridCol w:w="102"/>
        <w:gridCol w:w="102"/>
        <w:gridCol w:w="192"/>
        <w:gridCol w:w="772"/>
        <w:gridCol w:w="90"/>
        <w:gridCol w:w="90"/>
        <w:gridCol w:w="155"/>
        <w:gridCol w:w="680"/>
        <w:gridCol w:w="110"/>
        <w:gridCol w:w="90"/>
        <w:gridCol w:w="152"/>
        <w:gridCol w:w="543"/>
        <w:gridCol w:w="320"/>
      </w:tblGrid>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3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(27,284</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26,627</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72,793</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78,413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Residential Solar Installation was driven primarily by lower installation volumes, reflecting softer consumer demand due to higher interest rates as a result of an increase in financing costs for residential solar. In addition, the phase out of certain residential Investment Tax Credits (“ITCs”) passed in 2025 as part of the One Big Beautiful Bill in conjunction with fewer customers qualifying for financing makes it harder for a homeowner to make the decision quickly. The decrease also reflects fewer system activations as we continued to optimize our sales channels and focus on streamlining our operations to enhance its customer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revenues decreased primarily due to lower construction activity and selective solar integration volumes from homebuilder partners, due to higher interest rates and higher labor costs thus driving the overall costs of the home to increase. While regulatory requirements force investments in solar in certain regions and communities, the pace has slowed down due to affordability. In states and communities where regulatory requirements for new builds will not impact the demand of solar installation, homebuilders are not abandoning solar they are offering it as an option versus a spec home. Additionally, there was a backlog of jobs from the SunPower Businesses acquisition in 2024, for certain large homebuilder projects that contributed meaningfully to the prior-year quarter which did not recur in the current period as we are rebuilding our pipeline. We are also building this business which we acquired out of bankruptcy in 2024 as part of the SunPower Businesses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revenues and costs in the thirteen week period ended March 29, 2026 are attributable to the acquisition of Sunder on September 24,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margins</w:t>
      </w:r>
    </w:p>
    <w:p>
      <w:pPr>
        <w:pStyle w:val="TextBody"/>
        <w:bidi w:val="0"/>
        <w:spacing w:before="0" w:after="0"/>
        <w:ind w:left="0" w:right="0" w:firstLine="720"/>
        <w:jc w:val="both"/>
        <w:rPr>
          <w:caps w:val="false"/>
          <w:smallCaps w:val="false"/>
        </w:rPr>
      </w:pPr>
      <w:r>
        <w:rPr>
          <w:caps w:val="false"/>
          <w:smallCaps w:val="false"/>
        </w:rPr>
        <w:t> </w:t>
      </w:r>
    </w:p>
    <w:tbl>
      <w:tblPr>
        <w:tblW w:w="7041" w:type="dxa"/>
        <w:jc w:val="left"/>
        <w:tblInd w:w="0" w:type="dxa"/>
        <w:tblLayout w:type="fixed"/>
        <w:tblCellMar>
          <w:top w:w="0" w:type="dxa"/>
          <w:left w:w="0" w:type="dxa"/>
          <w:bottom w:w="0" w:type="dxa"/>
          <w:right w:w="0" w:type="dxa"/>
        </w:tblCellMar>
      </w:tblPr>
      <w:tblGrid>
        <w:gridCol w:w="2435"/>
        <w:gridCol w:w="90"/>
        <w:gridCol w:w="183"/>
        <w:gridCol w:w="736"/>
        <w:gridCol w:w="228"/>
        <w:gridCol w:w="95"/>
        <w:gridCol w:w="183"/>
        <w:gridCol w:w="736"/>
        <w:gridCol w:w="215"/>
        <w:gridCol w:w="90"/>
        <w:gridCol w:w="155"/>
        <w:gridCol w:w="680"/>
        <w:gridCol w:w="110"/>
        <w:gridCol w:w="90"/>
        <w:gridCol w:w="152"/>
        <w:gridCol w:w="543"/>
        <w:gridCol w:w="320"/>
      </w:tblGrid>
      <w:tr>
        <w:trPr/>
        <w:tc>
          <w:tcPr>
            <w:tcW w:w="2435"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29,</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18,011</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22,615</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73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9,961</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73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28,422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28,106</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51,037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73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73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revenues decreased primarily attributable to lower installation activity resulting from softer consumer demand. Higher interest rates increased financing costs for homeowners, and the expiration of certain ITCs reduced the economic incentive to adopt residential solar. As a result, installation volumes declined, leading to lower associated material, labor, and subcontractor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cost of revenues decreased primarily driven by reduced solar installation option due to the demands of keeping home prices down demanded by home buyers. Homebuilders slowed construction primarily reducing optional features due to elevated mortgage rates, affordability pressures on buyers, and the reduced benefit of ITCs for solar-equipped new homes.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6841" w:type="dxa"/>
        <w:jc w:val="left"/>
        <w:tblInd w:w="0" w:type="dxa"/>
        <w:tblLayout w:type="fixed"/>
        <w:tblCellMar>
          <w:top w:w="0" w:type="dxa"/>
          <w:left w:w="0" w:type="dxa"/>
          <w:bottom w:w="0" w:type="dxa"/>
          <w:right w:w="0" w:type="dxa"/>
        </w:tblCellMar>
      </w:tblPr>
      <w:tblGrid>
        <w:gridCol w:w="2435"/>
        <w:gridCol w:w="90"/>
        <w:gridCol w:w="192"/>
        <w:gridCol w:w="772"/>
        <w:gridCol w:w="109"/>
        <w:gridCol w:w="109"/>
        <w:gridCol w:w="222"/>
        <w:gridCol w:w="742"/>
        <w:gridCol w:w="90"/>
        <w:gridCol w:w="90"/>
        <w:gridCol w:w="155"/>
        <w:gridCol w:w="620"/>
        <w:gridCol w:w="110"/>
        <w:gridCol w:w="90"/>
        <w:gridCol w:w="137"/>
        <w:gridCol w:w="558"/>
        <w:gridCol w:w="320"/>
      </w:tblGrid>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6,553</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20,845</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commissions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28,564</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commissions decreased slightly primarily due to lower residential installation volumes. Softer consumer demand driven by higher interest rates increased financing costs and the expiration of certain ITCs resulted in fewer closed sales, which reduced commissionable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commissions increased modestly due to changes in the mix of homebuilder programs and compensation structures, including higher per-unit commission rates on certain projects. Timing of community launches and sales cycles also contributed to the year-over-year variance.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tbl>
      <w:tblPr>
        <w:tblW w:w="6810" w:type="dxa"/>
        <w:jc w:val="left"/>
        <w:tblInd w:w="0" w:type="dxa"/>
        <w:tblLayout w:type="fixed"/>
        <w:tblCellMar>
          <w:top w:w="0" w:type="dxa"/>
          <w:left w:w="0" w:type="dxa"/>
          <w:bottom w:w="0" w:type="dxa"/>
          <w:right w:w="0" w:type="dxa"/>
        </w:tblCellMar>
      </w:tblPr>
      <w:tblGrid>
        <w:gridCol w:w="2435"/>
        <w:gridCol w:w="90"/>
        <w:gridCol w:w="222"/>
        <w:gridCol w:w="742"/>
        <w:gridCol w:w="116"/>
        <w:gridCol w:w="116"/>
        <w:gridCol w:w="222"/>
        <w:gridCol w:w="742"/>
        <w:gridCol w:w="90"/>
        <w:gridCol w:w="90"/>
        <w:gridCol w:w="155"/>
        <w:gridCol w:w="575"/>
        <w:gridCol w:w="110"/>
        <w:gridCol w:w="90"/>
        <w:gridCol w:w="152"/>
        <w:gridCol w:w="543"/>
        <w:gridCol w:w="320"/>
      </w:tblGrid>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3,539</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and marketing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and marketing expenses decreased reflecting reduced spending on lead generation, advertising, and promotional programs as we scaled back customer-acquisition efforts in response to softer demand. Higher interest rates increased financing costs for homeowners, and the expiration of certain ITCs reduced the economic incentive to adopt residential solar. As a result, we intentionally moderated marketing investments to align with lower sales volumes. In addition, we acquired Sunder a sales force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and marketing expenses had no comparable expenses in the prior-year period as the Company does not make significant investments in sales and marketing spend.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jc w:val="both"/>
        <w:rPr>
          <w:caps w:val="false"/>
          <w:smallCaps w:val="false"/>
        </w:rPr>
      </w:pPr>
      <w:r>
        <w:rPr>
          <w:caps w:val="false"/>
          <w:smallCaps w:val="false"/>
        </w:rPr>
        <w:t> </w:t>
      </w:r>
    </w:p>
    <w:tbl>
      <w:tblPr>
        <w:tblW w:w="7017" w:type="dxa"/>
        <w:jc w:val="left"/>
        <w:tblInd w:w="0" w:type="dxa"/>
        <w:tblLayout w:type="fixed"/>
        <w:tblCellMar>
          <w:top w:w="0" w:type="dxa"/>
          <w:left w:w="0" w:type="dxa"/>
          <w:bottom w:w="0" w:type="dxa"/>
          <w:right w:w="0" w:type="dxa"/>
        </w:tblCellMar>
      </w:tblPr>
      <w:tblGrid>
        <w:gridCol w:w="2705"/>
        <w:gridCol w:w="90"/>
        <w:gridCol w:w="192"/>
        <w:gridCol w:w="772"/>
        <w:gridCol w:w="102"/>
        <w:gridCol w:w="102"/>
        <w:gridCol w:w="192"/>
        <w:gridCol w:w="772"/>
        <w:gridCol w:w="90"/>
        <w:gridCol w:w="90"/>
        <w:gridCol w:w="155"/>
        <w:gridCol w:w="620"/>
        <w:gridCol w:w="90"/>
        <w:gridCol w:w="90"/>
        <w:gridCol w:w="137"/>
        <w:gridCol w:w="558"/>
        <w:gridCol w:w="260"/>
      </w:tblGrid>
      <w:tr>
        <w:trPr/>
        <w:tc>
          <w:tcPr>
            <w:tcW w:w="27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3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15,833</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general and administrative expenses increased primarily due to higher employee-related expenses, including salaries, benefits, and stock-based compensation, as we continued to invest in operational infrastructure and administrative support functions. Additionally, higher insurance, facilities, and technology-related costs investments that focuses on scalability contributed to the period over period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general and administrative expenses increased primarily due to higher personnel costs and expanded administrative support for homebuilder programs, including project management, compliance, and operational oversight. We also incurred incremental technology, systems, and shared-services costs allocated to the New Homes segment as part of broader organizational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general and administrative expenses primarily relate to personnel, facilities, and administrative overhead associated with integrating and operating the Dealer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29, 2026, consisted principally of $4.5 million attributable to our September 2024 Notes and $1.8 attributable to the July 2024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30, 2025, consisted principally of $5.0 million of interest expense attributable to our September 2024 Notes and the remainder principally attributable to the July 2024 Notes.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non-operating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in the thirteen weeks ended March 29, 2026, was $30.8 million. The main drivers consist of $26.6 million gain on the remeasurement of the fair value of derivative liabilities associated with our 12% and 7% senior unsecured convertible notes and $5.2 million gain on the revaluation of deferred consideration, partially offset by a $1.1 million change in the fair value of our forward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thirteen weeks ended March 30, 2025, was $14.6 million. The main drivers of Other non-operating income, net were $15.1 million of gains on the remeasurement of the fair value of derivative liabilities associated with our July 2024 Notes and September 2024 Notes, $0.3 million of income arising from the change in the fair value of our forward purchase agreements and $0.2 million of other income, partially offset by $1.1 million of expense associated with the change in the fair value of our public, private placement and working capital warrants which are accounted for as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income for the thirteen-weeks ended March 29, 2026 was $5.25 million, a $0.4 million increase in our net income as compared to net income of $4.8 million for the thirteen weeks ended March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 ended December 28, 2025 (“2025”) compared to the fiscal year ended December 29, 2024 (“2024”)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we discuss the results of our operations for fiscal 2025 compared to fiscal 2024. We discuss our cash flows and current financial condition under “Liquidity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statements of operations data for the fiscal years ended December 28, 2025 and December 29, 2024, respectively. We have derived this data from our consolidated financial statements included elsewhere in this prospectus. This information should be read in conjunction with our consolidated financial statements and related notes included elsewhere in this prospectus. The results of historical periods are not necessarily indicative of the results of operations for any future period. Within the tables presented, percentages are calculated based on the underlying whole-dollar amounts and, therefore, may not recalculate exactly from the rounded numbers used for disclosure purposes.</w:t>
      </w:r>
    </w:p>
    <w:p>
      <w:pPr>
        <w:pStyle w:val="TextBody"/>
        <w:bidi w:val="0"/>
        <w:spacing w:before="0" w:after="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725"/>
        <w:gridCol w:w="90"/>
        <w:gridCol w:w="211"/>
        <w:gridCol w:w="993"/>
        <w:gridCol w:w="215"/>
        <w:gridCol w:w="90"/>
        <w:gridCol w:w="211"/>
        <w:gridCol w:w="993"/>
        <w:gridCol w:w="215"/>
        <w:gridCol w:w="90"/>
        <w:gridCol w:w="155"/>
        <w:gridCol w:w="725"/>
        <w:gridCol w:w="110"/>
        <w:gridCol w:w="90"/>
        <w:gridCol w:w="121"/>
        <w:gridCol w:w="574"/>
        <w:gridCol w:w="260"/>
      </w:tblGrid>
      <w:tr>
        <w:trPr/>
        <w:tc>
          <w:tcPr>
            <w:tcW w:w="37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1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191,258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r>
              <w:rPr>
                <w:rFonts w:ascii="Times New Roman;Times;Serif" w:hAnsi="Times New Roman;Times;Serif"/>
                <w:b w:val="false"/>
                <w:i w:val="false"/>
                <w:caps w:val="false"/>
                <w:smallCaps w:val="false"/>
                <w:position w:val="7"/>
                <w:sz w:val="16"/>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170,788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129,212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39,502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89,710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24,590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r>
              <w:rPr>
                <w:rFonts w:ascii="Times New Roman;Times;Serif" w:hAnsi="Times New Roman;Times;Serif"/>
                <w:b w:val="false"/>
                <w:i w:val="false"/>
                <w:caps w:val="false"/>
                <w:smallCaps w:val="false"/>
                <w:position w:val="7"/>
                <w:sz w:val="16"/>
                <w:sz w:val="20"/>
              </w:rPr>
              <w:t>(1)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r>
              <w:rPr>
                <w:rFonts w:ascii="Times New Roman;Times;Serif" w:hAnsi="Times New Roman;Times;Serif"/>
                <w:b w:val="false"/>
                <w:i w:val="false"/>
                <w:caps w:val="false"/>
                <w:smallCaps w:val="false"/>
                <w:position w:val="7"/>
                <w:sz w:val="16"/>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76,594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156,143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108,011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48,132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(26,931</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(68,509</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41,578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r>
              <w:rPr>
                <w:rFonts w:ascii="Times New Roman;Times;Serif" w:hAnsi="Times New Roman;Times;Serif"/>
                <w:b w:val="false"/>
                <w:i w:val="false"/>
                <w:caps w:val="false"/>
                <w:smallCaps w:val="false"/>
                <w:position w:val="7"/>
                <w:sz w:val="16"/>
                <w:sz w:val="20"/>
              </w:rPr>
              <w:t>(2)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(25,095</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(16,223</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w:t>
            </w:r>
            <w:r>
              <w:rPr>
                <w:rFonts w:ascii="Times New Roman;Times;Serif" w:hAnsi="Times New Roman;Times;Serif"/>
                <w:b w:val="false"/>
                <w:i w:val="false"/>
                <w:caps w:val="false"/>
                <w:smallCaps w:val="false"/>
                <w:position w:val="7"/>
                <w:sz w:val="16"/>
                <w:sz w:val="20"/>
              </w:rPr>
              <w:t>(3)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troubled debt restructuring</w:t>
            </w:r>
            <w:r>
              <w:rPr>
                <w:rFonts w:ascii="Times New Roman;Times;Serif" w:hAnsi="Times New Roman;Times;Serif"/>
                <w:b w:val="false"/>
                <w:i w:val="false"/>
                <w:caps w:val="false"/>
                <w:smallCaps w:val="false"/>
                <w:position w:val="7"/>
                <w:sz w:val="16"/>
                <w:sz w:val="20"/>
              </w:rPr>
              <w:t>(4)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(22,337</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 before taxes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(42,676</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(provision)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(44,254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75"/>
        <w:gridCol w:w="581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stock-based compensation expense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6164" w:type="dxa"/>
        <w:jc w:val="left"/>
        <w:tblInd w:w="0" w:type="dxa"/>
        <w:tblLayout w:type="fixed"/>
        <w:tblCellMar>
          <w:top w:w="0" w:type="dxa"/>
          <w:left w:w="0" w:type="dxa"/>
          <w:bottom w:w="0" w:type="dxa"/>
          <w:right w:w="0" w:type="dxa"/>
        </w:tblCellMar>
      </w:tblPr>
      <w:tblGrid>
        <w:gridCol w:w="3395"/>
        <w:gridCol w:w="90"/>
        <w:gridCol w:w="232"/>
        <w:gridCol w:w="928"/>
        <w:gridCol w:w="90"/>
        <w:gridCol w:w="90"/>
        <w:gridCol w:w="278"/>
        <w:gridCol w:w="926"/>
        <w:gridCol w:w="135"/>
      </w:tblGrid>
      <w:tr>
        <w:trPr/>
        <w:tc>
          <w:tcPr>
            <w:tcW w:w="339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4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c>
          <w:tcPr>
            <w:tcW w:w="9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expense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3,067</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interest expense and amortization of debt discount costs with related parties of $5.7 million and $7.6 million in 2025 and 2024,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7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2025 (i) a gain of $3.5 million due to the change in the fair value of derivative liabilities; and (ii) $0.1 million of other income due to a change in the fair value of a forward purchase agreement.</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2024; (i) $0.7 million of expense in connection with the conversion of SAFE Agreements into shares of common stock and the change in the fair value of SAFE Agreements, (ii) $3.0 million of expense in connection with the loss on issuance of a derivative liability and $0.3 million of income due to the change in the value of derivative liabilities, and (iii) $0.1 million of income in connection with the change in the fair value of forward purchase agreements.</w:t>
            </w:r>
          </w:p>
        </w:tc>
      </w:tr>
    </w:tbl>
    <w:p>
      <w:pPr>
        <w:pStyle w:val="TextBody"/>
        <w:bidi w:val="0"/>
        <w:spacing w:before="0" w:after="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275"/>
        <w:gridCol w:w="470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includes $12.5 million with a related party in 2024.</w:t>
            </w:r>
          </w:p>
        </w:tc>
      </w:tr>
    </w:tbl>
    <w:p>
      <w:pPr>
        <w:pStyle w:val="TextBody"/>
        <w:bidi w:val="0"/>
        <w:spacing w:before="0" w:after="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reportable segments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2435"/>
        <w:gridCol w:w="90"/>
        <w:gridCol w:w="211"/>
        <w:gridCol w:w="993"/>
        <w:gridCol w:w="90"/>
        <w:gridCol w:w="90"/>
        <w:gridCol w:w="211"/>
        <w:gridCol w:w="993"/>
        <w:gridCol w:w="90"/>
        <w:gridCol w:w="90"/>
        <w:gridCol w:w="155"/>
        <w:gridCol w:w="725"/>
        <w:gridCol w:w="90"/>
        <w:gridCol w:w="90"/>
        <w:gridCol w:w="137"/>
        <w:gridCol w:w="558"/>
        <w:gridCol w:w="260"/>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160,987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67,460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93,527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124,595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41,282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83,313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191,258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increased primarily attributed to a full year of Solar Installation due to the acquisition of SunPower Businesses at the beginning of our fourth quarter in fiscal year ended December 29, 2024. New Homes Business increased due to the sale of solar system sales to home builders and the completion of backlog projects acquired with the SunPower Businesses. Dealer revenues are attributable to the acquisition of Sunder.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w:t>
      </w:r>
    </w:p>
    <w:p>
      <w:pPr>
        <w:pStyle w:val="TextBody"/>
        <w:bidi w:val="0"/>
        <w:spacing w:before="0" w:after="0"/>
        <w:ind w:left="0" w:right="0" w:firstLine="720"/>
        <w:jc w:val="both"/>
        <w:rPr>
          <w:caps w:val="false"/>
          <w:smallCaps w:val="false"/>
        </w:rPr>
      </w:pPr>
      <w:r>
        <w:rPr>
          <w:caps w:val="false"/>
          <w:smallCaps w:val="false"/>
        </w:rPr>
        <w:t> </w:t>
      </w:r>
    </w:p>
    <w:tbl>
      <w:tblPr>
        <w:tblW w:w="7559" w:type="dxa"/>
        <w:jc w:val="left"/>
        <w:tblInd w:w="0" w:type="dxa"/>
        <w:tblLayout w:type="fixed"/>
        <w:tblCellMar>
          <w:top w:w="0" w:type="dxa"/>
          <w:left w:w="0" w:type="dxa"/>
          <w:bottom w:w="0" w:type="dxa"/>
          <w:right w:w="0" w:type="dxa"/>
        </w:tblCellMar>
      </w:tblPr>
      <w:tblGrid>
        <w:gridCol w:w="2435"/>
        <w:gridCol w:w="90"/>
        <w:gridCol w:w="211"/>
        <w:gridCol w:w="993"/>
        <w:gridCol w:w="215"/>
        <w:gridCol w:w="90"/>
        <w:gridCol w:w="241"/>
        <w:gridCol w:w="964"/>
        <w:gridCol w:w="215"/>
        <w:gridCol w:w="90"/>
        <w:gridCol w:w="155"/>
        <w:gridCol w:w="725"/>
        <w:gridCol w:w="90"/>
        <w:gridCol w:w="90"/>
        <w:gridCol w:w="137"/>
        <w:gridCol w:w="558"/>
        <w:gridCol w:w="260"/>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1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88,400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45,266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43,134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82,288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23,974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58,314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170,788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 increase is primarily attributed to a full year of Solar Installation as described above. New Homes Business cost of revenue increased as a result of a full year of completing backlog and the inventory costs associated with each solar system sale. Cost of revenues attributable to the Dealer network is attributable to the acquisition of Sunder.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gross margins is attributed to operational efficiencies gained through the synergies created by consolidating the various lines of business and streamlining direct overhead costs attributed to each solar installation.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7205" w:type="dxa"/>
        <w:jc w:val="left"/>
        <w:tblInd w:w="0" w:type="dxa"/>
        <w:tblLayout w:type="fixed"/>
        <w:tblCellMar>
          <w:top w:w="0" w:type="dxa"/>
          <w:left w:w="0" w:type="dxa"/>
          <w:bottom w:w="0" w:type="dxa"/>
          <w:right w:w="0" w:type="dxa"/>
        </w:tblCellMar>
      </w:tblPr>
      <w:tblGrid>
        <w:gridCol w:w="2435"/>
        <w:gridCol w:w="90"/>
        <w:gridCol w:w="241"/>
        <w:gridCol w:w="964"/>
        <w:gridCol w:w="90"/>
        <w:gridCol w:w="90"/>
        <w:gridCol w:w="241"/>
        <w:gridCol w:w="964"/>
        <w:gridCol w:w="90"/>
        <w:gridCol w:w="90"/>
        <w:gridCol w:w="155"/>
        <w:gridCol w:w="620"/>
        <w:gridCol w:w="90"/>
        <w:gridCol w:w="90"/>
        <w:gridCol w:w="137"/>
        <w:gridCol w:w="558"/>
        <w:gridCol w:w="260"/>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26,298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23,388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commissions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24,590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and New Homes Business sales commission increased from the prior fiscal year ended December 28, 2025 is primarily attributable to the increase in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jc w:val="both"/>
        <w:rPr>
          <w:caps w:val="false"/>
          <w:smallCaps w:val="false"/>
        </w:rPr>
      </w:pPr>
      <w:r>
        <w:rPr>
          <w:caps w:val="false"/>
          <w:smallCaps w:val="false"/>
        </w:rPr>
        <w:t> </w:t>
      </w:r>
    </w:p>
    <w:tbl>
      <w:tblPr>
        <w:tblW w:w="7204" w:type="dxa"/>
        <w:jc w:val="left"/>
        <w:tblInd w:w="0" w:type="dxa"/>
        <w:tblLayout w:type="fixed"/>
        <w:tblCellMar>
          <w:top w:w="0" w:type="dxa"/>
          <w:left w:w="0" w:type="dxa"/>
          <w:bottom w:w="0" w:type="dxa"/>
          <w:right w:w="0" w:type="dxa"/>
        </w:tblCellMar>
      </w:tblPr>
      <w:tblGrid>
        <w:gridCol w:w="2435"/>
        <w:gridCol w:w="90"/>
        <w:gridCol w:w="241"/>
        <w:gridCol w:w="964"/>
        <w:gridCol w:w="90"/>
        <w:gridCol w:w="90"/>
        <w:gridCol w:w="278"/>
        <w:gridCol w:w="926"/>
        <w:gridCol w:w="90"/>
        <w:gridCol w:w="90"/>
        <w:gridCol w:w="155"/>
        <w:gridCol w:w="620"/>
        <w:gridCol w:w="90"/>
        <w:gridCol w:w="90"/>
        <w:gridCol w:w="137"/>
        <w:gridCol w:w="558"/>
        <w:gridCol w:w="260"/>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8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&amp; marketing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 increased in fiscal 2025 compared to fiscal 2024 due to increase in overall headcount due to combined business and increasing sales and marketing footprint. New Homes Business increased when compared to prior year primarily attributable to our decision to invest in sales and marketing efforts in fiscal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General and Administrative </w:t>
      </w:r>
    </w:p>
    <w:p>
      <w:pPr>
        <w:pStyle w:val="TextBody"/>
        <w:bidi w:val="0"/>
        <w:spacing w:before="0" w:after="0"/>
        <w:jc w:val="both"/>
        <w:rPr>
          <w:caps w:val="false"/>
          <w:smallCaps w:val="false"/>
        </w:rPr>
      </w:pPr>
      <w:r>
        <w:rPr>
          <w:caps w:val="false"/>
          <w:smallCaps w:val="false"/>
        </w:rPr>
        <w:t> </w:t>
      </w:r>
    </w:p>
    <w:tbl>
      <w:tblPr>
        <w:tblW w:w="7475" w:type="dxa"/>
        <w:jc w:val="left"/>
        <w:tblInd w:w="0" w:type="dxa"/>
        <w:tblLayout w:type="fixed"/>
        <w:tblCellMar>
          <w:top w:w="0" w:type="dxa"/>
          <w:left w:w="0" w:type="dxa"/>
          <w:bottom w:w="0" w:type="dxa"/>
          <w:right w:w="0" w:type="dxa"/>
        </w:tblCellMar>
      </w:tblPr>
      <w:tblGrid>
        <w:gridCol w:w="2705"/>
        <w:gridCol w:w="90"/>
        <w:gridCol w:w="241"/>
        <w:gridCol w:w="964"/>
        <w:gridCol w:w="90"/>
        <w:gridCol w:w="90"/>
        <w:gridCol w:w="241"/>
        <w:gridCol w:w="964"/>
        <w:gridCol w:w="90"/>
        <w:gridCol w:w="90"/>
        <w:gridCol w:w="155"/>
        <w:gridCol w:w="620"/>
        <w:gridCol w:w="90"/>
        <w:gridCol w:w="90"/>
        <w:gridCol w:w="178"/>
        <w:gridCol w:w="517"/>
        <w:gridCol w:w="260"/>
      </w:tblGrid>
      <w:tr>
        <w:trPr/>
        <w:tc>
          <w:tcPr>
            <w:tcW w:w="27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58,597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57,641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76,594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expenses decreased as a result of declines in our legacy operations following a strategic resizing of this reportable segment including reduction of personnel costs. New Homes Business increased due a full year of operations in fiscal 2025. Dealer reportable segment expenses increased entirely attributable to our acquisition of Sunder.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$25.1 million in fiscal 2025 and principally consisted of $20.4 million attributable to our 7.0% senior unsecured convertible notes and $3.4 million attributable to our 12.0% senior unsecured convertible notes with the remainder attributable to interest expense on our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$16.2 million in fiscal 2024 and principally consisted of (i) $5.5 million related to our 7.0% senior unsecured convertible notes, (ii) $3.5 million related to our 12.0% senior unsecured convertible notes, (iii) $5.8 million relating to obligations that were exchanged during fiscal 2024 for 12.0% senior unsecured convertible notes, and (iv) other of $1.4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Non-Operating Income, Net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$9.3 million in fiscal 2025. Other income principally consisted of $11.5 million of gains from changes in the fair value of derivative liabilities associated with our 12.0% and 7.0% senior unsecured convertible notes and other non-cash income and other of $1.3 million. These gains were partially offset by a $2.8 million increase in the fair value of our public, private placement and working capital warrants accounted for as liabilities, $0.5 million increase in the fair value of our forward purchase agreements liabilities, and $0.2 million increase in the fair value of a SAFE Agreement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$7.9 million in fiscal 2024. The amounts consisted primarily of a $34.0 million gain on remeasurement of derivative liabilities associated with our 12.0% and 7.0% senior unsecured convertible notes, a $2.9 million net gain due to changes in fair values of warrants accounted for as liabilities, a $0.6 million gain due to the change in the fair value of SAFE Agreements and net other of $0.2 million partially offset by a $24.7 million loss on issuance of a derivative liabilities, $3.8 million of other financing costs and $1.3 million loss on the conversion of SAFE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from continuing operations in 2025, was $44.3 million, a decrease in net loss of $10.1 million, as compared to a net loss from continuing operations of $54.4 million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loss was $19.2 million in the thirteen week period ended March 29, 2026. As of March 29, 2026, we had an accumulated deficit of $451.5 million, current debt of $38.0 million, and cash and cash equivalents (excluding restricted cash) of $9.5 million which was held for working capital expenditures. We believe our operating losses and negative operating cash flows will continue into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Changes to our Liquidity and Capital Resources since December 28,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White Lion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we and White Lion Capital, LLC (“White Lion”) entered into Amendment No. 3 (the “Amendment No. 3”) to the Common Stock Purchase Agreement, dated July 16, 2024, between the Company and White Lion, as previously amended by Amendment No. 1, effective July 24, 2024, and Amendment No. 2, effective August 14, 2024 (as amended, the “Purchase Agreement”). Amendment No. 3 extends the commitment period under the Purchase Agreement (the “Commitment Period”) to the earlier of December 31, 2027 and the date on which White Lion has purchased an aggregate number of shares of our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Purchase Agreement, from time to time in our sole discretion, during the Commitment Period. Lastly, Amendment No. 3 adds an option for the Company to submit three hour rapid purchase notices to White Lion that, if accepted by White Lion and otherwise delivered in accordance with the Purchase Agreement, would enable us to sell shares of our common stock to White Lion based on the lowest traded price of our common stock during the three-hour valuation period following White Lion’s written acceptance of a three hour purchase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a Standby Equity Purchase Agreement (the “SEPA”) with YA II PN, LTD. (“YA”). Under the SEPA, YA agreed to advance up to $20.0 million (the “Prepaid Advances”) to us in the form of convertible promissory notes. (each, a “Promissory Note”), subject to the terms and conditions of the SEPA. As discussed below, we received an initial Pre-Paid Advance of $1.9 million, and the Company’s rights to further Pre-Paid Advances terminated pursuant to the terms of the SEPA. The Pre-Paid Advance under the Promissory Notes accrue interest at 0% per annum, increasing to 18% per annum upon the occurrence of an event of default. The Pre-Paid Advance that we received was funded at a 10% original issue discount. In addition, the SEPA provides us with the right, but not the obligation, to require YA to purchase up to $25.0 million (“Commitment Amount”) of our common stock through January 27, 2029, subject to customary limitations and conditions, including trading volume and ownership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us under the SEPA the Commitment Amount in full. We may terminate the SEPA at any time upon five trading days’ prior written notice to YA, provided that there are no outstanding advance notices under which we have yet to issue shares of our common stock, there are no amounts outstanding under any promissory notes, and provided that we have paid all amounts owed to YA pursuant to the SEPA. We and YA may also agree to terminate the SEPA by mutual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the SEPA as a flexible source of potential liquidity; however, the issuance of equity under the SEPA could result in dilution to existing stockholders, and the availability of proceeds is subject to market conditions and compliance with the agreement’s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we paid YA a due diligence, structuring and commitment fee totaling $0.4 million which consisted of $0.05 million cash and 175,000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for net proceeds received totaling $1.7 million after the contractual discount. The $1.9 Million Note matures on January 27, 2027, subject to extension at YA’s option, and is convertible into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March 2026 Bridge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we entered into a purchase agreement with YA pursuant to which we issued a convertible debenture in the principal amount of $10.0 million (the “March 2026 Bridge Note”) for net proceeds of approximately $9.0 million, after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bears interest at 0% per annum, increasing to 18% per annum upon the occurrence of an event of default, and matures on March 6, 2027, subject to extension at YA’s option. Beginning on May 6, 2026, we are required to make monthly installment payments through September 6, 2026, each consisting of $2.0 million of principal, a payment premium of $0.06 million, and any accrued interest. Each installment may be satisfied, at the Company’s option, in cash, through the issuance of shares pursuant to an advance notice under the SEPA, or through a combination of both. The terms of the March 2026 Bridge Note were subsequently amended as summarized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is convertible into shares of our common stock at the option of YA. Outstanding balances may be converted at an adjusted fixed price of $1.64 per share, or, with respect to amounts due and unpaid on or after an installment date, at a variable price based on a percentage of our stock’s recent trading prices, subject to a floor price. The March 2026 Bridge Note also permits us, under certain conditions, to redeem amounts outstanding prior to maturity, which may require the payment of a premium depending on the timing of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transactions subsequent to March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quarter ended March 29, 2026, we completed several significant financing and capital restructuring transactions. On April 21, 2026, we completed a private offering (“Private Offering”) of $41.0 million aggregate principal amount of 10.0% Convertible Senior Secured Notes due 2029 (the “10% Senior Secured Notes”). The Private Offering included (i) $25.0 million of notes issued to institutional investors, (ii) $6.0 million of notes issued to an affiliate of our CEO in exchange for amounts previously advanced under the Third SAFE and Fourth SAFE (refer to </w:t>
      </w:r>
      <w:r>
        <w:rPr>
          <w:rFonts w:ascii="Times New Roman;Times;Serif" w:hAnsi="Times New Roman;Times;Serif"/>
          <w:b/>
          <w:i w:val="false"/>
          <w:caps w:val="false"/>
          <w:smallCaps w:val="false"/>
          <w:sz w:val="20"/>
        </w:rPr>
        <w:t>Note 8 – SAFE Agreement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18 – Subsequent Events to Unaudited Condensed Consolidated Financial Statements </w:t>
      </w:r>
      <w:r>
        <w:rPr>
          <w:rFonts w:ascii="Times New Roman;Times;Serif" w:hAnsi="Times New Roman;Times;Serif"/>
          <w:b w:val="false"/>
          <w:i w:val="false"/>
          <w:caps w:val="false"/>
          <w:smallCaps w:val="false"/>
          <w:sz w:val="20"/>
        </w:rPr>
        <w:t>for details of the SAFE Agreements) and (iii) $10.0 million of notes issued in connection with the exchange of the Seller Note (as described below). Net proceeds from the Private Offering, after payment of transaction fees and expenses and the settlement of certain obligations, were approximately $9.8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a portion of the gross proceeds from the offering to (i) prepay $5.0 million of the March 2026 Bridge Note, (ii) satisfy payment obligations under an amended settlement agreement with Siemens totaling $4.75 million, (iii) make a $4.0 million cash payment to CPP Note Purchase Agreement (as defined below); and (iv) pay approximately $1.5 million of fees and expenses incurred in connection with the private offering. The remaining proceeds are expected to be used for working capital and general corporate purposes, including repayment of the remaining balance under the March 2026 Bridge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Private Offering, we and YA entered into a letter agreement (the “YA Letter”). Pursuant to the YA Letter, we agreed to voluntary prepay $5.0 million of the outstanding principal amount of March 2026 Bridge Note, resulting in a revised outstanding principal balance under the March 2026 Bridge Note of $5.0 million. We further agreed to repay the remaining principal balance and accrued interest under the March 2026 Bridge Note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we entered into a Note Purchase Agreement with CPP (the “CPP Note Purchase Agreement”) that provides for the following in exchange for the outstanding Seller Note (in addition to the issuance of $10.0 million principal amount of 10% Senior Secured Notes to CPP as summarized above): (i) we made a $4.0 million payment in cash to CPP at the closing under the CPP Note Purchase Agreement and (ii) amended and restated the outstanding Seller Note as further summarized below. In connection with the 10% Senior Secured Notes offering, we amended and restated the Seller Note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April 21, 2026, we entered into privately negotiated exchange agreements with certain holders of our 7.0% Notes due 2029, pursuant to which $21.25 million of the principal amount of such notes was exchanged for shares of our common stock and cash for accrued interest, thereby reducing outstanding indebtedness and future cash interest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Outlook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additional financing opportunities and capital management strategies to support our operating needs and strategic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consist of existing cash balances, cash flows from operations, and access to capital under new and existing financing arrangements. We expect that installment payments under the current obligations will require the use of available cash, equity issuance, or a combination thereof. As a result, our liquidity and capital resources will continue to depend on operating performance, capital market conditions, and our ability to access equity financing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principal short-term (over the next 12 months) cash needs related to our operations will be to fund working capital, acquisitions, payments on our outstanding debt, and legal settlements. We plan to fund any cash requirements for the next 12 months from our existing cash and cash equivalents, cash generated from operations and debt and equity financings. For the long-term period (beyond 12 months), we aim to generate cash flows from operations to support our ongoing business operations and strategic investment plans. We regularly evaluate our liquidity position, debt obligations and expected cash requirements. As part of this ongoing assessment, we may pursue additional financing through the issuance of equity or the debt financing, as necessary, to meet our operational and investment needs. Our ability to obtain debt or any other additional financing that we may choose to, or need to, obtain will depend on, among other things, our development efforts, business plans, operating performance and the condition of the capital markets at the time we seek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significantly impairs our ability to raise the necessary capital to fund our operations and execute our strategy. If we seek to access to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thirteen weeks ended March 29, 2026 and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4685"/>
        <w:gridCol w:w="90"/>
        <w:gridCol w:w="179"/>
        <w:gridCol w:w="785"/>
        <w:gridCol w:w="122"/>
        <w:gridCol w:w="100"/>
        <w:gridCol w:w="194"/>
        <w:gridCol w:w="725"/>
        <w:gridCol w:w="155"/>
      </w:tblGrid>
      <w:tr>
        <w:trPr/>
        <w:tc>
          <w:tcPr>
            <w:tcW w:w="468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22"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(25,656</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w:t>
            </w:r>
          </w:p>
        </w:tc>
        <w:tc>
          <w:tcPr>
            <w:tcW w:w="122"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caps w:val="false"/>
                <w:smallCaps w:val="false"/>
              </w:rPr>
            </w:pPr>
            <w:r>
              <w:rPr>
                <w:caps w:val="false"/>
                <w:smallCaps w:val="false"/>
              </w:rPr>
              <w:t>—</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22,267</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 cash equivalents and restricted cash</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w:t>
            </w:r>
          </w:p>
        </w:tc>
        <w:tc>
          <w:tcPr>
            <w:tcW w:w="1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(2,825</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$25.6 million in the thirteen weeks ended March 29, 2026. Net income of $4.1 million was offset by unfavorable non-cash adjustments of $22.0 million and an $8.9 million net cash outflow of operating assets and liabilities. Unfavorable non-cash adjustments consisted principally of a $26.6 million change in the fair value of derivative liabilities, $5.2 million unfavorable change in the fair value of the deferred consideration, $0.6 million deferred tax benefit and $0.6 million change in the fair value of warrants, partially offset by a $3.7 million of amortization of debt issuance costs, $3.6 million of depreciation and amortization, $1.6 million of stock-based compensation expense, $1.1 million change in the fair value of forward purchase agreements, $0.5 million of non-cash lease expense and net other adjustments of $0.5 million, Net cash outflows from changes in operating assets and liabilities principally consisted of a $12.9 million decrease in contract liabilities, $10.9 million increase in prepaid expenses and other assets and a $1.8 million decrease in accounts payable, partially offset by a $9.7 million increase in accrued expenses and other current liabilities, $5.0 million decrease in accounts receivable and a $2.0 million decrease in inventories.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$2.7 million in the thirteen weeks ended March 30, 2025, was due to net income of $4.8 million offset by $7.4 million of unfavorable noncash adjustments and $0.1 million of cash outflow from changes in operating assets and liabilities. Non-cash adjustments consisted principally of $15.1 million arising from remeasurement of derivative liabilities, partially offset by $3.7 million of amortization of debt issuance costs, $1.6 million of depreciation and amortization, $1.1 million provision for credit losses, $1.1 million due to the change in the fair value of warrants classified as liabilities, and $0.5 million of stock-based compensation. Cash outflows from changes in operating assets consisted principally of $11.3 million increase in contract assets, $4.4 million increase in prepaid expenses and other current assets, a $5.2 million decrease in accrued expenses and other liabilities, and a $0.4 million decrease in current operating lease liabilities almost entirely offset by an $11.4 million decrease in inventories, a $6.9 million increase in accounts payable and a $3.1 million decrease in contract liabilities.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inflow of $0.5 million from investing activities in the thirteen week period ended March 29, 2026 is attributable to the cash acquired in the acquisition of Cobalt. Cobalt was acquired in exchange for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zero in the thirteen-weeks ended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was $22.2 million for the thirteen weeks ended March 29, 2026 and consisted principally of $10.7 million in proceeds from the issuance of short-term debt, $1.3 million in proceeds from a related party in exchange for the issuance of 12% senior unsecured convertible notes, $7.0 million of proceeds from the issuance of our common stock and a related party investor deposit of $5.0 million partially offset by $1.1 million in principal payments on our 12% senior unsecured convertible notes and $0.7 million of finance lease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$0.2 million for the thirteen weeks ended March 30, 2025, and consisted of $0.5 million of payments on our finance leases partially offset by $0.2 million in proceeds from the issuance of September 2024 Notes, and $0.1 million in proceeds from the exercise of stock options and warrants in exchange for the issuance of shares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Fiscal Years Ended December 28, 2025 and December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fiscal years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528" w:type="dxa"/>
        <w:jc w:val="left"/>
        <w:tblInd w:w="0" w:type="dxa"/>
        <w:tblLayout w:type="fixed"/>
        <w:tblCellMar>
          <w:top w:w="0" w:type="dxa"/>
          <w:left w:w="0" w:type="dxa"/>
          <w:bottom w:w="0" w:type="dxa"/>
          <w:right w:w="0" w:type="dxa"/>
        </w:tblCellMar>
      </w:tblPr>
      <w:tblGrid>
        <w:gridCol w:w="5675"/>
        <w:gridCol w:w="90"/>
        <w:gridCol w:w="223"/>
        <w:gridCol w:w="981"/>
        <w:gridCol w:w="110"/>
        <w:gridCol w:w="90"/>
        <w:gridCol w:w="211"/>
        <w:gridCol w:w="993"/>
        <w:gridCol w:w="155"/>
      </w:tblGrid>
      <w:tr>
        <w:trPr/>
        <w:tc>
          <w:tcPr>
            <w:tcW w:w="567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(54,662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(54,657</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30,905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120,100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 cash equivalents and restricted cash</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10,803</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$15.3 million for the fiscal year ended December 28, 2025 was primarily due to the net loss from continuing operations, net of tax of $44.3 million and net cash outflows of $3.1 million from changes in our operating assets and liabilities which was partially offset by non-cash adjustments of $32.1 million. The main drivers of non-cash charges of $31.3 million consisted of $15.3 million of amortization of debt issuance costs, $10.5 million of stock-based compensation expense, $9.1 million of depreciation and amortization expense, $3.6 million provision for credit losses, $2.8 million loss due to the changes in the fair value warrant liabilities, $1.4 million of non-cash lease expense, and $1.3 million of deferred tax expense, partially offset by an $11.5 million change in the fair value of derivative liabilities, a $0.5 million change in the fair value of our forward purchase agreement liabilities, and a $0.6 million change in the fair value of deferred consideration in connection with our acquisition of Sunder. The main drivers of net cash outflows from changes in operating assets and liabilities consisted of a $38.8 million increase in trade accounts receivable, an $15.9 million decrease in accrued expenses and other current liabilities, a $1.5 million decrease in operating lease liabilities, a $5.6 million increase in prepaid expenses and other assets and a $3.1 million decrease in contract liabilities, partially offset by a $38.4 million decrease in inventories, a $15.3 million increase in accounts payable and an $8.5 million decrease in contract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$54.6 million for the fiscal year ended December 29, 2024 was primarily due to the net loss from continuing operations, net of tax of $54.4 million and net cash outflows of $6.6 million from changes in our operating assets and liabilities which was partially offset by non-cash adjustments of $6.4 million. Non-cash charges primarily consisted of $24.7 million for loss on issuance of derivative liability, $9.1 million provision for credit losses, $5.8 million of amortization of debt issuance costs, $9.2 million of non-cash expense in connection with warrants issued for vendor services, $3.1 million of stock-based compensation expense, $3.9 million accretion of debt in CS Solis, $3.8 million for asset impairment and disposals, $2.7 million for depreciation and amortization, $1.8 million for non-cash interest expense, $0.8 million for lease expense, and $1.3 million for loss on conversion of SAFE Agreements to shares of common stock, and $0.4 million of other financing costs, partially offset by a decrease of $34.0 million for the change in fair value of derivative liabilities, $22.3 million gain on troubled debt restructuring, $2.9 million change in fair value of warrant liabilities, and $1.0 million change due to fair value adjustments. The main drivers of net cash outflows derived from the changes in operating assets and liabilities were related to an increase in contract assets of $21.5 million, a $10.4 million decrease in accounts payable, a $0.8 million decrease in operating lease liabilities, and a $0.2 million increase in prepaid expenses and other current assets, partially offset by an $8.7 million decrease in inventories, a $3.3 million decrease in accounts receivable, a $14.1 million increase in accrued expenses and $0.2 million of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 of $19.3 million in 2025 is principally attributable to the cash paid for the acquisition of Sunder.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from continuing operations of $54.7 million for the fiscal year ended December 29, 2024 was primarily due to the acquisition of SunPower of $53.5 million (net of $1.0 million of cash) and $1.2 million in capital expenditures.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2025 was $30.9 million and consisted of $19.8 million received in exchange for 7.0% senior unsecured convertible notes, $7.0 million received from related party trusts of T.J. Rodgers, our Chairman and CEO, in exchange for 12% senior unsecured convertible notes, an investor deposit of $2.0 million received from a related party trust of T.J. Rodgers, $6.7 million in proceeds from the issuance of shares of our common stock, and $0.6 million in proceeds from the exercise of stock options and a warrant in exchange for shares of our common stock, partially offset by $2.3 million of finance lease payments, $2.2 million in payments on our debt obligations and $0.7 million for taxes paid related to net share settlement of equity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2024 was of $120.1 million and consisted of $107.7 million in proceeds from the issuance of convertible notes, $6.0 million in proceeds from the issuance of SAFE agreement, $6.7 million in proceeds from the issuance of common stock and $0.5 million in proceeds from the exercise of common stock options. The proceeds were partially offset by finance lease payments and the payment of a note aggregating $0.8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Business</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Mission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acquisitions of Sunder, Ambia, Cobalt and SunPower Businesses are collectively referred to herein as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Model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Innovation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Differentiation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Strategy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focuses on providing our sales partners with the software tools, sales support, and ability to compete effectively with national providers. This turnkey solution makes it easy for anyone to sell solar.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System Sales are full systems sold to homeowners, home builders and small to medium-sized commercial businesses through our sales partner channels. We and our builder partners fulfill and install the systems. We believe that we can increase revenue by executing the following approaches: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by expanding installation capacity and developing new geographic markets through our partner programs- </w:t>
            </w:r>
            <w:r>
              <w:rPr>
                <w:rFonts w:ascii="Times New Roman;Times;Serif" w:hAnsi="Times New Roman;Times;Serif"/>
                <w:sz w:val="20"/>
              </w:rPr>
              <w:t>Certain of our partners become builder partners who install systems resulting from sales generated by our sales partners. By leveraging this network of skilled builders, in addition to our in-house installation experts, we aim to increase our installation capacity in traditional markets and expand our offering into new geographies throughout the U.S. We believe this will enable greater sales growth in existing markets and create new revenue in expansion markets.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engaging national-scale sales partners</w:t>
            </w:r>
            <w:r>
              <w:rPr>
                <w:rFonts w:ascii="Times New Roman;Times;Serif" w:hAnsi="Times New Roman;Times;Serif"/>
                <w:sz w:val="20"/>
              </w:rPr>
              <w:t>-We expect to create a consistent offering with a single execution process for national-scale sales partners throughout their territories, including in territories where we do not currently operate. These national accounts have unique customer relationships that will facilitate meaningful sales opportunities and low acquisition cost to increase revenue and improve margin.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and margin by executing on a battery storage opportunity </w:t>
            </w:r>
            <w:r>
              <w:rPr>
                <w:rFonts w:ascii="Times New Roman;Times;Serif" w:hAnsi="Times New Roman;Times;Serif"/>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strengths position us to drive the mass adoption of residential solar in a manner that maximizes the value of our growing customer base over the long term:</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Platform of Services and Tools</w:t>
            </w:r>
            <w:r>
              <w:rPr>
                <w:rFonts w:ascii="Times New Roman;Times;Serif" w:hAnsi="Times New Roman;Times;Serif"/>
                <w:sz w:val="20"/>
              </w:rPr>
              <w:t>: A diversified and multi-pronged customer acquisition approach. This infrastructure underpins the ability to enjoy broad customer reach with a low system-wide cost structure and positions us for expansion to every market where distributed solar energy generation can offer homeowners savings versus traditional utility retail power.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Differentiated Customer Experience</w:t>
            </w:r>
            <w:r>
              <w:rPr>
                <w:rFonts w:ascii="Times New Roman;Times;Serif" w:hAnsi="Times New Roman;Times;Serif"/>
                <w:sz w:val="20"/>
              </w:rPr>
              <w:t>: We offer a unique customer experience through various methods: customer-friendly solar service features, tailored designs and customizable pricing for each homeowner, a highly consultative sales process, and a focus on customer savings.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Access to customers through third-party sales channels:</w:t>
            </w:r>
            <w:r>
              <w:rPr>
                <w:rFonts w:ascii="Times New Roman;Times;Serif" w:hAnsi="Times New Roman;Times;Serif"/>
                <w:sz w:val="20"/>
              </w:rPr>
              <w:t xml:space="preserve"> The turn-key solar product offering, best-in-class customer service, and national footprint support third-party sales channels and strategic national partnerships. We provide solutions for sales channels seeking to expand their geographic reach and strengthen their relationships with their own customers.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Skilled labor workforce: </w:t>
            </w:r>
            <w:r>
              <w:rPr>
                <w:rFonts w:ascii="Times New Roman;Times;Serif" w:hAnsi="Times New Roman;Times;Serif"/>
                <w:sz w:val="20"/>
              </w:rPr>
              <w:t>We invest in safety first and ensure that our labor workforce is not only proficient in construction and energy but has strong communication, problem-solving and customer service skills. This allows them not only to make decisions quickly onsite but allows them to be empowered to service our customers on the spot and timely.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Service and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investments to create a platform of services and tools that addresses customer origination, system design and installation, and general customer support. Before a sales representative conducts a consultation, homeowners are pre-qualified based on a preliminary evaluation that considers a homeowner’s credit, home ownership, electricity usage and suitability of the roof based on age, condition, shading and pitch. Once a homeowner is pre-qualified, all necessary data is collected, and a proposal is generated for the homeowner. If a homeowner is interested in moving forward, a customer contract is generated for electronic execution. This contract then undergoes a final review before it is countersigned. Homeowners financing their purchase via a loan, lease or power purchase agreement submit applications to financial institutions and, upon credit approval, execute financing agreements between the homeowner and the financier.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an agreement is fully executed, a site audit is performed at the home to inspect the condition of the roof, electrical equipment, and shading. Following this audit are a final system design plan and an application for any required building permits. The plans are reviewed to ensure they conform to the executed contract or to process a change order if required. A second production estimate is generated at that time and if the expected energy production exceeds or falls below the original estimate by certain thresholds, the homeowner agreement is modified accordingly. To reduce installation costs and operational risk, there are defined design and installation quality standards designed to ensure that homeowners receive a quality product, regardless of who installs the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solar panels are installed, the customer care team follows up with the homeowner with a survey on their experience. If a system requires maintenance, we or a dedicated service-only contractor will visit the customer’s home and perform any necessary repairs or maintenance at no additional cost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energy system are the solar modules, inverters, and racking systems. We also offer battery storage and car chargers where it can benefit our customers. We generally purchase components from select distributors, which are then shipped to build partners for installation. There is a running list of approved suppliers in the event any of the sources for modules, inverters or other components become unavailable. If we fail to develop, maintain, and expand relationships with these or other suppliers, the ability to meet anticipated demand for solar energy systems may be adversely affected, or at higher costs or delayed. If one or more of the suppliers ceases or reduces production due to its financial condition, acquisition by a competitor or otherwise, it may be difficult to identify alternate suppliers quickly or to qualify alternative products on commercially reasonable terms, and the ability to satisfy this demand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screen all suppliers and components based on expected cost, reliability, warranty coverage, ease of installation, etc. We typically enter into master contract arrangements with major suppliers that define the general terms and conditions of purchases, including warranties, product specifications, indemnities, delivery and other customary terms. The declining cost of solar modules and the raw materials necessary to manufacture them have been a key driver in the prices charged for electricity and homeowner adoption of solar energy. If solar module and raw material prices do not continue to decline at the same rate as they have over the past several years, the resulting prices could slow growth and cause financial results to suffer. If we are required to pay higher prices for supplies, accept less favorable terms, or purchase solar modules or other system components from alternative, higher-priced sources, financial results may be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build partners are responsible for and source the other products related to solar energy systems, such as fasteners, wiring and electrical fittings. From time-to-time, we procure these other products related to solar energy systems for our own installation business. We manage inventory through just-in-time delivery, at local warehouses, and as segregated inventory at build partners.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module are the solar cells. Our solar modules are generally manufactured by third-party select manufacturers and are purchased from distributors.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competitors are the traditional utilities that supply electricity to potential customers. We compete with these traditional utilities primarily based on price (cents per kilowatt hour), predictability of future prices (by providing pre-determined annual price escalations) and the ease by which homeowners can switch to electricity generated by solar energy systems. Based on these factors, we compete favorably with many traditional utilities.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homeowner customers with other solar sales and installation companies and with solar companies with business models that are like ours. Our main competitors can be grouped broadly into (a) national, vertically integrated companies with established brands and proprietary consumer financing products; (b) small, local solar contractors who operate with relatively low fixed overhead expenses but who may lack systems, tools, and sophisticated product offerings; and (c) sales aggregators who engage with third-party sales companies to generate installation contracts. We compete favorably with these companies, with (a) better customer experience and better sales partner experience than the national vertically integrated companies; (b) better pricing and broader customer offerings than smaller local solar contractors; and (c) a better build partner experience than sales aggregators.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competition from purely finance-driven organizations that acquire homeowner customers and then subcontract out the installation of solar energy systems, installation businesses that seek financing from external parties, large construction companies and utilities and sophisticated electrical and roofing companies.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intellectual property rights by relying on federal, state and common law rights in the U.S. and other countries, as well as contractual restrictions. We generally enter into confidentiality and invention assignment agreements with employees and contractors, and confidentiality agreements with other third parties, to limit access to, and disclosure and use of, confidential information and proprietary technology. In addition to these contractual arrangements, we also rely on a combination of trademarks, trade dress, domain names, copyrights, and trade secrets to help protect the brand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 and Incentives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have used different public policy mechanisms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comes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mechanisms described above, there are various incentives for homeowners and businesses to adopt solar power in The Inflation Reduction Act of 2022 (the “IRA”). On July 4, 2025, the One Big Beautiful Bill Act (the “OBBBA”) was enacted and significantly modified this framework by accelerating the phase-out or termination of certain federal tax incentives and introducing additional eligibility requirements and compliance obligations. In particular, the OBBBA accelerates the termination of the clean electricity investment tax credit and production tax credit for applicable solar facilities, generally limiting availability to projects that begin construction by July 4, 2026 or are placed in service by December 31, 2027, and terminates the residential clean energy credit for property installed after December 31, 2025. The OBBBA also introduces additional restrictions relating to certain foreign entities of concern (“FEOC”) and supply chain sourcing, which may affect project eligibility and increase compliance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 Europe, the European Commission has mandated that its member states adopt integrated national climate and energy plans to increase their renewable energy targets to be achieved by 2030, which could benefit the deployment of solar. However, the U.S. and European Union, among others, have imposed tariffs or other import duties on solar products, or are evaluating the imposition of such duties on solar panels, solar cells, polysilicon, and other components. These import duties may offset the incentives described above and increase the price of our solar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22, 2026, we had 580 employees on a full-time basis. We also engage independent contractors and consultants. No employees are covered by collective bargaining agreements. There have not been any work stoppages.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objectives include identifying, recruiting, retaining, training, and integrating our existing and new employees. The principal purposes of our equity incentive plans are to attract, retain and motivate personnel through the granting of equity-based awards, increasing stockholder value and the success of our Company by motivating such individuals to perform to the best of their abilities and achieve SunPower’s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and executive offices are located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all the facilities and own no real property. We believe that our current facilities are adequate to meet ongoing needs. If additional space is required, we believe that we will be able to obtain additional facilities on commercially reasonable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Corporate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1403 N. Research Way, Orem UT 84097, and our telephone number is (877) 299-4943.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Company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or furnish periodic reports and amendments thereto, including our Annual Reports on Form 10-K, our Quarterly Reports on Form 10-Q and Current Reports on Form 8-K, proxy statements and other information with the SEC. In addition, the SEC maintains a website (www.sec.gov) that contains reports, proxy and information statements, and other information regarding issuers that file electronically. Our internet address is https://us.sunpower.com. Through our internet website, we make available, free of charge, our Annual Report on Form 10-K, quarterly reports on Form 10-Q, current reports on Form 8-K, and all amendments to those reports as soon as reasonably practicable after such reports have been filed with or furnished to the SEC. The link to our website is provided as an inactive textual reference only and the information on our website is not a part of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Management</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their ages as of June 29, 2026 are set forth below.</w:t>
      </w:r>
    </w:p>
    <w:p>
      <w:pPr>
        <w:pStyle w:val="TextBody"/>
        <w:bidi w:val="0"/>
        <w:spacing w:before="0" w:after="0"/>
        <w:ind w:left="0" w:right="0" w:firstLine="360"/>
        <w:jc w:val="both"/>
        <w:rPr>
          <w:caps w:val="false"/>
          <w:smallCaps w:val="false"/>
        </w:rPr>
      </w:pPr>
      <w:r>
        <w:rPr>
          <w:caps w:val="false"/>
          <w:smallCaps w:val="false"/>
        </w:rPr>
        <w:t> </w:t>
      </w:r>
    </w:p>
    <w:tbl>
      <w:tblPr>
        <w:tblW w:w="5325" w:type="dxa"/>
        <w:jc w:val="left"/>
        <w:tblInd w:w="0" w:type="dxa"/>
        <w:tblLayout w:type="fixed"/>
        <w:tblCellMar>
          <w:top w:w="0" w:type="dxa"/>
          <w:left w:w="0" w:type="dxa"/>
          <w:bottom w:w="28" w:type="dxa"/>
          <w:right w:w="0" w:type="dxa"/>
        </w:tblCellMar>
      </w:tblPr>
      <w:tblGrid>
        <w:gridCol w:w="1775"/>
        <w:gridCol w:w="90"/>
        <w:gridCol w:w="2945"/>
        <w:gridCol w:w="90"/>
        <w:gridCol w:w="425"/>
      </w:tblGrid>
      <w:tr>
        <w:trPr/>
        <w:tc>
          <w:tcPr>
            <w:tcW w:w="17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29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90" w:type="dxa"/>
            <w:tcBorders/>
            <w:tcMar>
              <w:bottom w:w="0" w:type="dxa"/>
            </w:tcMar>
            <w:vAlign w:val="center"/>
          </w:tcPr>
          <w:p>
            <w:pPr>
              <w:pStyle w:val="TableContents"/>
              <w:bidi w:val="0"/>
              <w:spacing w:before="0" w:after="283"/>
              <w:jc w:val="left"/>
              <w:rPr/>
            </w:pPr>
            <w:r>
              <w:rPr/>
              <w:t> </w:t>
            </w:r>
          </w:p>
        </w:tc>
        <w:tc>
          <w:tcPr>
            <w:tcW w:w="4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CEO,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Adam Gishen </w:t>
            </w:r>
            <w:r>
              <w:rPr>
                <w:rFonts w:ascii="Times New Roman;Times;Serif" w:hAnsi="Times New Roman;Times;Serif"/>
                <w:position w:val="7"/>
                <w:sz w:val="16"/>
                <w:sz w:val="20"/>
              </w:rPr>
              <w:t>(1) (3)</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Lothar Maier </w:t>
            </w:r>
            <w:r>
              <w:rPr>
                <w:rFonts w:ascii="Times New Roman;Times;Serif" w:hAnsi="Times New Roman;Times;Serif"/>
                <w:position w:val="7"/>
                <w:sz w:val="16"/>
                <w:sz w:val="20"/>
              </w:rPr>
              <w:t>(1) (2)</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Ronald Pasek </w:t>
            </w:r>
            <w:r>
              <w:rPr>
                <w:rFonts w:ascii="Times New Roman;Times;Serif" w:hAnsi="Times New Roman;Times;Serif"/>
                <w:position w:val="7"/>
                <w:sz w:val="16"/>
                <w:sz w:val="20"/>
              </w:rPr>
              <w:t>(1) (3)</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Lead Independent</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Tidjane Thiam </w:t>
            </w: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Devin Whatley </w:t>
            </w:r>
            <w:r>
              <w:rPr>
                <w:rFonts w:ascii="Times New Roman;Times;Serif" w:hAnsi="Times New Roman;Times;Serif"/>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Jamie Haenggi </w:t>
            </w:r>
            <w:r>
              <w:rPr>
                <w:rFonts w:ascii="Times New Roman;Times;Serif" w:hAnsi="Times New Roman;Times;Serif"/>
                <w:position w:val="7"/>
                <w:sz w:val="16"/>
                <w:sz w:val="20"/>
              </w:rPr>
              <w:t>(2)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firstLine="36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290"/>
        <w:gridCol w:w="278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Audit Committee.</w:t>
            </w:r>
          </w:p>
        </w:tc>
      </w:tr>
    </w:tbl>
    <w:p>
      <w:pPr>
        <w:pStyle w:val="TextBody"/>
        <w:bidi w:val="0"/>
        <w:spacing w:before="0" w:after="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90"/>
        <w:gridCol w:w="350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Compensation Committee.</w:t>
            </w:r>
          </w:p>
        </w:tc>
      </w:tr>
    </w:tbl>
    <w:p>
      <w:pPr>
        <w:pStyle w:val="TextBody"/>
        <w:bidi w:val="0"/>
        <w:spacing w:before="0" w:after="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90"/>
        <w:gridCol w:w="551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Nominating and Corporate Governance Committee.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Thurman J. Rodgers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Thurman J. (T.J.) Rodgers, 78, has served as the Chief Executive Officer of the Company since April 2024 and as a member of the Company’s Board of Directors since November 2022 and as Executive Chairman since June 2023. Mr. Rodgers founded Cypress Semiconductor in 1982 and served as Cypress’ Chief Executive Officer from 1982 to 2016. Mr. Rodgers currently serves on the boards of other energy-related companies: including Enovix and Enphase Energy Inc. (energy and storage technologies). From 2004 to 2012, he served as a member of Dartmouth’s 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Antonio R. Alvarez</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Antonio R. Alvarez, 69, has served as a member of the Company’s Board of Directors since November 2022. Mr. Alvarez served as the President of the Company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serves on the Board of Directors of NexGen Power Systems and previously served as a board member of SunEdison, SunEdison Semiconductor, ChipMOS Technology, and Validity Sensors. Mr. Alvarez holds a B.S. and an M.S. in Electrical Engineering from the Georgia Institute of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J. Anderson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William J. Anderson, 49, served as the Chief Executive Officer of the Company from November 2022 to December 2023. 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Adam Gishen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Adam Gishen, 51, served as FACT’s Chief Executive Officer from February until the Business Combination in July 2023, and 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 Lundell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Christopher Lundell, 65, has served as a member of the Company’s Board of Directors since November 2023. Mr. Lundell served as the Chief Executive Officer of the Company from December 2023 to April 2024. Mr. Lundell is the Founder of CMO Grow, a marketing consultancy firm. Prior to that, he was the CMO at Vivint Solar, the President of the Americas at NEXThink, and CMO and COO at Domo. He holds an M.B.A. from Brigham Young University.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Lothar Maier</w:t>
      </w:r>
      <w:r>
        <w:rPr>
          <w:rFonts w:ascii="Times New Roman;Times;Serif" w:hAnsi="Times New Roman;Times;Serif"/>
          <w:b w:val="false"/>
          <w:i w:val="false"/>
          <w:caps w:val="false"/>
          <w:smallCaps w:val="false"/>
          <w:sz w:val="20"/>
        </w:rPr>
        <w:t>. Lothar Maier, 71, has served as a member of the Company’s Board of Directors since November 2024. Mr. Maier served as Director of 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 Daniel McCranie. </w:t>
      </w:r>
      <w:r>
        <w:rPr>
          <w:rFonts w:ascii="Times New Roman;Times;Serif" w:hAnsi="Times New Roman;Times;Serif"/>
          <w:b w:val="false"/>
          <w:i w:val="false"/>
          <w:caps w:val="false"/>
          <w:smallCaps w:val="false"/>
          <w:sz w:val="20"/>
        </w:rPr>
        <w:t>J. Daniel McCranie, 82, has served as a member of the Company’s Board of Directors since January 2025. After his early career 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sales&amp; marketing. He has held 10 board positions in the semiconductor and technology, including having served on the board of Cypress Semiconductor Corporation, from June 2017 to May 2019, ON Semiconductor Corporation, a semiconductor company, from 2001 to 2018, and Enovix Corporation from December 2021 until January 2023. From 2012 to 2017, he served on the board of Mentor Graphics, an electric design automation company. He holds a B.S. in Electrical Engineering from Virginia Polytechnic Institute.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Ronald Pasek</w:t>
      </w:r>
      <w:r>
        <w:rPr>
          <w:rFonts w:ascii="Times New Roman;Times;Serif" w:hAnsi="Times New Roman;Times;Serif"/>
          <w:b w:val="false"/>
          <w:i w:val="false"/>
          <w:caps w:val="false"/>
          <w:smallCaps w:val="false"/>
          <w:sz w:val="20"/>
        </w:rPr>
        <w:t>. Ronald Pasek, 65, has served as a member of the Company’s Board of Directors since February 2023. Since 2015, Mr. Pasek has served as the chairman of the Board of Directors of Spectra7 Microsystems Inc., a Canadian publicly-traded consumer connectivity company. Since January 2026, Mr. Pasek has also served as a director of Extreme Networks, Inc.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Tidjane Thiam</w:t>
      </w:r>
      <w:r>
        <w:rPr>
          <w:rFonts w:ascii="Times New Roman;Times;Serif" w:hAnsi="Times New Roman;Times;Serif"/>
          <w:b w:val="false"/>
          <w:i w:val="false"/>
          <w:caps w:val="false"/>
          <w:smallCaps w:val="false"/>
          <w:sz w:val="20"/>
        </w:rPr>
        <w:t>. Tidjane Thiam, 63, served as a member of the FACT Board and as Executive Chairman of FACT since inception until the 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 was Chief Executive Officer of Credit Suisse Group AG. From 2014 to 2019, Mr. Thiam was a Director of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Devin Whatley</w:t>
      </w:r>
      <w:r>
        <w:rPr>
          <w:rFonts w:ascii="Times New Roman;Times;Serif" w:hAnsi="Times New Roman;Times;Serif"/>
          <w:b w:val="false"/>
          <w:i w:val="false"/>
          <w:caps w:val="false"/>
          <w:smallCaps w:val="false"/>
          <w:sz w:val="20"/>
        </w:rPr>
        <w:t>. Devin Whatley, 57, has served as a member of our Board of Directors since November 2022. Since 2010, Mr. Whatley has served 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Jamie Haenggi</w:t>
      </w:r>
      <w:r>
        <w:rPr>
          <w:rFonts w:ascii="Times New Roman;Times;Serif" w:hAnsi="Times New Roman;Times;Serif"/>
          <w:b w:val="false"/>
          <w:i w:val="false"/>
          <w:caps w:val="false"/>
          <w:smallCaps w:val="false"/>
          <w:sz w:val="20"/>
        </w:rPr>
        <w:t>. Jamie Haenggi, 56 has served as a member of the Company’s Board of Directors since April 2025. Ms. Haenggi brings more than 30 years of executive leadership in sales, marketing, operations, and customer experience across the solar, security, and telecom industries. Most recently, she served as President of ADT Solar and Executive Vice President and Chief Customer Officer of ADT Security Services. Prior to that, she held Chief Marketing Officer and senior executive roles at ADT Security, Protection 1, National Guardian, Holmes Protection, and Vonage. Ms. Haenggi currently serves as Chief Executive Officer of GoodwinBeckham, a boutique executive consulting firm. She holds a Bachelor of Arts in International Relations with minors in East Asian studies and Japanese from the University of Minnesota and an Honorary Doctorate from Taylor University. Ms. Haenggi has been inducted into the Security Industry Hall of Fame and the Direct Marketing News Hall of Femme.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Bernard Gutmann</w:t>
      </w:r>
      <w:r>
        <w:rPr>
          <w:rFonts w:ascii="Times New Roman;Times;Serif" w:hAnsi="Times New Roman;Times;Serif"/>
          <w:b w:val="false"/>
          <w:i w:val="false"/>
          <w:caps w:val="false"/>
          <w:smallCaps w:val="false"/>
          <w:sz w:val="20"/>
        </w:rPr>
        <w:t>. Bernard Gutmann, 66, has served as a member of the Company’s Board of Directors since May 2026. Mr. Gutmann brings close 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 Vice President, Corporate Analysis &amp; Strategy of SCI LLC, a wholly owned subsidiary of ON Semiconductor. From 1999 to 2002, he held the position of Director, Financial Planning &amp; Analysis of SCI LLC.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their ages as of June 29, 2026 are set forth below.</w:t>
      </w:r>
    </w:p>
    <w:p>
      <w:pPr>
        <w:pStyle w:val="TextBody"/>
        <w:bidi w:val="0"/>
        <w:spacing w:before="0" w:after="0"/>
        <w:ind w:left="0" w:right="0" w:firstLine="360"/>
        <w:jc w:val="both"/>
        <w:rPr>
          <w:caps w:val="false"/>
          <w:smallCaps w:val="false"/>
        </w:rPr>
      </w:pPr>
      <w:r>
        <w:rPr>
          <w:caps w:val="false"/>
          <w:smallCaps w:val="false"/>
        </w:rPr>
        <w:t> </w:t>
      </w:r>
    </w:p>
    <w:tbl>
      <w:tblPr>
        <w:tblW w:w="5310" w:type="dxa"/>
        <w:jc w:val="left"/>
        <w:tblInd w:w="0" w:type="dxa"/>
        <w:tblLayout w:type="fixed"/>
        <w:tblCellMar>
          <w:top w:w="0" w:type="dxa"/>
          <w:left w:w="0" w:type="dxa"/>
          <w:bottom w:w="28" w:type="dxa"/>
          <w:right w:w="0" w:type="dxa"/>
        </w:tblCellMar>
      </w:tblPr>
      <w:tblGrid>
        <w:gridCol w:w="1685"/>
        <w:gridCol w:w="90"/>
        <w:gridCol w:w="380"/>
        <w:gridCol w:w="90"/>
        <w:gridCol w:w="3065"/>
      </w:tblGrid>
      <w:tr>
        <w:trPr/>
        <w:tc>
          <w:tcPr>
            <w:tcW w:w="16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30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Accounting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Mr. Rodgers is included with the Director biographies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Jeanne Nguyen.</w:t>
      </w:r>
      <w:r>
        <w:rPr>
          <w:rFonts w:ascii="Times New Roman;Times;Serif" w:hAnsi="Times New Roman;Times;Serif"/>
          <w:b w:val="false"/>
          <w:i w:val="false"/>
          <w:caps w:val="false"/>
          <w:smallCaps w:val="false"/>
          <w:sz w:val="20"/>
        </w:rPr>
        <w:t xml:space="preserve"> Jeanne Nguyen has served as the Chief Accounting Officer since 2024. Jeanne Nguyen served as the Interim Chief Financial Officer of SunPower since July 22, 2025 prior to resigning from that position on February 2, 2026. Prior to that, Ms. Nguyen served as SunPower’s corporate controller following our acquisition of the SunPower Businesses in September 2024, and she served as the corporate controller of SunPower Corporation from December 2023 until our acquisition of the SunPower Businesses. Prior to that, Ms. Nguyen served as Corporate Controller of Convoy Inc. from September 2016 until October 2023. Prior to joining Convoy Inc., Ms. Nguyen was a senior manager in the Assurance services practice at PricewaterhouseCoopers from July 2011 to March 2016. Ms. Nguyen is a certified public accountant and holds a BA in Business Administration from the University of Washington.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each Director concerning her or his background, employment and affiliations, the Board of Directors affirmatively determined that none of our Directors - other than Thurman J. Rodgers, Antonio Alvarez, William Anderson, J. Daniel McCranie, and Chris Lundell - has any relationships that would interfere with the exercise of independent judgment in carrying out the responsibilities of a Director and that each of Messrs. Gishen, Maier, Pasek, Thiam, Whatley and Ms. Haenggi, representing a majority of SunPower’s incumbent Directors, is “independent” as that term is defined under the Nasdaq listing standards.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of Directors is the informed oversight of SunPower’s risk management process. The Board of Directors does not anticipate having a standing risk management committee, but rather anticipates administering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The Compensation Committee assesses and monitors whether SunPower’s compensation plans, policies and programs comply with applicable legal and regulatory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formed an Audit Committee, Compensation Committee, and Nominating and Corporate Governance Committee. The Board of Directors may from time to time establish other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Chief Financial Officer and other executive officers regularly report to the non-executive Directors and each standing committee to ensure effective and efficient oversight of its activities and to assist in proper risk management and the ongoing evaluation of management controls.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Ronald Pasek, who serves as the chairperson, Adam Gishen, Lothar Maier and Bernard Gutmann. Each member of the Audit Committee qualifies as an independent director under the Nasdaq corporate governance standards and the independence requirements of Rule 10A-3 under the Exchange Act. Our Board of Directors has determined that Ronald Pasek qualifies as an “audit committee financial expert” as such term is defined in Item 407(d)(5) of Regulation S-K and possesses the requisite financial expertise required under the applicable requirements of Nasdaq. As discussed above, our Board of Directors has also determined that Ronald Pasek is an independent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Audit Committee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105"/>
        <w:gridCol w:w="200"/>
        <w:gridCol w:w="7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the Board of Directors oversee corporate accounting and financial reporting processes;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the selection, engagement and qualifications of a qualified firm to serve as the independent registered public accounting firm to audit SunPower’s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105"/>
        <w:gridCol w:w="200"/>
        <w:gridCol w:w="87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to ensure the independence and performance of the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scope and results of the audit with the independent registered public accounting firm, and reviewing, with management and the independent accountants, SunPower’s interim and year-end operating results;</w:t>
            </w:r>
          </w:p>
        </w:tc>
      </w:tr>
    </w:tbl>
    <w:p>
      <w:pPr>
        <w:pStyle w:val="TextBody"/>
        <w:bidi w:val="0"/>
        <w:spacing w:before="0" w:after="0"/>
        <w:ind w:left="960" w:right="0" w:hanging="480"/>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105"/>
        <w:gridCol w:w="200"/>
        <w:gridCol w:w="98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procedures for employees to submit concerns anonymously about questionable accounting or audit matters;</w:t>
            </w:r>
          </w:p>
        </w:tc>
      </w:tr>
    </w:tbl>
    <w:p>
      <w:pPr>
        <w:pStyle w:val="TextBody"/>
        <w:bidi w:val="0"/>
        <w:spacing w:before="0" w:after="0"/>
        <w:ind w:left="960" w:right="0" w:hanging="48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105"/>
        <w:gridCol w:w="200"/>
        <w:gridCol w:w="64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policies on financial risk assessment and financial risk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05"/>
        <w:gridCol w:w="200"/>
        <w:gridCol w:w="30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related party transactions;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(or, as permitted, pre-approving) all audit and all permissible non-audit services to be performed by the independent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Audit Committee which is available on SunPower’s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Devin Whatley, who serves as the chairperson, Lothar Maier and Jamie Haenggi. The Board of Directors has determined that each current member of the Compensation Committee is independent. The Board of Directors has also determined that each current committee member and a former member of the Compensation Committee - Antonio R. Alvarez - is a “non-employee director” as defined in Rule 16b-3 promulgated under the Exchange Act. Mr. Alvarez resigned from the Compensation Committee during April 2025. While Mr. Alvarez is not an independent director, Section 5605(d)(2)(B) of the Nasdaq listing standards nonetheless permitted the appointment of a non-independent director to the compensation committee if the Board of Directors, under exceptional and limited circumstances, determines that the non-independent director’s membership is required by the best interests of the Company and its stockholders. Based on Mr. Alvarez’s extensive experience with SunPower and familiarity with the industry, the Board of Directors previously concluded that Mr. Alvarez’s appointment to, and membership on, the Compensation Committee prior to Mr. Alvarez’s resignation from the Compensation Committee was in the best interests of SunPower and its stockholders. Further, a majority of the members of the Compensation Committee are independent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Compensation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compensation of SunPower’s executive officers and senior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105"/>
        <w:gridCol w:w="200"/>
        <w:gridCol w:w="80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of Directors the compensation of SunPower’s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terms of compensatory arrangements with SunPower’s executives;</w:t>
            </w:r>
          </w:p>
        </w:tc>
      </w:tr>
    </w:tbl>
    <w:p>
      <w:pPr>
        <w:pStyle w:val="TextBody"/>
        <w:bidi w:val="0"/>
        <w:spacing w:before="0" w:after="0"/>
        <w:ind w:left="960" w:right="0" w:hanging="48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05"/>
        <w:gridCol w:w="200"/>
        <w:gridCol w:w="49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SunPower’s stock and equity incentive plans;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independent compensation consultants and assessing whether there are any conflicts of interest with any of the committee’s compensation advisors;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approving, amending and terminating, or recommending that the Board of Directors approve, amend or terminate, incentive compensation and equity plans, severance agreements, change-of-control protections and any other compensatory arrangements for SunPower’s executive officers and other senior management, as appropriate;</w:t>
            </w:r>
          </w:p>
        </w:tc>
      </w:tr>
    </w:tbl>
    <w:p>
      <w:pPr>
        <w:pStyle w:val="TextBody"/>
        <w:bidi w:val="0"/>
        <w:spacing w:before="0" w:after="0"/>
        <w:ind w:left="960" w:right="0" w:hanging="48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105"/>
        <w:gridCol w:w="200"/>
        <w:gridCol w:w="92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establishing general policies relating to compensation and benefits of SunPower’s employees; and</w:t>
            </w:r>
          </w:p>
        </w:tc>
      </w:tr>
    </w:tbl>
    <w:p>
      <w:pPr>
        <w:pStyle w:val="TextBody"/>
        <w:bidi w:val="0"/>
        <w:spacing w:before="0" w:after="0"/>
        <w:ind w:left="960" w:right="0" w:hanging="48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05"/>
        <w:gridCol w:w="200"/>
        <w:gridCol w:w="3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SunPower’s overall compensation.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for the Compensation Committee which is available on SunPower’s website.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Jamie Haenggi, who serves as the chairperson, Ron Pasek, Tidjane Thiam, and Adam Gishen. The responsibilities of the Nominating and Corporate Governance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evaluating and selecting, or recommending that the Board of Directors approve, nominees for election to the Board of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105"/>
        <w:gridCol w:w="200"/>
        <w:gridCol w:w="66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of the Board of Directors and of individual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05"/>
        <w:gridCol w:w="200"/>
        <w:gridCol w:w="70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adequacy of SunPower’s corporate governance practices and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05"/>
        <w:gridCol w:w="200"/>
        <w:gridCol w:w="37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management succession plans;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making recommendations to the Board of Directors regarding corporate governance guidelines and matters.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Nominating and Corporate Governance Committee which is available on SunPower’s website.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evaluates all candidates for Director thoroughly, whether they are recommended by the management team, stockholders or third parties, in accordance with the needs of the Board of Directors and the qualifications of the candidate.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Ethical Business Conduct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adopted a code of ethical business conduct that applies to all of its Directors, officers and employees, including its principal executive officer, principal financial officer and principal accounting officer, and is available on SunPower’s website at https://investors.sunpower.com/corporate-governance/governance-overview. SunPower’s code of business conduct is a “code of ethics,” as defined in Item 406(b) of Regulation S-K. If we grant any waiver from a provision of the code of ethical business conduct to any executive officer or Director, we will disclose it on our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Compensation Committee was at any time during 2025, or at any other time, one of SunPower’s officers or employees, except Mr. Alvarez who previously served on the Compensation Committee also served as the Company’s president until March 2023. None of SunPower’s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Executive Compensation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opted to comply with the executive compensation disclosure rules applicable to emerging growth companies. The scaled down disclosure rules are those applicable to “smaller reporting companies,” as such term is defined in the rules promulgated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which require compensation disclosure for all individuals serving as SunPower’s principal executive officer during 2025, the two most highly compensated executive officers of SunPower, other than the principal executive officer, whose total compensation for 2025 exceeded $100,000 and who were serving as executive officers as of December 28, 2025, and up to two additional individuals for whom disclosure under the applicable rules would have been provided but for the fact that such individuals were not serving as executive officers at the end of 2025. SunPower refers to these individuals as “named executive officers.” For fiscal 2025, the Company’s named executive officers were:</w:t>
      </w:r>
    </w:p>
    <w:p>
      <w:pPr>
        <w:pStyle w:val="TextBody"/>
        <w:bidi w:val="0"/>
        <w:spacing w:before="0" w:after="0"/>
        <w:ind w:left="960" w:right="0" w:hanging="48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05"/>
        <w:gridCol w:w="200"/>
        <w:gridCol w:w="6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Thurman J. (T.J.) Rodgers, our Chief Executive Officer and Executive Chairman;</w:t>
            </w:r>
          </w:p>
        </w:tc>
      </w:tr>
    </w:tbl>
    <w:p>
      <w:pPr>
        <w:pStyle w:val="TextBody"/>
        <w:bidi w:val="0"/>
        <w:spacing w:before="0" w:after="0"/>
        <w:ind w:left="960" w:right="0" w:hanging="48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105"/>
        <w:gridCol w:w="200"/>
        <w:gridCol w:w="76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Jeanne Nguyen, our Chief Accounting Officer and former Interim Chief Financial Officer; and</w:t>
            </w:r>
          </w:p>
        </w:tc>
      </w:tr>
    </w:tbl>
    <w:p>
      <w:pPr>
        <w:pStyle w:val="TextBody"/>
        <w:bidi w:val="0"/>
        <w:spacing w:before="0" w:after="0"/>
        <w:ind w:left="960" w:right="0" w:hanging="48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05"/>
        <w:gridCol w:w="200"/>
        <w:gridCol w:w="40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Daniel Foley, our former Chief Financial Officer.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compensation program should promote the success of our Company and align executive incentives with the long-term interests of its stockholders. Our current compensation programs reflect its startup origins in that they consist primarily of salary and equity-based awards. As SunPower’s needs evolve, we intend to continue to evaluate our philosophy and compensation programs as circumstances require.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2024, Mr. Rodgers did not receive any separate compensation in his role as our Chief Executive Officer.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regarding the compensation of SunPower’s named executive officers for services performed in the fiscal year ended December 28, 2025 and in the fiscal year ended December 29,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55"/>
        <w:gridCol w:w="90"/>
        <w:gridCol w:w="560"/>
        <w:gridCol w:w="90"/>
        <w:gridCol w:w="170"/>
        <w:gridCol w:w="830"/>
        <w:gridCol w:w="90"/>
        <w:gridCol w:w="90"/>
        <w:gridCol w:w="170"/>
        <w:gridCol w:w="590"/>
        <w:gridCol w:w="90"/>
        <w:gridCol w:w="90"/>
        <w:gridCol w:w="170"/>
        <w:gridCol w:w="830"/>
        <w:gridCol w:w="221"/>
        <w:gridCol w:w="90"/>
        <w:gridCol w:w="170"/>
        <w:gridCol w:w="830"/>
        <w:gridCol w:w="221"/>
        <w:gridCol w:w="90"/>
        <w:gridCol w:w="258"/>
        <w:gridCol w:w="1262"/>
        <w:gridCol w:w="221"/>
        <w:gridCol w:w="90"/>
        <w:gridCol w:w="170"/>
        <w:gridCol w:w="830"/>
        <w:gridCol w:w="137"/>
      </w:tblGrid>
      <w:tr>
        <w:trPr/>
        <w:tc>
          <w:tcPr>
            <w:tcW w:w="1755"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560" w:type="dxa"/>
            <w:tcBorders>
              <w:bottom w:val="single" w:sz="12"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center"/>
              <w:rPr>
                <w:b/>
              </w:rPr>
            </w:pPr>
            <w:r>
              <w:rPr>
                <w:b/>
              </w:rPr>
              <w:t>Bonus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Awards</w:t>
            </w:r>
            <w:r>
              <w:rPr>
                <w:rFonts w:ascii="Times New Roman;Times;Serif" w:hAnsi="Times New Roman;Times;Serif"/>
                <w:b/>
                <w:position w:val="7"/>
                <w:sz w:val="16"/>
                <w:sz w:val="20"/>
              </w:rPr>
              <w:t>(1)</w:t>
            </w:r>
          </w:p>
        </w:tc>
        <w:tc>
          <w:tcPr>
            <w:tcW w:w="22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Stock</w:t>
              <w:br/>
              <w:t>Awards</w:t>
            </w:r>
          </w:p>
        </w:tc>
        <w:tc>
          <w:tcPr>
            <w:tcW w:w="22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All Other</w:t>
              <w:br/>
              <w:t>Compensation</w:t>
            </w:r>
          </w:p>
        </w:tc>
        <w:tc>
          <w:tcPr>
            <w:tcW w:w="22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1755" w:type="dxa"/>
            <w:tcBorders/>
            <w:shd w:fill="CCEEFF" w:val="clear"/>
            <w:tcMar>
              <w:bottom w:w="0" w:type="dxa"/>
            </w:tcMar>
            <w:vAlign w:val="center"/>
          </w:tcPr>
          <w:p>
            <w:pPr>
              <w:pStyle w:val="TableContents"/>
              <w:bidi w:val="0"/>
              <w:spacing w:before="0" w:after="283"/>
              <w:jc w:val="left"/>
              <w:rPr>
                <w:i/>
              </w:rPr>
            </w:pPr>
            <w:r>
              <w:rPr>
                <w:i/>
              </w:rPr>
              <w:t>Thurman J. (T.J.) Rodgers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755"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75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Jeanne Nguyen </w:t>
            </w:r>
            <w:r>
              <w:rPr>
                <w:rFonts w:ascii="Times New Roman;Times;Serif" w:hAnsi="Times New Roman;Times;Serif"/>
                <w:i/>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350,000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590" w:type="dxa"/>
            <w:tcBorders/>
            <w:tcMar>
              <w:bottom w:w="0" w:type="dxa"/>
            </w:tcMar>
            <w:vAlign w:val="center"/>
          </w:tcPr>
          <w:p>
            <w:pPr>
              <w:pStyle w:val="TableContents"/>
              <w:bidi w:val="0"/>
              <w:spacing w:before="0" w:after="283"/>
              <w:jc w:val="right"/>
              <w:rPr/>
            </w:pPr>
            <w:r>
              <w:rPr/>
              <w:t>1,500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1,534</w:t>
            </w:r>
          </w:p>
        </w:tc>
        <w:tc>
          <w:tcPr>
            <w:tcW w:w="22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8" w:type="dxa"/>
            <w:tcBorders/>
            <w:tcMar>
              <w:bottom w:w="0" w:type="dxa"/>
            </w:tcMar>
            <w:vAlign w:val="center"/>
          </w:tcPr>
          <w:p>
            <w:pPr>
              <w:pStyle w:val="TableContents"/>
              <w:bidi w:val="0"/>
              <w:spacing w:before="0" w:after="283"/>
              <w:jc w:val="left"/>
              <w:rPr/>
            </w:pPr>
            <w:r>
              <w:rPr/>
              <w:t>$</w:t>
            </w:r>
          </w:p>
        </w:tc>
        <w:tc>
          <w:tcPr>
            <w:tcW w:w="1262"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353,034</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1755" w:type="dxa"/>
            <w:tcBorders/>
            <w:tcMar>
              <w:bottom w:w="0" w:type="dxa"/>
            </w:tcMar>
            <w:vAlign w:val="center"/>
          </w:tcPr>
          <w:p>
            <w:pPr>
              <w:pStyle w:val="TableContents"/>
              <w:bidi w:val="0"/>
              <w:spacing w:before="0" w:after="283"/>
              <w:jc w:val="left"/>
              <w:rPr>
                <w:i/>
              </w:rPr>
            </w:pPr>
            <w:r>
              <w:rPr>
                <w:i/>
              </w:rPr>
              <w:t>Chief Accounting Officer and Former Interim Chief Financial Officer</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2024</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58,300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237,046</w:t>
            </w:r>
          </w:p>
        </w:tc>
        <w:tc>
          <w:tcPr>
            <w:tcW w:w="22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8" w:type="dxa"/>
            <w:tcBorders/>
            <w:tcMar>
              <w:bottom w:w="0" w:type="dxa"/>
            </w:tcMar>
            <w:vAlign w:val="center"/>
          </w:tcPr>
          <w:p>
            <w:pPr>
              <w:pStyle w:val="TableContents"/>
              <w:bidi w:val="0"/>
              <w:spacing w:before="0" w:after="283"/>
              <w:jc w:val="left"/>
              <w:rPr/>
            </w:pPr>
            <w:r>
              <w:rPr/>
              <w:t> </w:t>
            </w:r>
          </w:p>
        </w:tc>
        <w:tc>
          <w:tcPr>
            <w:tcW w:w="1262"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295,346</w:t>
            </w:r>
          </w:p>
        </w:tc>
        <w:tc>
          <w:tcPr>
            <w:tcW w:w="137" w:type="dxa"/>
            <w:tcBorders/>
            <w:tcMar>
              <w:bottom w:w="0" w:type="dxa"/>
            </w:tcMar>
            <w:vAlign w:val="center"/>
          </w:tcPr>
          <w:p>
            <w:pPr>
              <w:pStyle w:val="TableContents"/>
              <w:bidi w:val="0"/>
              <w:spacing w:before="0" w:after="283"/>
              <w:ind w:left="0" w:right="0" w:hanging="180"/>
              <w:jc w:val="left"/>
              <w:rPr/>
            </w:pPr>
            <w:r>
              <w:rPr/>
              <w:t> </w:t>
            </w:r>
          </w:p>
        </w:tc>
      </w:tr>
      <w:tr>
        <w:trPr/>
        <w:tc>
          <w:tcPr>
            <w:tcW w:w="1755"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Daniel Foley</w:t>
            </w:r>
            <w:r>
              <w:rPr>
                <w:rFonts w:ascii="Times New Roman;Times;Serif" w:hAnsi="Times New Roman;Times;Serif"/>
                <w:i/>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233,333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455,000</w:t>
            </w:r>
          </w:p>
        </w:tc>
        <w:tc>
          <w:tcPr>
            <w:tcW w:w="22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pPr>
            <w:r>
              <w:rPr/>
              <w:t>100,000</w:t>
            </w:r>
          </w:p>
        </w:tc>
        <w:tc>
          <w:tcPr>
            <w:tcW w:w="22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789,833</w:t>
            </w:r>
          </w:p>
        </w:tc>
        <w:tc>
          <w:tcPr>
            <w:tcW w:w="13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755" w:type="dxa"/>
            <w:tcBorders/>
            <w:shd w:fill="CCEEFF" w:val="clear"/>
            <w:tcMar>
              <w:bottom w:w="0" w:type="dxa"/>
            </w:tcMar>
            <w:vAlign w:val="center"/>
          </w:tcPr>
          <w:p>
            <w:pPr>
              <w:pStyle w:val="TableContents"/>
              <w:bidi w:val="0"/>
              <w:spacing w:before="0" w:after="283"/>
              <w:jc w:val="left"/>
              <w:rPr>
                <w:i/>
              </w:rPr>
            </w:pPr>
            <w:r>
              <w:rPr>
                <w:i/>
              </w:rPr>
              <w:t>Former Chief Financial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161,947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780,000</w:t>
            </w:r>
          </w:p>
        </w:tc>
        <w:tc>
          <w:tcPr>
            <w:tcW w:w="22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941,947</w:t>
            </w:r>
          </w:p>
        </w:tc>
        <w:tc>
          <w:tcPr>
            <w:tcW w:w="13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reported in this column do not reflect the amounts actually received by SunPower’s named executive officers. Instead, these amounts reflect the aggregate grant-date fair value of awards granted to each named executive officer, computed in accordance with the FASB ASC Topic 718, </w:t>
            </w:r>
            <w:r>
              <w:rPr>
                <w:rFonts w:ascii="Times New Roman;Times;Serif" w:hAnsi="Times New Roman;Times;Serif"/>
                <w:i/>
                <w:sz w:val="20"/>
              </w:rPr>
              <w:t>Stock-based Compensation</w:t>
            </w:r>
            <w:r>
              <w:rPr>
                <w:rFonts w:ascii="Times New Roman;Times;Serif" w:hAnsi="Times New Roman;Times;Serif"/>
                <w:sz w:val="20"/>
              </w:rPr>
              <w:t xml:space="preserve">. See “Item 8. Financial Statements and Supplementary Data - Notes to Consolidated Financial Statements - </w:t>
            </w:r>
            <w:r>
              <w:rPr>
                <w:rFonts w:ascii="Times New Roman;Times;Serif" w:hAnsi="Times New Roman;Times;Serif"/>
                <w:b/>
                <w:sz w:val="20"/>
              </w:rPr>
              <w:t>Note 15 - Stock-Based Compensation</w:t>
            </w:r>
            <w:r>
              <w:rPr>
                <w:rFonts w:ascii="Times New Roman;Times;Serif" w:hAnsi="Times New Roman;Times;Serif"/>
                <w:sz w:val="20"/>
              </w:rPr>
              <w:t>”. As required by SEC rules, the amounts shown exclude the impact of estimated forfeitures related to service-based vesting conditions. Unless otherwise noted in the footnotes below, the shares underlying these options vest in 48 equal monthly installments, subject to the named executive officer’s continued service at each vesting date.</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Nguyen joined the Company in September 2024 and was appointed as our Interim Chief Financial Officer in July 2025. Ms. Nguyen’s base salary amount is pro-rated for 2024. On February 2, 2026, Ms. Nguyen resigned as the Interim Chief Financial Officer, and she now serves as our Chief Accounting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Foley resigned as our Chief Financial Officer in July 2025. Mr. Foley’s base salary amount is pro rated for 2025, and the amount reflected as All Other Compensation comprises cash payments made in connection with his separation from the Company. In connection with Mr. Foley’s separation from the Company on July 25, 2025, the Company accelerated the vesting of 57,741 restricted stock units (equal to $100,000), in accordance with the terms of his separation agreement.</w:t>
            </w:r>
          </w:p>
        </w:tc>
      </w:tr>
      <w:tr>
        <w:trPr/>
        <w:tc>
          <w:tcPr>
            <w:tcW w:w="243" w:type="dxa"/>
            <w:tcBorders/>
            <w:vAlign w:val="center"/>
          </w:tcPr>
          <w:p>
            <w:pPr>
              <w:pStyle w:val="TableContents"/>
              <w:bidi w:val="0"/>
              <w:spacing w:before="0" w:after="283"/>
              <w:jc w:val="both"/>
              <w:rPr/>
            </w:pPr>
            <w:r>
              <w:rPr/>
              <w:t> </w:t>
            </w:r>
          </w:p>
        </w:tc>
        <w:tc>
          <w:tcPr>
            <w:tcW w:w="9962" w:type="dxa"/>
            <w:tcBorders/>
            <w:vAlign w:val="center"/>
          </w:tcPr>
          <w:p>
            <w:pPr>
              <w:pStyle w:val="TableContents"/>
              <w:bidi w:val="0"/>
              <w:spacing w:before="0" w:after="283"/>
              <w:jc w:val="both"/>
              <w:rPr/>
            </w:pPr>
            <w:r>
              <w:rPr/>
              <w:t> </w:t>
            </w:r>
          </w:p>
        </w:tc>
      </w:tr>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250,000 restricted stock units issued in April 2025, of which 19,970 of the RSUs were vested at the time of Mr. Foley’s separation from the Company. Upon Mr. Foley’s separation, the remaining unvested restricted stock units were canceled.</w:t>
            </w:r>
          </w:p>
        </w:tc>
      </w:tr>
      <w:tr>
        <w:trPr/>
        <w:tc>
          <w:tcPr>
            <w:tcW w:w="243" w:type="dxa"/>
            <w:tcBorders/>
            <w:vAlign w:val="center"/>
          </w:tcPr>
          <w:p>
            <w:pPr>
              <w:pStyle w:val="TableContents"/>
              <w:bidi w:val="0"/>
              <w:spacing w:before="0" w:after="283"/>
              <w:jc w:val="both"/>
              <w:rPr/>
            </w:pPr>
            <w:r>
              <w:rPr/>
              <w:t> </w:t>
            </w:r>
          </w:p>
        </w:tc>
        <w:tc>
          <w:tcPr>
            <w:tcW w:w="9962" w:type="dxa"/>
            <w:tcBorders/>
            <w:vAlign w:val="center"/>
          </w:tcPr>
          <w:p>
            <w:pPr>
              <w:pStyle w:val="TableContents"/>
              <w:bidi w:val="0"/>
              <w:spacing w:before="0" w:after="283"/>
              <w:jc w:val="both"/>
              <w:rPr/>
            </w:pPr>
            <w:r>
              <w:rPr/>
              <w:t> </w:t>
            </w:r>
          </w:p>
        </w:tc>
      </w:tr>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this option award vested on July 1, 2025. Upon Mr. Foley’s separation from the Company, the remaining unvested shares underlying this option were forfeited.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28,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outstanding option awards and RSUs held by each of the named executive officers as of December 28, 2025:</w:t>
      </w:r>
    </w:p>
    <w:p>
      <w:pPr>
        <w:pStyle w:val="TextBody"/>
        <w:bidi w:val="0"/>
        <w:spacing w:before="0" w:after="0"/>
        <w:jc w:val="both"/>
        <w:rPr>
          <w:caps w:val="false"/>
          <w:smallCaps w:val="false"/>
        </w:rPr>
      </w:pPr>
      <w:r>
        <w:rPr>
          <w:caps w:val="false"/>
          <w:smallCaps w:val="false"/>
        </w:rPr>
        <w:t> </w:t>
      </w:r>
    </w:p>
    <w:tbl>
      <w:tblPr>
        <w:tblW w:w="10605" w:type="dxa"/>
        <w:jc w:val="left"/>
        <w:tblInd w:w="0" w:type="dxa"/>
        <w:tblLayout w:type="fixed"/>
        <w:tblCellMar>
          <w:top w:w="0" w:type="dxa"/>
          <w:left w:w="0" w:type="dxa"/>
          <w:bottom w:w="0" w:type="dxa"/>
          <w:right w:w="0" w:type="dxa"/>
        </w:tblCellMar>
      </w:tblPr>
      <w:tblGrid>
        <w:gridCol w:w="935"/>
        <w:gridCol w:w="90"/>
        <w:gridCol w:w="560"/>
        <w:gridCol w:w="90"/>
        <w:gridCol w:w="1415"/>
        <w:gridCol w:w="90"/>
        <w:gridCol w:w="122"/>
        <w:gridCol w:w="963"/>
        <w:gridCol w:w="215"/>
        <w:gridCol w:w="90"/>
        <w:gridCol w:w="173"/>
        <w:gridCol w:w="1167"/>
        <w:gridCol w:w="215"/>
        <w:gridCol w:w="90"/>
        <w:gridCol w:w="208"/>
        <w:gridCol w:w="577"/>
        <w:gridCol w:w="90"/>
        <w:gridCol w:w="90"/>
        <w:gridCol w:w="90"/>
        <w:gridCol w:w="890"/>
        <w:gridCol w:w="90"/>
        <w:gridCol w:w="90"/>
        <w:gridCol w:w="92"/>
        <w:gridCol w:w="858"/>
        <w:gridCol w:w="90"/>
        <w:gridCol w:w="90"/>
        <w:gridCol w:w="170"/>
        <w:gridCol w:w="830"/>
        <w:gridCol w:w="135"/>
      </w:tblGrid>
      <w:tr>
        <w:trPr/>
        <w:tc>
          <w:tcPr>
            <w:tcW w:w="93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7225" w:type="dxa"/>
            <w:gridSpan w:val="1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Awards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Awards </w:t>
            </w:r>
            <w:r>
              <w:rPr>
                <w:rFonts w:ascii="Times New Roman;Times;Serif" w:hAnsi="Times New Roman;Times;Serif"/>
                <w:b/>
                <w:position w:val="7"/>
                <w:sz w:val="16"/>
                <w:sz w:val="20"/>
              </w:rPr>
              <w:t>(1)</w:t>
            </w:r>
          </w:p>
        </w:tc>
        <w:tc>
          <w:tcPr>
            <w:tcW w:w="135" w:type="dxa"/>
            <w:tcBorders/>
            <w:vAlign w:val="center"/>
          </w:tcPr>
          <w:p>
            <w:pPr>
              <w:pStyle w:val="TableContents"/>
              <w:bidi w:val="0"/>
              <w:spacing w:before="0" w:after="283"/>
              <w:ind w:left="0" w:right="0" w:hanging="180"/>
              <w:jc w:val="left"/>
              <w:rPr/>
            </w:pPr>
            <w:r>
              <w:rPr/>
              <w:t> </w:t>
            </w:r>
          </w:p>
        </w:tc>
      </w:tr>
      <w:tr>
        <w:trPr/>
        <w:tc>
          <w:tcPr>
            <w:tcW w:w="93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i w:val="false"/>
                <w:caps w:val="false"/>
                <w:smallCaps w:val="false"/>
                <w:position w:val="7"/>
                <w:sz w:val="16"/>
                <w:sz w:val="20"/>
              </w:rPr>
              <w:t>(1)</w:t>
            </w:r>
          </w:p>
        </w:tc>
        <w:tc>
          <w:tcPr>
            <w:tcW w:w="90" w:type="dxa"/>
            <w:tcBorders/>
            <w:vAlign w:val="center"/>
          </w:tcPr>
          <w:p>
            <w:pPr>
              <w:pStyle w:val="TableContents"/>
              <w:bidi w:val="0"/>
              <w:spacing w:before="0" w:after="283"/>
              <w:jc w:val="left"/>
              <w:rPr/>
            </w:pPr>
            <w:r>
              <w:rPr/>
              <w:t> </w:t>
            </w:r>
          </w:p>
        </w:tc>
        <w:tc>
          <w:tcPr>
            <w:tcW w:w="141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Commencement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Unexerciseable</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Expiration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units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units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br/>
              <w:t>(#)</w:t>
            </w:r>
          </w:p>
        </w:tc>
        <w:tc>
          <w:tcPr>
            <w:tcW w:w="135" w:type="dxa"/>
            <w:tcBorders/>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pPr>
            <w:r>
              <w:rPr/>
              <w:t>Thurman J. (T.J.) Rodgers</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12/3/2023</w:t>
            </w:r>
          </w:p>
        </w:tc>
        <w:tc>
          <w:tcPr>
            <w:tcW w:w="9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12/3/2024</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37,500</w:t>
            </w:r>
          </w:p>
        </w:tc>
        <w:tc>
          <w:tcPr>
            <w:tcW w:w="215" w:type="dxa"/>
            <w:tcBorders/>
            <w:shd w:fill="CCEEFF" w:val="clear"/>
            <w:vAlign w:val="center"/>
          </w:tcPr>
          <w:p>
            <w:pPr>
              <w:pStyle w:val="TableContents"/>
              <w:bidi w:val="0"/>
              <w:spacing w:before="0" w:after="283"/>
              <w:jc w:val="left"/>
              <w:rPr>
                <w:position w:val="8"/>
                <w:sz w:val="19"/>
              </w:rPr>
            </w:pPr>
            <w:r>
              <w:rPr>
                <w:position w:val="8"/>
                <w:sz w:val="19"/>
              </w:rPr>
              <w:t>(2)</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        </w:t>
            </w: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1.14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12/3/2023</w:t>
            </w:r>
          </w:p>
        </w:tc>
        <w:tc>
          <w:tcPr>
            <w:tcW w:w="9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12/3/2024</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79,101</w:t>
            </w:r>
          </w:p>
        </w:tc>
        <w:tc>
          <w:tcPr>
            <w:tcW w:w="215" w:type="dxa"/>
            <w:tcBorders/>
            <w:shd w:fill="CCEEFF" w:val="clear"/>
            <w:vAlign w:val="center"/>
          </w:tcPr>
          <w:p>
            <w:pPr>
              <w:pStyle w:val="TableContents"/>
              <w:bidi w:val="0"/>
              <w:spacing w:before="0" w:after="283"/>
              <w:jc w:val="left"/>
              <w:rPr>
                <w:position w:val="8"/>
                <w:sz w:val="19"/>
              </w:rPr>
            </w:pPr>
            <w:r>
              <w:rPr>
                <w:position w:val="8"/>
                <w:sz w:val="19"/>
              </w:rPr>
              <w:t>(2)</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1.14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35" w:type="dxa"/>
            <w:tcBorders/>
            <w:vAlign w:val="center"/>
          </w:tcPr>
          <w:p>
            <w:pPr>
              <w:pStyle w:val="TableContents"/>
              <w:bidi w:val="0"/>
              <w:spacing w:before="0" w:after="283"/>
              <w:jc w:val="left"/>
              <w:rPr/>
            </w:pPr>
            <w:r>
              <w:rPr/>
              <w:t>Jeanne Nguyen</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10/14/2024</w:t>
            </w:r>
          </w:p>
        </w:tc>
        <w:tc>
          <w:tcPr>
            <w:tcW w:w="9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10/14/2024</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121,968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197,588</w:t>
            </w:r>
          </w:p>
        </w:tc>
        <w:tc>
          <w:tcPr>
            <w:tcW w:w="135" w:type="dxa"/>
            <w:tcBorders/>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pPr>
            <w:r>
              <w:rPr/>
              <w:t>Daniel Foley</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6/11/2024</w:t>
            </w:r>
          </w:p>
        </w:tc>
        <w:tc>
          <w:tcPr>
            <w:tcW w:w="9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7/1/2025</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osition w:val="8"/>
                <w:sz w:val="19"/>
              </w:rPr>
            </w:pPr>
            <w:r>
              <w:rPr>
                <w:position w:val="8"/>
                <w:sz w:val="19"/>
              </w:rPr>
              <w:t>(3)</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1.56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option awards were granted pursuant to the 2023 Plan. Market value is based on a share price of $1.62 at the close of business on December 26, 2025.</w:t>
            </w:r>
          </w:p>
        </w:tc>
      </w:tr>
    </w:tbl>
    <w:p>
      <w:pPr>
        <w:pStyle w:val="TextBody"/>
        <w:bidi w:val="0"/>
        <w:spacing w:before="0" w:after="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290"/>
        <w:gridCol w:w="867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the total shares underlying the option award vested on the one-year anniversary of the grant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the option award vested on July 1, 2025. As a result of Mr. Foley’s separation from the Company, no further portion of the options are exercisable and the unvested portions of the options expired.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 with Named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SunPower’s named executive officers is or was an at-will employee.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Thurman J. Rodgers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Rodgers is not currently a party to any employment agreement or other understanding with respect to compensation as our Chief Executive Officer. Mr. Rodgers did not receive separate compensation in his role as Chief Executive Officer during 2024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Jeanne Nguyen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2024, we entered into an employment agreement with Jeanne Nguyen in connection with her appointment as Chief Accounting Officer. Pursuant to the agreement, Ms. Nguyen is entitled to an annual base salary of $350,000 and is eligible to receive an annual bonus with a target of 50% of her base salary, subject to the achievement of performance objectives and the financial condition of the Company. Her employment is at-will and does not provide for any severance benefits.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Daniel Foley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 7, 2024, we entered into an executive employment agreement with Mr. Foley, which became effective on July 1, 2024 (the “</w:t>
      </w:r>
      <w:r>
        <w:rPr>
          <w:rFonts w:ascii="Times New Roman;Times;Serif" w:hAnsi="Times New Roman;Times;Serif"/>
          <w:b/>
          <w:i/>
          <w:caps w:val="false"/>
          <w:smallCaps w:val="false"/>
          <w:sz w:val="20"/>
        </w:rPr>
        <w:t>Foley Agreement</w:t>
      </w:r>
      <w:r>
        <w:rPr>
          <w:rFonts w:ascii="Times New Roman;Times;Serif" w:hAnsi="Times New Roman;Times;Serif"/>
          <w:b w:val="false"/>
          <w:i w:val="false"/>
          <w:caps w:val="false"/>
          <w:smallCaps w:val="false"/>
          <w:sz w:val="20"/>
        </w:rPr>
        <w:t>”). Pursuant to the Foley Agreement. Mr. Foley was entitled to a base salary of $275,000 per year, and he was eligible for an annual bonus of 50% of his gross salary. Mr. Foley also received an option to purchase 500,000 shares of our common stock, subject to a five-year vesting schedule. The Foley Agreement also provided that if Mr. Foley’s employment was terminated for any reason other than cause (as defined in the Foley Agreement), death or disability, or if he resigned for good reason (as defined in the Foley Agreement), and provided that in either case such termination constituted a separation from service (as defined in the Foley Agreement), then subject to Mr. Foley executing a release agreement in the Company’s favor, and continuing to comply with all of his obligations to the Company and its affiliates, he was entitled to receive the following benefits: (a) payment of Mr. Foley’s earned but unpaid base salary; (b) payment of any unpaid bonus, with respect to the fiscal year immediately preceding the fiscal year in which such termination or such resignation occurs; (c) payment of any vested benefits to which he was entitled to under any applicable plans and programs of the Company; (d) a severance payment equal to six months of Mr. Foley’s then base salary plus a pro rata portion of Mr. Foley bonus with respect to the fiscal year in which such termination or such resignation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Foley’s resignation from the Company, the Company and Mr. Foley entered into a settlement and release agreement in August 2025 pursuant to which Mr. Foley received (a) cash severance payments in the total amount of $100,000 and (b) 57,741 fully-vested restricted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Salary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January 1, 2024, each of our named executive officers (other than Mr. Rodgers)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 None of our named executive officers received a cash bonus during 2024. During 2025, each of Ms. Nguyen and Mr. Foley received a $1,500 cash bonus.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pay any compensation to our Directors or issue any equity awards to our Directors during 2024. During 2025, we did not have a formal policy relating to the compensation of our non-employee directors. In fiscal 2025, we granted our directors restricted stock units for their contributions to the operations of the business. Additional restricted stock units were issued to Messrs. Anderson and McCranie in consideration of the additional consulting services and support provided to the Company during 2025. The following table provides the compensation for each member of the Board of Directors for 2025:</w:t>
      </w:r>
    </w:p>
    <w:p>
      <w:pPr>
        <w:pStyle w:val="TextBody"/>
        <w:bidi w:val="0"/>
        <w:spacing w:before="0" w:after="0"/>
        <w:jc w:val="left"/>
        <w:rPr>
          <w:caps w:val="false"/>
          <w:smallCaps w:val="false"/>
        </w:rPr>
      </w:pPr>
      <w:r>
        <w:rPr>
          <w:caps w:val="false"/>
          <w:smallCaps w:val="false"/>
        </w:rPr>
        <w:t> </w:t>
      </w:r>
    </w:p>
    <w:tbl>
      <w:tblPr>
        <w:tblW w:w="7689" w:type="dxa"/>
        <w:jc w:val="left"/>
        <w:tblInd w:w="0" w:type="dxa"/>
        <w:tblLayout w:type="fixed"/>
        <w:tblCellMar>
          <w:top w:w="0" w:type="dxa"/>
          <w:left w:w="0" w:type="dxa"/>
          <w:bottom w:w="0" w:type="dxa"/>
          <w:right w:w="0" w:type="dxa"/>
        </w:tblCellMar>
      </w:tblPr>
      <w:tblGrid>
        <w:gridCol w:w="2015"/>
        <w:gridCol w:w="90"/>
        <w:gridCol w:w="632"/>
        <w:gridCol w:w="467"/>
        <w:gridCol w:w="90"/>
        <w:gridCol w:w="90"/>
        <w:gridCol w:w="170"/>
        <w:gridCol w:w="1010"/>
        <w:gridCol w:w="275"/>
        <w:gridCol w:w="90"/>
        <w:gridCol w:w="300"/>
        <w:gridCol w:w="965"/>
        <w:gridCol w:w="90"/>
        <w:gridCol w:w="90"/>
        <w:gridCol w:w="170"/>
        <w:gridCol w:w="1010"/>
        <w:gridCol w:w="135"/>
      </w:tblGrid>
      <w:tr>
        <w:trPr/>
        <w:tc>
          <w:tcPr>
            <w:tcW w:w="20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Paid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Thurman J. Rodgers</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Adam Gishen</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167,091</w:t>
            </w:r>
          </w:p>
        </w:tc>
        <w:tc>
          <w:tcPr>
            <w:tcW w:w="275"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167,091</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Antonio R. Alvarez</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160,901</w:t>
            </w:r>
          </w:p>
        </w:tc>
        <w:tc>
          <w:tcPr>
            <w:tcW w:w="275" w:type="dxa"/>
            <w:tcBorders/>
            <w:shd w:fill="CCEEFF" w:val="cle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160,901</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Chris Lundell</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156,776</w:t>
            </w:r>
          </w:p>
        </w:tc>
        <w:tc>
          <w:tcPr>
            <w:tcW w:w="275"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156,776</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Devin Whatley</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156,776</w:t>
            </w:r>
          </w:p>
        </w:tc>
        <w:tc>
          <w:tcPr>
            <w:tcW w:w="275" w:type="dxa"/>
            <w:tcBorders/>
            <w:shd w:fill="CCEEFF" w:val="cle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156,776</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Ronald Pasek</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169,153</w:t>
            </w:r>
          </w:p>
        </w:tc>
        <w:tc>
          <w:tcPr>
            <w:tcW w:w="275"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169,153</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Tidjane Thiam</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160,077</w:t>
            </w:r>
          </w:p>
        </w:tc>
        <w:tc>
          <w:tcPr>
            <w:tcW w:w="275" w:type="dxa"/>
            <w:tcBorders/>
            <w:shd w:fill="CCEEFF" w:val="cle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160,077</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William J. Anderson</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214,536</w:t>
            </w:r>
          </w:p>
        </w:tc>
        <w:tc>
          <w:tcPr>
            <w:tcW w:w="275"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214,536</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Lothar Maier</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367,185</w:t>
            </w:r>
          </w:p>
        </w:tc>
        <w:tc>
          <w:tcPr>
            <w:tcW w:w="275" w:type="dxa"/>
            <w:tcBorders/>
            <w:shd w:fill="CCEEFF" w:val="cle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367,185</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J. Daniel McCranie</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2,217,185</w:t>
            </w:r>
          </w:p>
        </w:tc>
        <w:tc>
          <w:tcPr>
            <w:tcW w:w="275" w:type="dxa"/>
            <w:tcBorders/>
            <w:vAlign w:val="center"/>
          </w:tcPr>
          <w:p>
            <w:pPr>
              <w:pStyle w:val="TableContents"/>
              <w:bidi w:val="0"/>
              <w:spacing w:before="0" w:after="283"/>
              <w:jc w:val="left"/>
              <w:rPr>
                <w:position w:val="8"/>
                <w:sz w:val="19"/>
              </w:rPr>
            </w:pPr>
            <w:r>
              <w:rPr>
                <w:position w:val="8"/>
                <w:sz w:val="19"/>
              </w:rPr>
              <w:t>(2)</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2,217,185</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Jamie Haenggi</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Bernard Gutmann</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290"/>
        <w:gridCol w:w="629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shares underling the RSU award were fully vested on the grant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243,169 shares under Mr. McCranie’s RSU awards were fully vested on the grant date. Mr. McCranie received a onetime grant of 1,000,000 RSUs in 2025 that vest in equal monthly installments over five years.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earn any benefits under, any nonqualified deferred compensation plan sponsored by SunPower during fiscal 2024 or 2025. The Board of Directors may elect to provide officers and other employees with nonqualified deferred compensation benefits in the future if it determines that doing so is in the Company’s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otherwise receive any benefits under, any pension or retirement plan sponsored by SunPower during fiscal 2024 or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Equity Incentive Plan, as subsequently amended (the “</w:t>
      </w:r>
      <w:r>
        <w:rPr>
          <w:rFonts w:ascii="Times New Roman;Times;Serif" w:hAnsi="Times New Roman;Times;Serif"/>
          <w:b/>
          <w:i/>
          <w:caps w:val="false"/>
          <w:smallCaps w:val="false"/>
          <w:sz w:val="20"/>
        </w:rPr>
        <w:t>2023 Plan</w:t>
      </w:r>
      <w:r>
        <w:rPr>
          <w:rFonts w:ascii="Times New Roman;Times;Serif" w:hAnsi="Times New Roman;Times;Serif"/>
          <w:b w:val="false"/>
          <w:i w:val="false"/>
          <w:caps w:val="false"/>
          <w:smallCaps w:val="false"/>
          <w:sz w:val="20"/>
        </w:rPr>
        <w:t>”) and the Employee Stock Purchase Plan (the “</w:t>
      </w:r>
      <w:r>
        <w:rPr>
          <w:rFonts w:ascii="Times New Roman;Times;Serif" w:hAnsi="Times New Roman;Times;Serif"/>
          <w:b/>
          <w:i/>
          <w:caps w:val="false"/>
          <w:smallCaps w:val="false"/>
          <w:sz w:val="20"/>
        </w:rPr>
        <w:t>ESPP</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2023 Plan and the ESPP became effective immediately upon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the 2023 Plan, the ESPP, Complete Solaria’s 2022 Stock Plan (the “</w:t>
      </w:r>
      <w:r>
        <w:rPr>
          <w:rFonts w:ascii="Times New Roman;Times;Serif" w:hAnsi="Times New Roman;Times;Serif"/>
          <w:b/>
          <w:i/>
          <w:caps w:val="false"/>
          <w:smallCaps w:val="false"/>
          <w:sz w:val="20"/>
        </w:rPr>
        <w:t>2022 Plan</w:t>
      </w:r>
      <w:r>
        <w:rPr>
          <w:rFonts w:ascii="Times New Roman;Times;Serif" w:hAnsi="Times New Roman;Times;Serif"/>
          <w:b w:val="false"/>
          <w:i w:val="false"/>
          <w:caps w:val="false"/>
          <w:smallCaps w:val="false"/>
          <w:sz w:val="20"/>
        </w:rPr>
        <w:t>”), Complete Solaria’s 2011 Stock Plan (the “</w:t>
      </w:r>
      <w:r>
        <w:rPr>
          <w:rFonts w:ascii="Times New Roman;Times;Serif" w:hAnsi="Times New Roman;Times;Serif"/>
          <w:b/>
          <w:i/>
          <w:caps w:val="false"/>
          <w:smallCaps w:val="false"/>
          <w:sz w:val="20"/>
        </w:rPr>
        <w:t>2011 Plan</w:t>
      </w:r>
      <w:r>
        <w:rPr>
          <w:rFonts w:ascii="Times New Roman;Times;Serif" w:hAnsi="Times New Roman;Times;Serif"/>
          <w:b w:val="false"/>
          <w:i w:val="false"/>
          <w:caps w:val="false"/>
          <w:smallCaps w:val="false"/>
          <w:sz w:val="20"/>
        </w:rPr>
        <w:t>”), Complete Solaria’s 2016 Stock Plan (the “</w:t>
      </w:r>
      <w:r>
        <w:rPr>
          <w:rFonts w:ascii="Times New Roman;Times;Serif" w:hAnsi="Times New Roman;Times;Serif"/>
          <w:b/>
          <w:i/>
          <w:caps w:val="false"/>
          <w:smallCaps w:val="false"/>
          <w:sz w:val="20"/>
        </w:rPr>
        <w:t>2016 Plan</w:t>
      </w:r>
      <w:r>
        <w:rPr>
          <w:rFonts w:ascii="Times New Roman;Times;Serif" w:hAnsi="Times New Roman;Times;Serif"/>
          <w:b w:val="false"/>
          <w:i w:val="false"/>
          <w:caps w:val="false"/>
          <w:smallCaps w:val="false"/>
          <w:sz w:val="20"/>
        </w:rPr>
        <w:t>”) and Complete Solaria’s 2006 Stock Plan (the “</w:t>
      </w:r>
      <w:r>
        <w:rPr>
          <w:rFonts w:ascii="Times New Roman;Times;Serif" w:hAnsi="Times New Roman;Times;Serif"/>
          <w:b/>
          <w:i/>
          <w:caps w:val="false"/>
          <w:smallCaps w:val="false"/>
          <w:sz w:val="20"/>
        </w:rPr>
        <w:t>2006 Plan</w:t>
      </w:r>
      <w:r>
        <w:rPr>
          <w:rFonts w:ascii="Times New Roman;Times;Serif" w:hAnsi="Times New Roman;Times;Serif"/>
          <w:b w:val="false"/>
          <w:i w:val="false"/>
          <w:caps w:val="false"/>
          <w:smallCaps w:val="false"/>
          <w:sz w:val="20"/>
        </w:rPr>
        <w:t>”). The 2022 Plan is the successor of the 2021 Stock Plan of Legacy Complete Solaria, which was amended and assumed by Complete Solaria in connection with a merger transaction completed prior to the Business Combination by Complete Solaria (the “</w:t>
      </w:r>
      <w:r>
        <w:rPr>
          <w:rFonts w:ascii="Times New Roman;Times;Serif" w:hAnsi="Times New Roman;Times;Serif"/>
          <w:b/>
          <w:i/>
          <w:caps w:val="false"/>
          <w:smallCaps w:val="false"/>
          <w:sz w:val="20"/>
        </w:rPr>
        <w:t>Prior Transaction</w:t>
      </w:r>
      <w:r>
        <w:rPr>
          <w:rFonts w:ascii="Times New Roman;Times;Serif" w:hAnsi="Times New Roman;Times;Serif"/>
          <w:b w:val="false"/>
          <w:i w:val="false"/>
          <w:caps w:val="false"/>
          <w:smallCaps w:val="false"/>
          <w:sz w:val="20"/>
        </w:rPr>
        <w:t>”). The 2011 Plan is the 2011 Stock Plan of Legacy Complete Solaria that was assumed by Complete Solaria in the Prior Transaction. The 2022 Plan, 2016 Plan, 2011 Plan and 2006 Plan are collectively referred to as the “</w:t>
      </w:r>
      <w:r>
        <w:rPr>
          <w:rFonts w:ascii="Times New Roman;Times;Serif" w:hAnsi="Times New Roman;Times;Serif"/>
          <w:b/>
          <w:i/>
          <w:caps w:val="false"/>
          <w:smallCaps w:val="false"/>
          <w:sz w:val="20"/>
        </w:rPr>
        <w:t>Legacy Plans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and the 2006 Plan are the stock plans of Solaria that were assumed by Complete Solaria (n/k/a SunPower) in the Prior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Plan. The 2023 Plan became effective immediately upon the closing. At our 2025 annual meeting of stockholders, our stockholders approved the first amendment to the 2023 Plan and at our special meeting of stockholders in March 2026, our stockholders approved the second amendment to the 2023 Plan. As amended, a total of 44,573,109 shares of common stock are reserved for issuance under the 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xml:space="preserve"> Any individual who is an employee of the Company or any of its affiliates, or any person who provides services to the Company or its affiliates, including consultants and members of the Company’s Board, is eligible to receive awards under the 2023 Plan at the discretion of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Awards</w:t>
      </w:r>
      <w:r>
        <w:rPr>
          <w:rFonts w:ascii="Times New Roman;Times;Serif" w:hAnsi="Times New Roman;Times;Serif"/>
          <w:b w:val="false"/>
          <w:i w:val="false"/>
          <w:caps w:val="false"/>
          <w:smallCaps w:val="false"/>
          <w:sz w:val="20"/>
        </w:rPr>
        <w:t>. The 2023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within the meaning of Section 422 of the Code to employees, including employees of any parent or subsidiary, and for the grant of nonstatutory stock options (“</w:t>
      </w:r>
      <w:r>
        <w:rPr>
          <w:rFonts w:ascii="Times New Roman;Times;Serif" w:hAnsi="Times New Roman;Times;Serif"/>
          <w:b/>
          <w:i/>
          <w:caps w:val="false"/>
          <w:smallCaps w:val="false"/>
          <w:sz w:val="20"/>
        </w:rPr>
        <w:t>NSOs</w:t>
      </w:r>
      <w:r>
        <w:rPr>
          <w:rFonts w:ascii="Times New Roman;Times;Serif" w:hAnsi="Times New Roman;Times;Serif"/>
          <w:b w:val="false"/>
          <w:i w:val="false"/>
          <w:caps w:val="false"/>
          <w:smallCaps w:val="false"/>
          <w:sz w:val="20"/>
        </w:rPr>
        <w:t>”), stock appreciation rights, restricted stock awards, restricted stock unit awards, performance awards and other forms of awards to employees, directors and consultants, including employees and consultants of the Company’s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A maximum number of 44,573,109 shares of the Company’s common stock may be issued under the 2023 Plan (which number of shares of common stock includes additional shares of common stock available for issuance as a result of the automatic increase thereto as of January 1, 2026 as contemplated by the next sentence). In addition, the number of shares of the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common stock determined by SunPower’s Board prior to the date of the increase.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unused shares subject to stock awards granted under the 2023 Plan that expire, lapse or are terminated, exchanged for or settled in cash, surrendered, repurchased, cancelled without having been fully exercised or forfeited, in any case, in a manner that results in the Company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Non-Employee Director Compensation Limit</w:t>
      </w:r>
      <w:r>
        <w:rPr>
          <w:rFonts w:ascii="Times New Roman;Times;Serif" w:hAnsi="Times New Roman;Times;Serif"/>
          <w:b w:val="false"/>
          <w:i w:val="false"/>
          <w:caps w:val="false"/>
          <w:smallCaps w:val="false"/>
          <w:sz w:val="20"/>
        </w:rPr>
        <w:t>. The aggregate value of all compensation granted or paid to any non-employee director with respect to any calendar year, including awards granted and cash fees paid to such non-employee director, will not exceed (1) $1,000,000 in total value or (2) if such non-employee director is first appointed or elected to the Company’s Board during such calendar year, $1,500,000 in total value, in each case, calculating the value of any equity awards based on the grant date fair value of such equity awards for financial reporting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SunPower’s Board, or a duly authorized committee thereof, will administer the 2023 Plan and is referred to as the “plan administrator” herein. The Company’s Board may also delegate to one or more of the Company’s officers the authority to (1) designate employees (other than officers) to receive specified stock awards and (2) determine the number of shares subject to such stock awards. Under the 2023 Plan, the Company’s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ISOs and NSOs are granted under stock option agreements adopted by the plan administrator. The plan administrator determines the exercise price for stock options, within the terms and conditions of the 2023 Plan, provided that the exercise price of a stock option generally cannot be less than 100% of the fair market value of a share of the Company’s common stock on the date of grant. Options granted under the 2023 Plan vest at the rate specified in the stock option agreement as determined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Company or any of the Company’s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check, bank draft or money order, (2) a broker-assisted cashless exercise, (3) the tender of shares of the Company’s common stock previously owned by the optionholder, (4) a net exercise of the option if it is an NSO or (5) other legal consideration approved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Limitations on ISOs</w:t>
      </w:r>
      <w:r>
        <w:rPr>
          <w:rFonts w:ascii="Times New Roman;Times;Serif" w:hAnsi="Times New Roman;Times;Serif"/>
          <w:b w:val="false"/>
          <w:i w:val="false"/>
          <w:caps w:val="false"/>
          <w:smallCaps w:val="false"/>
          <w:sz w:val="20"/>
        </w:rPr>
        <w:t>. The aggregate fair market value, determined at the time of grant, of the Company’s common stock with respect to ISOs 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 Awards</w:t>
      </w:r>
      <w:r>
        <w:rPr>
          <w:rFonts w:ascii="Times New Roman;Times;Serif" w:hAnsi="Times New Roman;Times;Serif"/>
          <w:b w:val="false"/>
          <w:i w:val="false"/>
          <w:caps w:val="false"/>
          <w:smallCaps w:val="false"/>
          <w:sz w:val="20"/>
        </w:rPr>
        <w:t>. Restricted stock unit awards are granted under restricted stock unit award agreements adopted by the plan administrator. 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the Company’s common stock, a combination of cash and shares of the Company’s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Awards</w:t>
      </w:r>
      <w:r>
        <w:rPr>
          <w:rFonts w:ascii="Times New Roman;Times;Serif" w:hAnsi="Times New Roman;Times;Serif"/>
          <w:b w:val="false"/>
          <w:i w:val="false"/>
          <w:caps w:val="false"/>
          <w:smallCaps w:val="false"/>
          <w:sz w:val="20"/>
        </w:rPr>
        <w:t>. 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the Company’s Common Stock held by the participant that have not vested as of the date the participant terminates service with the Company through a forfeiture condition or a repurchase right.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Stock appreciation rights are granted under stock appreciation rights agreements adopted by the plan administrator. The plan administrator determines the strike price for a stock appreciation right, which generally cannot be less than 100% of the fair market value of the Company’s Common Stock on the date of grant. A stock appreciation right granted under the 2023 Plan vests at the rate specified in the stock appreciation rights agreement as determined by the plan administrator. Stock appreciation rights may be settled in cash or shares of the Company’s Common Stock or in any other form of payment, as determined by the plan administrator and specified in the stock appreciation rights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the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Awards</w:t>
      </w:r>
      <w:r>
        <w:rPr>
          <w:rFonts w:ascii="Times New Roman;Times;Serif" w:hAnsi="Times New Roman;Times;Serif"/>
          <w:b w:val="false"/>
          <w:i w:val="false"/>
          <w:caps w:val="false"/>
          <w:smallCaps w:val="false"/>
          <w:sz w:val="20"/>
        </w:rPr>
        <w:t>. The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Company’s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 Awards</w:t>
      </w:r>
      <w:r>
        <w:rPr>
          <w:rFonts w:ascii="Times New Roman;Times;Serif" w:hAnsi="Times New Roman;Times;Serif"/>
          <w:b w:val="false"/>
          <w:i w:val="false"/>
          <w:caps w:val="false"/>
          <w:smallCaps w:val="false"/>
          <w:sz w:val="20"/>
        </w:rPr>
        <w:t>. The plan administrator may grant other awards based in whole or in part by reference to the Company’s common stock. The plan administrator will set the number of shares under the stock award (or cash equivalent) and all other terms and conditions of such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to Capital Structure</w:t>
      </w:r>
      <w:r>
        <w:rPr>
          <w:rFonts w:ascii="Times New Roman;Times;Serif" w:hAnsi="Times New Roman;Times;Serif"/>
          <w:b w:val="false"/>
          <w:i w:val="false"/>
          <w:caps w:val="false"/>
          <w:smallCaps w:val="false"/>
          <w:sz w:val="20"/>
        </w:rPr>
        <w:t>. In the event there is a specified type of change in the capital structure of the Company, such as a stock split, reverse 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Transactions</w:t>
      </w:r>
      <w:r>
        <w:rPr>
          <w:rFonts w:ascii="Times New Roman;Times;Serif" w:hAnsi="Times New Roman;Times;Serif"/>
          <w:b w:val="false"/>
          <w:i w:val="false"/>
          <w:caps w:val="false"/>
          <w:smallCaps w:val="false"/>
          <w:sz w:val="20"/>
        </w:rPr>
        <w:t>. The following applies to stock awards under the 2023 Plan in the event of a corporate transaction (as defined in the 2023 Plan), unless otherwise provided in a participant’s stock award agreement or other written agreement with the Company or one of its affiliates or unless otherwise expressly provided by the plan administrator at the time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the Company with respect to the stock award may be assigned to the Company’s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the Company’s common stock in connection with the corporate transaction, over (ii) if applicable, any per share exercise price payable by such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Amendment or Termination</w:t>
      </w:r>
      <w:r>
        <w:rPr>
          <w:rFonts w:ascii="Times New Roman;Times;Serif" w:hAnsi="Times New Roman;Times;Serif"/>
          <w:b w:val="false"/>
          <w:i w:val="false"/>
          <w:caps w:val="false"/>
          <w:smallCaps w:val="false"/>
          <w:sz w:val="20"/>
        </w:rPr>
        <w:t>. The Company’s Board has the authority to amend, suspend, or terminate the 2023 Plan at any time, provided that such action does not materially impair the existing rights of any participant without such participant’s written consent. Certain material amendments also require approval of the Company’s stockholders. No ISOs may be granted after the tenth anniversary of the date the Board adopts the 2023 Plan. No stock awards may be granted under the 2023 Plan while it is suspended or after it is terminated.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Complete Solaria 2023 Employee Stock Purchase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Employee Stock Purchase Plan (the “</w:t>
      </w:r>
      <w:r>
        <w:rPr>
          <w:rFonts w:ascii="Times New Roman;Times;Serif" w:hAnsi="Times New Roman;Times;Serif"/>
          <w:b/>
          <w:i/>
          <w:caps w:val="false"/>
          <w:smallCaps w:val="false"/>
          <w:sz w:val="20"/>
        </w:rPr>
        <w:t>ESPP</w:t>
      </w:r>
      <w:r>
        <w:rPr>
          <w:rFonts w:ascii="Times New Roman;Times;Serif" w:hAnsi="Times New Roman;Times;Serif"/>
          <w:b w:val="false"/>
          <w:i w:val="false"/>
          <w:caps w:val="false"/>
          <w:smallCaps w:val="false"/>
          <w:sz w:val="20"/>
        </w:rPr>
        <w:t>”). The ESPP became effective immediately upon the Closing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administers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Limitations. </w:t>
      </w:r>
      <w:r>
        <w:rPr>
          <w:rFonts w:ascii="Times New Roman;Times;Serif" w:hAnsi="Times New Roman;Times;Serif"/>
          <w:b w:val="false"/>
          <w:i w:val="false"/>
          <w:caps w:val="false"/>
          <w:smallCaps w:val="false"/>
          <w:sz w:val="20"/>
        </w:rPr>
        <w:t>Our employees and the employees of any of our designated affiliates, as designated by the Board of Directors, will be eligible to participate in the ESPP, provided they may have to satisfy one or more of the following service requirements before participating in the ESPP, as determined by the administrator: (1) customary employment with the Company or one of its affiliates for more than 20 hours per week and five or more months per calendar year or (2) continuous employment with the Company or one of its affiliates for a minimum period of time, not to exceed two years, prior to the first date of an offering. In addition, the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the Company’s common stock or (b) to the extent that such rights would accrue at a rate that exceeds $25,000 worth of the Company’s common stock for each calendar year that the rights remain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the Company’s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the Company’s common stock on any purchase date during the offering period is less than or equal to the fair market value of a share of the Company’s common stock on the first day of the offering period, then that offering will terminate immediately, and the participants in such terminated offering will be automatically enrolled in a new offering that begins immediately after such purchase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may not transfer purchase rights under the ESPP other than by will, the laws of descent and distribution, or as otherwise provided under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Payroll Deductions. </w:t>
      </w:r>
      <w:r>
        <w:rPr>
          <w:rFonts w:ascii="Times New Roman;Times;Serif" w:hAnsi="Times New Roman;Times;Serif"/>
          <w:b w:val="false"/>
          <w:i w:val="false"/>
          <w:caps w:val="false"/>
          <w:smallCaps w:val="false"/>
          <w:sz w:val="20"/>
        </w:rPr>
        <w:t>The ESPP permits participants to purchase shares of the Company’s common stock through payroll deductions. Unless otherwise determined by the administrator, the purchase price of the shares will be 85% of the lower of the fair market value of the Company’s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Company and its related corporations.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Withdrawal. </w:t>
      </w:r>
      <w:r>
        <w:rPr>
          <w:rFonts w:ascii="Times New Roman;Times;Serif" w:hAnsi="Times New Roman;Times;Serif"/>
          <w:b w:val="false"/>
          <w:i w:val="false"/>
          <w:caps w:val="false"/>
          <w:smallCaps w:val="false"/>
          <w:sz w:val="20"/>
        </w:rPr>
        <w:t>Participants may withdraw from an offering by delivering a withdrawal form to the Company and terminating their contributions. Such withdrawal may be elected at any time prior to the end of an offering, except as otherwise provided by the plan Administrator. Upon such withdrawal, the Company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Termination of Employment. </w:t>
      </w:r>
      <w:r>
        <w:rPr>
          <w:rFonts w:ascii="Times New Roman;Times;Serif" w:hAnsi="Times New Roman;Times;Serif"/>
          <w:b w:val="false"/>
          <w:i w:val="false"/>
          <w:caps w:val="false"/>
          <w:smallCaps w:val="false"/>
          <w:sz w:val="20"/>
        </w:rPr>
        <w:t>A participant’s rights under any offering under the ESPP will terminate immediately if the participant either (i) is no longer employed by the Company or any of its parent or subsidiary companies (subject to any post-employment participation period required by law) or (ii) is otherwise no longer eligible to participate. In such event, the Company will distribute to the participant his or her accumulated but unused contributions, without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certain specified significant corporate transactions, such as a merger or change in control, a successor 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the Company’s common stock within ten business days (or such other period specified by the plan administrator) prior to the corporate transaction, and the participants’ purchase rights will terminate immediately thereafter.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ESPP, at any time and for any reason, provided certain types of amendments will require the approval of the Company’s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the Board of Directors in accordance with the terms of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2022 Stock Plan. </w:t>
      </w:r>
      <w:r>
        <w:rPr>
          <w:rFonts w:ascii="Times New Roman;Times;Serif" w:hAnsi="Times New Roman;Times;Serif"/>
          <w:b w:val="false"/>
          <w:i w:val="false"/>
          <w:caps w:val="false"/>
          <w:smallCaps w:val="false"/>
          <w:sz w:val="20"/>
        </w:rPr>
        <w:t>Complete Solaria’s Board of Directors adopted, and Complete Solaria’s stockholders approved, the 2022 Plan in October 2022 in connection with the Prior Transaction. The 2022 Plan amended and restated Legacy Complete Solaria’s 2021 Stock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terminated when the 2023 Plan became effective upon the consummation of the Business Combination. However, any outstanding awards granted under the 2022 Plan remain outstanding, subject to the terms of Complete Solaria’s 2022 Plan and award agreements, until such outstanding options are exercised or until any awards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2022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Awards. </w:t>
      </w:r>
      <w:r>
        <w:rPr>
          <w:rFonts w:ascii="Times New Roman;Times;Serif" w:hAnsi="Times New Roman;Times;Serif"/>
          <w:b w:val="false"/>
          <w:i w:val="false"/>
          <w:caps w:val="false"/>
          <w:smallCaps w:val="false"/>
          <w:sz w:val="20"/>
        </w:rPr>
        <w:t>The 2022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and nonstatutory stock options to purchase shares of the Company’s common stock and restricted stock awards (collectively, “</w:t>
      </w:r>
      <w:r>
        <w:rPr>
          <w:rFonts w:ascii="Times New Roman;Times;Serif" w:hAnsi="Times New Roman;Times;Serif"/>
          <w:b/>
          <w:i/>
          <w:caps w:val="false"/>
          <w:smallCaps w:val="false"/>
          <w:sz w:val="20"/>
        </w:rPr>
        <w:t>stock awards</w:t>
      </w:r>
      <w:r>
        <w:rPr>
          <w:rFonts w:ascii="Times New Roman;Times;Serif" w:hAnsi="Times New Roman;Times;Serif"/>
          <w:b w:val="false"/>
          <w:i w:val="false"/>
          <w:caps w:val="false"/>
          <w:smallCaps w:val="false"/>
          <w:sz w:val="20"/>
        </w:rPr>
        <w:t>”). ISOs may be granted only to the Company’s employees and the employees of any parent corporation or subsidiary corporation. All other awards may be granted to the Company’s employees, non-employee directors and consultants and the employees and consultants of the Company’s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 award granted under the 2022 Plan expires or otherwise terminates without being exercised in full, or is settled in cash, the shares of the Company’s common stock not acquired pursuant to the stock award again will become available for subsequent issuance under the 2022 Plan (in the event that the 2023 Plan does not become effective as described in the preceding paragraph). In addition, the following types of shares of the Company’s common stock under the 2022 Plan may become available for the grant of new stock awards under the 2022 Plan: (1) shares that are forfeited to or repurchased by the Company prior to becoming fully vested; (2) shares retained to satisfy income or employment withholding taxes; (3) shares retained to pay the exercise or purchase price of a stock award; or (4) shares surrendered pursuant to an option exchange program.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has the authority to administer the 2022 Plan. The Board of Directors may also delegate to one or more officers the authority to (1) designate employees (other than other officers or directors) to be recipients of certain stock awards, and (2) grant stock awards to such individuals within parameters specified by the Board of Directors.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ISOs and NSOs are granted pursuant to stock option agreements adopted by the plan administrator. The plan administrator determines the exercise price for a stock option, provided that the exercise price of a stock option generally cannot be less than 100% of the fair market value of the Company’s common stock on the date of grant. Options granted under the 2022 Plan vest at the rate specified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2022 Plan, up to a maximum of ten years. Unless the terms of an optionholder’s stock option agreement provide otherwise, if an optionholder’s service relationship with us, or any of the Company’s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the Company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(2) check; (3) to the extent permitted under applicable laws, a promissory note; (4) cancellation of indebtedness; (5) other previously owned Company shares; (6) a cashless exercise; (7) such other consideration and method of payment permitted under applicable laws; or (8) any combination of the foregoing methods of payment.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 Limitations on Incentive Stock Options. </w:t>
      </w:r>
      <w:r>
        <w:rPr>
          <w:rFonts w:ascii="Times New Roman;Times;Serif" w:hAnsi="Times New Roman;Times;Serif"/>
          <w:b w:val="false"/>
          <w:i w:val="false"/>
          <w:caps w:val="false"/>
          <w:smallCaps w:val="false"/>
          <w:sz w:val="20"/>
        </w:rPr>
        <w:t>The aggregate fair market value, determined at the time of grant, of the Company’s common stock with respect to ISOs that are exercisable for the first time by an optionholder during any calendar year under all the Company’s stock plans may not exceed $100,000. Options or portions thereof that exceed such limit will generally be treated as NSOs. No ISO may be granted to any person who, at the time of the grant, owns or is deemed to own stock possessing more than 10% of the total combined voting power of the Company or that of any of its affiliates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Incentive Stock Option Limit. </w:t>
      </w:r>
      <w:r>
        <w:rPr>
          <w:rFonts w:ascii="Times New Roman;Times;Serif" w:hAnsi="Times New Roman;Times;Serif"/>
          <w:b w:val="false"/>
          <w:i w:val="false"/>
          <w:caps w:val="false"/>
          <w:smallCaps w:val="false"/>
          <w:sz w:val="20"/>
        </w:rPr>
        <w:t>The maximum number of shares of the Company’s common stock that may be issued upon the exercise of ISOs under the 2022 Plan is 6,677,960 shares plus, to the extent permitted by applicable law, any shares that again become available for issuance under the 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Stock Awards. </w:t>
      </w:r>
      <w:r>
        <w:rPr>
          <w:rFonts w:ascii="Times New Roman;Times;Serif" w:hAnsi="Times New Roman;Times;Serif"/>
          <w:b w:val="false"/>
          <w:i w:val="false"/>
          <w:caps w:val="false"/>
          <w:smallCaps w:val="false"/>
          <w:sz w:val="20"/>
        </w:rPr>
        <w:t>Restricted stock awards are granted pursuant to restricted stock award agreements adopted by the plan administrator. The permissible consideration for restricted stock awards is the same as apply to stock options. Common stock acquired under a restricted stock award may, but need not, be subject to a share repurchase option in the Company’s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the Company upon the participant’s cessation of continuous service for any reason.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Changes to Capital Structure. </w:t>
      </w:r>
      <w:r>
        <w:rPr>
          <w:rFonts w:ascii="Times New Roman;Times;Serif" w:hAnsi="Times New Roman;Times;Serif"/>
          <w:b w:val="false"/>
          <w:i w:val="false"/>
          <w:caps w:val="false"/>
          <w:smallCaps w:val="false"/>
          <w:sz w:val="20"/>
        </w:rPr>
        <w:t>In the event that there is a specified type of change in the Company’s capital structure, including without limitation a stock split or recapitalization, extraordinary divided payable in a form other than shares in an amount that has a material effect on the fair market value of the Company’s common stock, or any increase or decrease in the number of issued shares effected without receipt of consideration by the Company,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The 2022 Plan provides that in the event of certain specified significant corporate transactions, unless otherwise provided in an award agreement or other written agreement between the Company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the Company in respect of the Company’s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the Company’s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2022 Plan, a significant corporate transaction is generally the consummation of (1) a transfer of all or substantially all of the Company’s assets, (2) the consummation of a transaction, or series of related transactions, in which any person becomes the beneficial owners of more than 50% of the Company’s then-outstanding capital stock, or (3) a merger, consolidation or other capital reorganization or business combination transaction of the Company with our into another corporation, entity or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Transferability. </w:t>
      </w:r>
      <w:r>
        <w:rPr>
          <w:rFonts w:ascii="Times New Roman;Times;Serif" w:hAnsi="Times New Roman;Times;Serif"/>
          <w:b w:val="false"/>
          <w:i w:val="false"/>
          <w:caps w:val="false"/>
          <w:smallCaps w:val="false"/>
          <w:sz w:val="20"/>
        </w:rPr>
        <w:t>A participant generally may not transfer stock awards under the 2022 Plan other than by will, the laws of descent and distribution or as otherwise provided under the 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2022 Plan, provided that, with certain exceptions, such action does not impair the existing rights of any participant without such participant’s written consent. Certain material amendments also require the approval of our stockholders. Unless terminated sooner by the Board of Directors, the 2022 Plan will automatically terminate in October 2032. No stock awards may be granted under the 2022 Plan while it is suspended or terminated.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2011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2011 Stock Plan. </w:t>
      </w:r>
      <w:r>
        <w:rPr>
          <w:rFonts w:ascii="Times New Roman;Times;Serif" w:hAnsi="Times New Roman;Times;Serif"/>
          <w:b w:val="false"/>
          <w:i w:val="false"/>
          <w:caps w:val="false"/>
          <w:smallCaps w:val="false"/>
          <w:sz w:val="20"/>
        </w:rPr>
        <w:t>Legacy Complete Solaria’s Board of Directors adopted the 2011 Plan in January 2011 and was amended from to time by Legacy Complete Solaria’s Board of Directors and its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Plan was terminated in November 2021 in connection with Complete Solaria’s adoption of the 2022 Plan, and no new awards may be granted under it. The 2011 Plan was assumed by Complete Solaria in connection with the Prior Transaction. Outstanding awards granted under the 2011 Plan remain outstanding, subject to the terms of the 2011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2011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of the Board of Directors administers the 2011 Plan and the awards granted under 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the Company’s common stock subject to the 2011 Plan 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a sale of all or substantially all of our assets or our merger, consolidation or other capital reorganization or 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2011 Plan), a stock award may be subject to additional acceleration of vesting and exercisability upon or after a change in control, as may be provided in the stock award agreement or in any other written agreement between us and a participant. In the absence of such a provision, no such acceleration will occur.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2011 Plan; provided that no such amendment or modification may impair the rights of any participant with respect to awards granted prior to such action without such participant’s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2016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2016 Plan. </w:t>
      </w:r>
      <w:r>
        <w:rPr>
          <w:rFonts w:ascii="Times New Roman;Times;Serif" w:hAnsi="Times New Roman;Times;Serif"/>
          <w:b w:val="false"/>
          <w:i w:val="false"/>
          <w:caps w:val="false"/>
          <w:smallCaps w:val="false"/>
          <w:sz w:val="20"/>
        </w:rPr>
        <w:t>Solaria’s Board of Directors adopted, and Solaria’s stockholders approved, the 2016 Plan, in May 2016 and July 2016, respectively. Complete Solaria assumed the 2016 Plan in connection with the Prior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was terminated in November 2022 in connection with the Prior Transaction, and no new awards may be granted under it. Outstanding awards granted under the 2016 Plan remain outstanding, subject to the terms of the 2016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2016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2016 Plan and the awards granted under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common stock subject to the 2016 Plan or 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2016 Plan), our 2016 Plan provides that unless otherwise provided in a 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2016 Plan; provided that no such amendment or modification may impair the rights of any participant with respect to awards granted prior to such action without such participant’s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2006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2006 Plan. </w:t>
      </w:r>
      <w:r>
        <w:rPr>
          <w:rFonts w:ascii="Times New Roman;Times;Serif" w:hAnsi="Times New Roman;Times;Serif"/>
          <w:b w:val="false"/>
          <w:i w:val="false"/>
          <w:caps w:val="false"/>
          <w:smallCaps w:val="false"/>
          <w:sz w:val="20"/>
        </w:rPr>
        <w:t>Solaria’s Board of Directors adopted, and Solaria’s stockholders approved, the 2006 Plan, in February 2006 and August 2006, respectively, and it was amended and restated from to time by Solaria’s Board of Directors and its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2006 Plan was terminated in February 2016 in connection with Solaria’s adoption of the 2016 Plan, and no new awards may be granted under it. Complete Solaria assumed the outstanding awards granted pursuant to the 2006 Plan in connection with the Prior Transaction. Outstanding awards granted under the 2006 Plan remain outstanding, subject to the terms of the 2006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2006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2006 Plan and the awards granted under 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our Common Stock subject to the 2006 Plan 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2006 Plan), our 2006 Plan provides that any successor corporation (or parent 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of Directors may provide that such awards will be cancelled for a payment equal to the excess, if any, of the value of the property the holder would have received upon exercise of such award over any exercise price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2006 Plan; provided that no such amendment or modification may impair the rights of any participant with respect to awards granted prior to such action without such participant’s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our acquisition of Cobalt, on February 2, 2026, we made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Welfare Benefits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Certain Relationships and Related Party Transactions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compensation arrangements for our directors and executive officers, which are described in the section titled “Executive Compensation,” below is a description of transactions since December 30, 2024, the beginning of fiscal year 2025, to which we were a party, in which:</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involved exceeded or will exceed $120,000;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or person sharing the household with, the foregoing persons, had or will have a direct or indirect material interest.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Indebtedness Payable to the Rodgers Massey Revocable Living Trust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portion of the SCI Debt owing to the Rodgers Massey Revocable Living Trust of $1.5 million (plus accrued interest) remained outstanding as of December 28, 2025 and is outstanding as of the date of the filing date of this post-effective amendment.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 Notes Issued to Affiliates of Thurman J. Rodgers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SunPower issued a convertible promissory note in the original principal amount of $3,300,000 (the “</w:t>
      </w:r>
      <w:r>
        <w:rPr>
          <w:rFonts w:ascii="Times New Roman;Times;Serif" w:hAnsi="Times New Roman;Times;Serif"/>
          <w:b/>
          <w:i w:val="false"/>
          <w:caps w:val="false"/>
          <w:smallCaps w:val="false"/>
          <w:sz w:val="20"/>
        </w:rPr>
        <w:t>January 2026 Note</w:t>
      </w:r>
      <w:r>
        <w:rPr>
          <w:rFonts w:ascii="Times New Roman;Times;Serif" w:hAnsi="Times New Roman;Times;Serif"/>
          <w:b w:val="false"/>
          <w:i w:val="false"/>
          <w:caps w:val="false"/>
          <w:smallCaps w:val="false"/>
          <w:sz w:val="20"/>
        </w:rPr>
        <w:t>”) to a trust controlled by Thurman J. Rodgers. The January 2026 Note bears a 12.0%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540.5405 shares of common stock per $1,000 principal amount due under note. The conversion rate shall be subject to adjustment from time to time pursuant to the terms of the January 2026 Note. We may not redeem the January 2026 Note prior to July 5, 2026. We may redeem for cash all (but not less than all) of the,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 If certain bankruptcy and insolvency- related events of default occur with respect to the Company, the principal of, and accrued and unpaid interest, if any, on, the January 2026 Note shall automatically become due and payable. If an event of default with respect to the January 2026 Note, other than certain bankruptcy and insolvency-related events of default with respect to the Company, occurs and is continuing, a holder may at its option declare the note to be immediately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SunPower issued a convertible promissory note in the original principal amount of $2,000,000 (the “</w:t>
      </w:r>
      <w:r>
        <w:rPr>
          <w:rFonts w:ascii="Times New Roman;Times;Serif" w:hAnsi="Times New Roman;Times;Serif"/>
          <w:b/>
          <w:i w:val="false"/>
          <w:caps w:val="false"/>
          <w:smallCaps w:val="false"/>
          <w:sz w:val="20"/>
        </w:rPr>
        <w:t>November 2025 Note</w:t>
      </w:r>
      <w:r>
        <w:rPr>
          <w:rFonts w:ascii="Times New Roman;Times;Serif" w:hAnsi="Times New Roman;Times;Serif"/>
          <w:b w:val="false"/>
          <w:i w:val="false"/>
          <w:caps w:val="false"/>
          <w:smallCaps w:val="false"/>
          <w:sz w:val="20"/>
        </w:rPr>
        <w:t>”) to a trust controlled by Thurman J. Rodgers. The November 2025 Note bears a 12.0% interest rate.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November 2025 Note is convertible at the option of the holder at any time prior to the payment of the principal amount of the Note in full. Upon conversion of the November 2025 Note, the Company will satisfy its conversion obligation by delivering shares of its common stock and paying cash in respect of any fractional shares. The conversion rate of the November 2025 Note is initially equal to 626.9592 shares of common stock per $1,000 principal amount due under note. The conversion rate shall be subject to adjustment from time to time pursuant to the terms of the November 2025 Note. We may not redeem the November 2025 Note prior to July 5, 2026. We may redeem for cash all (but not less than all) of the, at our option, (i) on or after July 5, 2026 and prior to July 1, 2027, if the last reported sale price of our common stock has been at least 150% of the conversion price for the November 2025 Note then in effect and (ii) on or after July 5, 2027 and prior to the maturity date for the November 2025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November 2025 Note. If we undergo a change of control (as defined in the November 2025 Note), then, subject to certain conditions and except as described in the note, the holder may require the Company to redeem for cash all (but not less than all) of the note at a price equal to 100% of the principal amount of the November 2025 Note. The November 2025 Note sets forth certain events of default after which the note may be declared immediately due and payable and sets forth certain types of bankruptcy or insolvency events of default involving the Company after which the November 2025 Note becomes automatically due and payable. If certain bankruptcy and insolvency-related events of default occur with respect to the Company, the principal of, and accrued and unpaid interest, if any, on, the November 2025 Note shall automatically become due and payable. If an event of default with respect to the November 2025 Note, other than certain bankruptcy and insolvency- related events of default with respect to the Company, occurs and is continuing, a holder may at its option declare the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we issued a convertible promissory note in the original principal amount of $5,000,000 (the “</w:t>
      </w:r>
      <w:r>
        <w:rPr>
          <w:rFonts w:ascii="Times New Roman;Times;Serif" w:hAnsi="Times New Roman;Times;Serif"/>
          <w:b/>
          <w:i w:val="false"/>
          <w:caps w:val="false"/>
          <w:smallCaps w:val="false"/>
          <w:sz w:val="20"/>
        </w:rPr>
        <w:t>July 2025 Note</w:t>
      </w:r>
      <w:r>
        <w:rPr>
          <w:rFonts w:ascii="Times New Roman;Times;Serif" w:hAnsi="Times New Roman;Times;Serif"/>
          <w:b w:val="false"/>
          <w:i w:val="false"/>
          <w:caps w:val="false"/>
          <w:smallCaps w:val="false"/>
          <w:sz w:val="20"/>
        </w:rPr>
        <w:t>”) to a trust controlled by Thurman J. Rodgers. The July 2025 Note bears a 12.0% interest rate. The July 2025 Note is a general unsecured obligation of the Company and will mature on July 1, 2029, unless earlier converted, redeemed or repurchased. Interest on the July 2025 Note accrues at a rate of 12.00% per year from July 1, 2024 and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principal amount due under the July 2025 Note. The conversion rate shall be subject to adjustment from time to time pursuant to the terms of the July 2025 Note. The Company may not redeem the July 2025 Note prior to July 5, 2026. The Company may redeem for cash all (but not less than all) of the July 2025 Note, at its option,(i) on or after July 5, 2026 and prior to July 1, 2027, if the last reported sale price of the common stock has been at least 150% of the conversion price for the July 2025 Note then in effect and (ii) on or after July 5, 2027 and prior to the maturity date for the July 2025 Note if the last reported sale price of the common stock has been at least 130% of the conversion price for the July 2025 Note then in effect, in each case of (i) and (ii),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July 2025 Note, plus accrued and unpaid interest, if any, to, but excluding, the redemption date. No sinking fund is provided for the July 2025 Note. If the Company undergoes a change of control (as defined in the July 2025 Note), then, subject to certain conditions and except as described in the July 2025 Note, the holder may require the Company to redeem for cash all (but not less than all) of July 2025 Note at a price equal to 100% of the principal amount of the July 2025 Note. The July 2025 Note sets forth certain events of default after which the July 2025 Note may be declared immediately due and payable and sets forth certain types of bankruptcy or insolvency events of default involving the Company after which the July 2025 Note becomes automatically due and payable. If certain bankruptcy and insolvency-related events of default occur with respect to the Company, the principal of, and accrued and unpaid interest, if any, on, the July 2025 Note shall automatically become due and payable. If an event of default with respect to the July 2025 Note, other than certain bankruptcy and insolvency-related events of default with respect to the Company, occurs and is continuing, a holder may at its option declare the July 2025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entered into Note Purchase Agreements and the Exchange Agreement (together the “</w:t>
      </w:r>
      <w:r>
        <w:rPr>
          <w:rFonts w:ascii="Times New Roman;Times;Serif" w:hAnsi="Times New Roman;Times;Serif"/>
          <w:b/>
          <w:i w:val="false"/>
          <w:caps w:val="false"/>
          <w:smallCaps w:val="false"/>
          <w:sz w:val="20"/>
        </w:rPr>
        <w:t>July 2024 Purchase Agreement</w:t>
      </w:r>
      <w:r>
        <w:rPr>
          <w:rFonts w:ascii="Times New Roman;Times;Serif" w:hAnsi="Times New Roman;Times;Serif"/>
          <w:b w:val="false"/>
          <w:i w:val="false"/>
          <w:caps w:val="false"/>
          <w:smallCaps w:val="false"/>
          <w:sz w:val="20"/>
        </w:rPr>
        <w:t>”), pursuant to which we issued to certain accredited investors and qualified institutional buyers approximately $50.0 million in aggregate principal amount in July 2024 Notes. A trust controlled by Thurman J. Rodgers holds $18,000,000 principal amount of the July 2024 Notes. The July 2024 Notes accrue interest at the rate of 12.0% annually, which will be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principal amount of such convertible note in full. Upon conversion of any convertible note, we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The conversion rate shall be subject to adjustment from time to time pursuant to the terms of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Senior Unsecured Convertible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we entered into note purchase agreements with certain accredited investors and qualified institutional buyers relating to the sale and issuance of our 7.0% senior unsecured convertible notes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In September 2024, the Company issued $4.0 million principal amount of the 7% Notes to the Rodgers Family and Free Markets Charitable Trust, and the Company issued $4.0 million principal amount of the 7% Notes to the Rodgers Massey Revocable Living Trust. Thurman J. Rodgers is a trustee of each of the Rodgers Family and Free Markets Charitable Trust and the Rodgers Massey Revocable Living Trust. Additionally, the Company also issued $750,000 principal amount of the 7% Notes to the Dan and Kathy McCranie 2000 Revocable Trust, for which J. Daniel McCranie serves as trustee. Mr. McCranie was appointed to serve as a director of the Company on January 24,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7% Notes accrues at a rate of 7.00% per year from September 16, 2024 and will be payable semiannually in arrears on January 1 and July 1 of each year, beginning on January 1, 2025. The trusts affiliated with Mr. Rodgers and Mr. McCranie received such interest payments during 2025 and will be entitled to such interest payments during 2026. Holders of the 7% may convert all or any portion of their 7%Notes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5635(d)(2). As a result of this stockholder approval, we will seek approval to amend the Indenture to enable the earlier conversion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 2024 Notes was initially 467.8363 shares of common stock per $1,000 principal amount of 7% Notes. The conversion rate for the 7% Notes is subject to adjustment from time to time in accordance with the terms of the Indenture, and currently the 7% Notes are convertible at the rate of 584.7953 shares of common stock per $1,000 principal amount of these notes. In addition, upon a conversion of the 7% Notes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following September 16, 2025, in connection with such a corporate event that occurs prior to the maturity date, or if the Company delivers a notice of redemption in respect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Convertible Senior Secured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relating to the private offering of $41,000,000 aggregate principal amount of the Company’s 10.00% Convertible Senior Secured Notes due 2029 (the “</w:t>
      </w:r>
      <w:r>
        <w:rPr>
          <w:rFonts w:ascii="Times New Roman;Times;Serif" w:hAnsi="Times New Roman;Times;Serif"/>
          <w:b/>
          <w:i w:val="false"/>
          <w:caps w:val="false"/>
          <w:smallCaps w:val="false"/>
          <w:sz w:val="20"/>
        </w:rPr>
        <w:t>10% Notes</w:t>
      </w:r>
      <w:r>
        <w:rPr>
          <w:rFonts w:ascii="Times New Roman;Times;Serif" w:hAnsi="Times New Roman;Times;Serif"/>
          <w:b w:val="false"/>
          <w:i w:val="false"/>
          <w:caps w:val="false"/>
          <w:smallCaps w:val="false"/>
          <w:sz w:val="20"/>
        </w:rPr>
        <w:t>”), including $6,000,000 principal amount of Notes issuable to entities affiliated with Mr. Rodgers, the Company’s Chief Executive Officer and Chairman pursuant to Note Purchase Agreements executed between the Company and such affiliated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10% Notes pursuant to the terms and conditions of an Indenture (the “</w:t>
      </w:r>
      <w:r>
        <w:rPr>
          <w:rFonts w:ascii="Times New Roman;Times;Serif" w:hAnsi="Times New Roman;Times;Serif"/>
          <w:b/>
          <w:i w:val="false"/>
          <w:caps w:val="false"/>
          <w:smallCaps w:val="false"/>
          <w:sz w:val="20"/>
        </w:rPr>
        <w:t>Secured Notes Indenture</w:t>
      </w:r>
      <w:r>
        <w:rPr>
          <w:rFonts w:ascii="Times New Roman;Times;Serif" w:hAnsi="Times New Roman;Times;Serif"/>
          <w:b w:val="false"/>
          <w:i w:val="false"/>
          <w:caps w:val="false"/>
          <w:smallCaps w:val="false"/>
          <w:sz w:val="2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and as collateral agent (in such capacity, the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The 10% Notes are senior, secured obligations of the Company and will mature on May 1, 2029, unless earlier converted, redeemed, or repurchased. Interest on the 10% Notes accrues at a rate of 10.00% per year from April 23, 2026 and will be payable quarterly in arrears on April 1, July 1, October 1, and January 1 of each year, beginning on July 1, 2026. Holders of the 10% Notes may convert all or any portion of their 10% Notes at any time, in integral multiples of $1,000 principal amount, for shares of common stock at the option of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10% Notes was initially 610.3143 shares of common stock per $1,000 principal amount of 10% Notes, which is equivalent to an initial conversion price of approximately $1.64 per share of common stock. The initial conversion price of the 10% Notes represents a premium of approximately 45% above the last reported sale price of the common stock on The Nasdaq Global Select Market on April 21, 2026. The conversion rate for the 10% Notes is subject to adjustment from time to time in accordance with the terms of the Secured Notes Indenture. In addition, following certain corporate events that occur prior to the maturity date of the 10% Notes, the Company will, under certain circumstances, increase the conversion rate of the Notes for a holder who elects to convert its 10% Notes in connection with such a corporate event, subject to a maximum conversion rate of 884.9557 shares of Common Stock per $1,000 principal amount of 10% Notes. The 10% Notes are not redeemable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undergoes a Fundamental Change (as defined in the Secured Notes Indenture), then, subject to certain conditions and except as described in the Secured Notes Indenture, holders of the 10% Notes may require the Company to repurchase for cash all or any portion of their 10% Notes at a fundamental change repurchase price equal to 100% of the principal amount of the 10% Notes to be repurchased, plus accrued and unpaid interest, if any, to, but excluding, the fundamental change repurchase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Notes are fully and unconditionally guaranteed by Complete Solar, Inc., a Delaware corporation and a wholly owned subsidiary of the Company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subject to the terms of the Secured Notes Indenture. The 10% Notes and related guarantees are secured by first-priority liens on substantially all of the assets of the Company and the Guarantor, subject to certain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Simple Agreement for Future Equity (the “Third SAFE”) with a trust affiliated with Thurman J. Rodgers (the “Purchaser”) in connection with the Purchaser investing $1.0 million in the Company.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4,166,666 and 9,722,222 shares of our common stock,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SameDay Solar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previously entered into commercial agreements with SameDay Solar, a residential solar installer. William Anderson, a director and our former Chief Executive Officer, owns 60% of the equity securities of SameDay Solar, and he is the Chief Executive Officer of SameDay Solar. All agreements between SunPower and SameDay Solar previously were entered into in the ordinary course of business; provided, however,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2024, we have paid SameDay Solar a total of approximately $1,065,833. Since January 1, 2024, Mr. Anderson has received approximately $15,000 of remuneration from SameDay Solar relating to its relationship with the Company. Given his equity ownership, Mr. Anderson also has a 60% interest in SameDay Solar’s profits and earnings.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employment agreements with certain of its executive officers. For more information regarding these agreements with the Company’s named executive officers, see the section titled “</w:t>
      </w:r>
      <w:r>
        <w:rPr>
          <w:rFonts w:ascii="Times New Roman;Times;Serif" w:hAnsi="Times New Roman;Times;Serif"/>
          <w:b w:val="false"/>
          <w:i/>
          <w:caps w:val="false"/>
          <w:smallCaps w:val="false"/>
          <w:sz w:val="20"/>
        </w:rPr>
        <w:t>Employment Arrangements with Named Executive Officers.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Grants to Directors and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stock options, restricted stock and other equity-based awards to certain of its Directors and executive officers. For more information regarding the stock options and stock awards granted to the Company’s Directors and named executive officers, see the section 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its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certificate of incorporation contains provisions limiting the liability of its Directors, and the Company’s amended and restated bylaws provide that the Company will indemnify each of its Directors and officers to the fullest extent permitted under Delaware law. The Company’s amended and restated certificate of incorporation and amended and restated bylaws also provide the Board of Directors with discretion to indemnify the Company’s employees and other agents when determined appropriate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Person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related person transactions policy that sets forth the Company’s policies and procedures regarding the identification, review, consideration and oversight of “related person transactions.” For purposes of the Company’s policy only, a “related person transaction” is a transaction, arrangement or relationship (or any series of similar transactions, arrangements or relationships) in which the Company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the related person in question or, in the case of transactions with a holder of more than 5% of any class the Company’s voting securities, an officer with knowledge of a proposed transaction, must present information regarding the proposed related person transaction to the Company’s Audit Committee (or, where review by the Company’s Audit Committee would be inappropriate, to another independent body of the Board of Directors) for review. To identify related person transactions in advance, the Company will rely on information supplied by its executive officers, Directors and certain significant stockholders. In considering a related person transaction, the Company’s Audit Committee will take into account the relevant available facts and circumstances, which may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05"/>
        <w:gridCol w:w="200"/>
        <w:gridCol w:w="3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costs, and benefits to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on a Director’s independence in the event the related person is a director, immediate family member of a director or an entity with which a director is affiliated;</w:t>
            </w:r>
          </w:p>
        </w:tc>
      </w:tr>
    </w:tbl>
    <w:p>
      <w:pPr>
        <w:pStyle w:val="TextBody"/>
        <w:bidi w:val="0"/>
        <w:spacing w:before="0" w:after="0"/>
        <w:ind w:left="960" w:right="0" w:hanging="48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05"/>
        <w:gridCol w:w="200"/>
        <w:gridCol w:w="48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of the related person’s interest in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05"/>
        <w:gridCol w:w="200"/>
        <w:gridCol w:w="33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and terms of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05"/>
        <w:gridCol w:w="200"/>
        <w:gridCol w:w="7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management’s recommendation with respect to the proposed related person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05"/>
        <w:gridCol w:w="200"/>
        <w:gridCol w:w="59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other sources for comparable services or products; and</w:t>
            </w:r>
          </w:p>
        </w:tc>
      </w:tr>
    </w:tbl>
    <w:p>
      <w:pPr>
        <w:pStyle w:val="TextBody"/>
        <w:bidi w:val="0"/>
        <w:spacing w:before="0" w:after="0"/>
        <w:ind w:left="960" w:right="0" w:hanging="48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05"/>
        <w:gridCol w:w="200"/>
        <w:gridCol w:w="89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is on terms comparable to those that could be obtained in an arm’s length transaction.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 Committee will approve only those transactions that it determines are fair to us and in the Company’s best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Principal Stockholders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Common Stock as of June 22, 2026, by:</w:t>
      </w:r>
    </w:p>
    <w:p>
      <w:pPr>
        <w:pStyle w:val="TextBody"/>
        <w:bidi w:val="0"/>
        <w:spacing w:before="0" w:after="0"/>
        <w:ind w:left="0" w:right="0" w:firstLine="36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105"/>
        <w:gridCol w:w="200"/>
        <w:gridCol w:w="95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be the beneficial owner of more than 5% of the outstanding shares of our Common Stock;</w:t>
            </w:r>
          </w:p>
        </w:tc>
      </w:tr>
    </w:tbl>
    <w:p>
      <w:pPr>
        <w:pStyle w:val="TextBody"/>
        <w:bidi w:val="0"/>
        <w:spacing w:before="0" w:after="0"/>
        <w:ind w:left="960" w:right="0" w:hanging="48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105"/>
        <w:gridCol w:w="200"/>
        <w:gridCol w:w="18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05"/>
        <w:gridCol w:w="200"/>
        <w:gridCol w:w="28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executive officers; and</w:t>
            </w:r>
          </w:p>
        </w:tc>
      </w:tr>
    </w:tbl>
    <w:p>
      <w:pPr>
        <w:pStyle w:val="TextBody"/>
        <w:bidi w:val="0"/>
        <w:spacing w:before="0" w:after="0"/>
        <w:ind w:left="960" w:right="0" w:hanging="48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05"/>
        <w:gridCol w:w="200"/>
        <w:gridCol w:w="43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150,283,214 shares of Common Stock outstanding as of June 22, 2026, adjusted as required by rules promulgated by the SEC.</w:t>
      </w:r>
    </w:p>
    <w:p>
      <w:pPr>
        <w:pStyle w:val="TextBody"/>
        <w:bidi w:val="0"/>
        <w:spacing w:before="0" w:after="0"/>
        <w:jc w:val="both"/>
        <w:rPr>
          <w:caps w:val="false"/>
          <w:smallCaps w:val="false"/>
        </w:rPr>
      </w:pPr>
      <w:r>
        <w:rPr>
          <w:caps w:val="false"/>
          <w:smallCaps w:val="false"/>
        </w:rPr>
        <w:t> </w:t>
      </w:r>
    </w:p>
    <w:tbl>
      <w:tblPr>
        <w:tblW w:w="9724" w:type="dxa"/>
        <w:jc w:val="left"/>
        <w:tblInd w:w="0" w:type="dxa"/>
        <w:tblLayout w:type="fixed"/>
        <w:tblCellMar>
          <w:top w:w="0" w:type="dxa"/>
          <w:left w:w="0" w:type="dxa"/>
          <w:bottom w:w="28" w:type="dxa"/>
          <w:right w:w="0" w:type="dxa"/>
        </w:tblCellMar>
      </w:tblPr>
      <w:tblGrid>
        <w:gridCol w:w="6605"/>
        <w:gridCol w:w="90"/>
        <w:gridCol w:w="90"/>
        <w:gridCol w:w="1130"/>
        <w:gridCol w:w="90"/>
        <w:gridCol w:w="90"/>
        <w:gridCol w:w="214"/>
        <w:gridCol w:w="1125"/>
        <w:gridCol w:w="290"/>
      </w:tblGrid>
      <w:tr>
        <w:trPr/>
        <w:tc>
          <w:tcPr>
            <w:tcW w:w="66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290" w:type="dxa"/>
            <w:tcBorders/>
            <w:tcMar>
              <w:bottom w:w="0" w:type="dxa"/>
            </w:tcMar>
            <w:vAlign w:val="center"/>
          </w:tcPr>
          <w:p>
            <w:pPr>
              <w:pStyle w:val="TableContents"/>
              <w:bidi w:val="0"/>
              <w:spacing w:before="0" w:after="283"/>
              <w:jc w:val="left"/>
              <w:rPr/>
            </w:pPr>
            <w:r>
              <w:rPr/>
              <w:t> </w:t>
            </w:r>
          </w:p>
        </w:tc>
      </w:tr>
      <w:tr>
        <w:trPr/>
        <w:tc>
          <w:tcPr>
            <w:tcW w:w="6605" w:type="dxa"/>
            <w:tcBorders/>
            <w:tcMar>
              <w:bottom w:w="0" w:type="dxa"/>
            </w:tcMar>
            <w:vAlign w:val="center"/>
          </w:tcPr>
          <w:p>
            <w:pPr>
              <w:pStyle w:val="TableContents"/>
              <w:bidi w:val="0"/>
              <w:spacing w:before="0" w:after="283"/>
              <w:jc w:val="left"/>
              <w:rPr>
                <w:i/>
              </w:rPr>
            </w:pPr>
            <w:r>
              <w:rPr>
                <w:i/>
              </w:rPr>
              <w:t>5% or Greater Stockholders:</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9" w:type="dxa"/>
            <w:gridSpan w:val="2"/>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66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Integrity Fund II, L.P.</w:t>
            </w: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8,399,653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pPr>
            <w:r>
              <w:rPr/>
              <w:t>5.6</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(T.J.) Rodgers</w:t>
            </w:r>
            <w:r>
              <w:rPr>
                <w:rFonts w:ascii="Times New Roman;Times;Serif" w:hAnsi="Times New Roman;Times;Serif"/>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52,224,701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pPr>
            <w:r>
              <w:rPr/>
              <w:t>29.4</w:t>
            </w:r>
          </w:p>
        </w:tc>
        <w:tc>
          <w:tcPr>
            <w:tcW w:w="290" w:type="dxa"/>
            <w:tcBorders/>
            <w:tcMar>
              <w:bottom w:w="0" w:type="dxa"/>
            </w:tcMar>
            <w:vAlign w:val="center"/>
          </w:tcPr>
          <w:p>
            <w:pPr>
              <w:pStyle w:val="TableContents"/>
              <w:bidi w:val="0"/>
              <w:spacing w:before="0" w:after="283"/>
              <w:jc w:val="left"/>
              <w:rPr/>
            </w:pPr>
            <w:r>
              <w:rPr/>
              <w:t>%</w:t>
            </w:r>
          </w:p>
        </w:tc>
      </w:tr>
      <w:tr>
        <w:trPr/>
        <w:tc>
          <w:tcPr>
            <w:tcW w:w="66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Chicken Parm Pizza LLC</w:t>
            </w:r>
            <w:r>
              <w:rPr>
                <w:rFonts w:ascii="Times New Roman;Times;Serif" w:hAnsi="Times New Roman;Times;Serif"/>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17,857,902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pPr>
            <w:r>
              <w:rPr/>
              <w:t>11.2</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Alyeska Investment Group, L.P.</w:t>
            </w:r>
            <w:r>
              <w:rPr>
                <w:rFonts w:ascii="Times New Roman;Times;Serif" w:hAnsi="Times New Roman;Times;Serif"/>
                <w:position w:val="7"/>
                <w:sz w:val="16"/>
                <w:sz w:val="20"/>
              </w:rPr>
              <w:t>(5)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11,695,906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pPr>
            <w:r>
              <w:rPr/>
              <w:t>7.8</w:t>
            </w:r>
          </w:p>
        </w:tc>
        <w:tc>
          <w:tcPr>
            <w:tcW w:w="290" w:type="dxa"/>
            <w:tcBorders/>
            <w:tcMar>
              <w:bottom w:w="0" w:type="dxa"/>
            </w:tcMar>
            <w:vAlign w:val="center"/>
          </w:tcPr>
          <w:p>
            <w:pPr>
              <w:pStyle w:val="TableContents"/>
              <w:bidi w:val="0"/>
              <w:spacing w:before="0" w:after="283"/>
              <w:jc w:val="left"/>
              <w:rPr/>
            </w:pPr>
            <w:r>
              <w:rPr/>
              <w:t>%</w:t>
            </w:r>
          </w:p>
        </w:tc>
      </w:tr>
      <w:tr>
        <w:trPr/>
        <w:tc>
          <w:tcPr>
            <w:tcW w:w="6605" w:type="dxa"/>
            <w:tcBorders/>
            <w:shd w:fill="CCEEFF" w:val="clear"/>
            <w:tcMar>
              <w:bottom w:w="0" w:type="dxa"/>
            </w:tcMar>
            <w:vAlign w:val="center"/>
          </w:tcPr>
          <w:p>
            <w:pPr>
              <w:pStyle w:val="TableContents"/>
              <w:bidi w:val="0"/>
              <w:spacing w:before="0" w:after="283"/>
              <w:jc w:val="left"/>
              <w:rPr>
                <w:i/>
              </w:rPr>
            </w:pPr>
            <w:r>
              <w:rPr>
                <w:i/>
              </w:rPr>
              <w:t>Executive Officers and Incumbent Directors and Director Nominees: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J.(T.J.) Rodgers</w:t>
            </w:r>
            <w:r>
              <w:rPr>
                <w:rFonts w:ascii="Times New Roman;Times;Serif" w:hAnsi="Times New Roman;Times;Serif"/>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52,224,701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pPr>
            <w:r>
              <w:rPr/>
              <w:t>29.4</w:t>
            </w:r>
          </w:p>
        </w:tc>
        <w:tc>
          <w:tcPr>
            <w:tcW w:w="290" w:type="dxa"/>
            <w:tcBorders/>
            <w:tcMar>
              <w:bottom w:w="0" w:type="dxa"/>
            </w:tcMar>
            <w:vAlign w:val="center"/>
          </w:tcPr>
          <w:p>
            <w:pPr>
              <w:pStyle w:val="TableContents"/>
              <w:bidi w:val="0"/>
              <w:spacing w:before="0" w:after="283"/>
              <w:jc w:val="left"/>
              <w:rPr/>
            </w:pPr>
            <w:r>
              <w:rPr/>
              <w:t>%</w:t>
            </w:r>
          </w:p>
        </w:tc>
      </w:tr>
      <w:tr>
        <w:trPr/>
        <w:tc>
          <w:tcPr>
            <w:tcW w:w="66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r>
              <w:rPr>
                <w:rFonts w:ascii="Times New Roman;Times;Serif" w:hAnsi="Times New Roman;Times;Serif"/>
                <w:position w:val="7"/>
                <w:sz w:val="16"/>
                <w:sz w:val="20"/>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2,953,083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pPr>
            <w:r>
              <w:rPr/>
              <w:t>1.9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r>
              <w:rPr>
                <w:rFonts w:ascii="Times New Roman;Times;Serif" w:hAnsi="Times New Roman;Times;Serif"/>
                <w:position w:val="7"/>
                <w:sz w:val="16"/>
                <w:sz w:val="20"/>
              </w:rPr>
              <w:t>(9)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201,029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tcMar>
              <w:bottom w:w="0" w:type="dxa"/>
            </w:tcMar>
            <w:vAlign w:val="center"/>
          </w:tcPr>
          <w:p>
            <w:pPr>
              <w:pStyle w:val="TableContents"/>
              <w:bidi w:val="0"/>
              <w:spacing w:before="0" w:after="283"/>
              <w:jc w:val="left"/>
              <w:rPr/>
            </w:pPr>
            <w:r>
              <w:rPr/>
              <w:t> </w:t>
            </w:r>
          </w:p>
        </w:tc>
      </w:tr>
      <w:tr>
        <w:trPr/>
        <w:tc>
          <w:tcPr>
            <w:tcW w:w="66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Foley</w:t>
            </w:r>
            <w:r>
              <w:rPr>
                <w:rFonts w:ascii="Times New Roman;Times;Serif" w:hAnsi="Times New Roman;Times;Serif"/>
                <w:position w:val="7"/>
                <w:sz w:val="16"/>
                <w:sz w:val="20"/>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77,441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 Whatley</w:t>
            </w:r>
            <w:r>
              <w:rPr>
                <w:rFonts w:ascii="Times New Roman;Times;Serif" w:hAnsi="Times New Roman;Times;Serif"/>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8,591,602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pPr>
            <w:r>
              <w:rPr/>
              <w:t>5.7</w:t>
            </w:r>
          </w:p>
        </w:tc>
        <w:tc>
          <w:tcPr>
            <w:tcW w:w="290" w:type="dxa"/>
            <w:tcBorders/>
            <w:tcMar>
              <w:bottom w:w="0" w:type="dxa"/>
            </w:tcMar>
            <w:vAlign w:val="center"/>
          </w:tcPr>
          <w:p>
            <w:pPr>
              <w:pStyle w:val="TableContents"/>
              <w:bidi w:val="0"/>
              <w:spacing w:before="0" w:after="283"/>
              <w:jc w:val="left"/>
              <w:rPr/>
            </w:pPr>
            <w:r>
              <w:rPr/>
              <w:t>%</w:t>
            </w:r>
          </w:p>
        </w:tc>
      </w:tr>
      <w:tr>
        <w:trPr/>
        <w:tc>
          <w:tcPr>
            <w:tcW w:w="66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Tidjane Thiam</w:t>
            </w:r>
            <w:r>
              <w:rPr>
                <w:rFonts w:ascii="Times New Roman;Times;Serif" w:hAnsi="Times New Roman;Times;Serif"/>
                <w:position w:val="7"/>
                <w:sz w:val="16"/>
                <w:sz w:val="20"/>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292,825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r>
              <w:rPr>
                <w:rFonts w:ascii="Times New Roman;Times;Serif" w:hAnsi="Times New Roman;Times;Serif"/>
                <w:position w:val="7"/>
                <w:sz w:val="16"/>
                <w:sz w:val="20"/>
              </w:rPr>
              <w:t>(12)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864,686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tcMar>
              <w:bottom w:w="0" w:type="dxa"/>
            </w:tcMar>
            <w:vAlign w:val="center"/>
          </w:tcPr>
          <w:p>
            <w:pPr>
              <w:pStyle w:val="TableContents"/>
              <w:bidi w:val="0"/>
              <w:spacing w:before="0" w:after="283"/>
              <w:jc w:val="left"/>
              <w:rPr/>
            </w:pPr>
            <w:r>
              <w:rPr/>
              <w:t> </w:t>
            </w:r>
          </w:p>
        </w:tc>
      </w:tr>
      <w:tr>
        <w:trPr/>
        <w:tc>
          <w:tcPr>
            <w:tcW w:w="66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Pasek</w:t>
            </w:r>
            <w:r>
              <w:rPr>
                <w:rFonts w:ascii="Times New Roman;Times;Serif" w:hAnsi="Times New Roman;Times;Serif"/>
                <w:position w:val="7"/>
                <w:sz w:val="16"/>
                <w:sz w:val="20"/>
              </w:rPr>
              <w:t>(13)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225,459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r>
              <w:rPr>
                <w:rFonts w:ascii="Times New Roman;Times;Serif" w:hAnsi="Times New Roman;Times;Serif"/>
                <w:position w:val="7"/>
                <w:sz w:val="16"/>
                <w:sz w:val="20"/>
              </w:rPr>
              <w:t>(14)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396,714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tcMar>
              <w:bottom w:w="0" w:type="dxa"/>
            </w:tcMar>
            <w:vAlign w:val="center"/>
          </w:tcPr>
          <w:p>
            <w:pPr>
              <w:pStyle w:val="TableContents"/>
              <w:bidi w:val="0"/>
              <w:spacing w:before="0" w:after="283"/>
              <w:jc w:val="left"/>
              <w:rPr/>
            </w:pPr>
            <w:r>
              <w:rPr/>
              <w:t> </w:t>
            </w:r>
          </w:p>
        </w:tc>
      </w:tr>
      <w:tr>
        <w:trPr/>
        <w:tc>
          <w:tcPr>
            <w:tcW w:w="66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Lothar Maier</w:t>
            </w:r>
            <w:r>
              <w:rPr>
                <w:rFonts w:ascii="Times New Roman;Times;Serif" w:hAnsi="Times New Roman;Times;Serif"/>
                <w:position w:val="7"/>
                <w:sz w:val="16"/>
                <w:sz w:val="20"/>
              </w:rPr>
              <w:t>(15)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243,169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r>
              <w:rPr>
                <w:rFonts w:ascii="Times New Roman;Times;Serif" w:hAnsi="Times New Roman;Times;Serif"/>
                <w:position w:val="7"/>
                <w:sz w:val="16"/>
                <w:sz w:val="20"/>
              </w:rPr>
              <w:t>(16)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1,681,765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tcMar>
              <w:bottom w:w="0" w:type="dxa"/>
            </w:tcMar>
            <w:vAlign w:val="center"/>
          </w:tcPr>
          <w:p>
            <w:pPr>
              <w:pStyle w:val="TableContents"/>
              <w:bidi w:val="0"/>
              <w:spacing w:before="0" w:after="283"/>
              <w:jc w:val="left"/>
              <w:rPr/>
            </w:pPr>
            <w:r>
              <w:rPr/>
              <w:t> </w:t>
            </w:r>
          </w:p>
        </w:tc>
      </w:tr>
      <w:tr>
        <w:trPr/>
        <w:tc>
          <w:tcPr>
            <w:tcW w:w="6605" w:type="dxa"/>
            <w:tcBorders/>
            <w:shd w:fill="CCEEFF" w:val="clear"/>
            <w:tcMar>
              <w:bottom w:w="0" w:type="dxa"/>
            </w:tcMar>
            <w:vAlign w:val="center"/>
          </w:tcPr>
          <w:p>
            <w:pPr>
              <w:pStyle w:val="TableContents"/>
              <w:bidi w:val="0"/>
              <w:spacing w:before="0" w:after="283"/>
              <w:jc w:val="left"/>
              <w:rPr/>
            </w:pPr>
            <w:r>
              <w:rPr/>
              <w:t>Jamie Haenggi</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5" w:type="dxa"/>
            <w:tcBorders/>
            <w:tcMar>
              <w:bottom w:w="0" w:type="dxa"/>
            </w:tcMar>
            <w:vAlign w:val="center"/>
          </w:tcPr>
          <w:p>
            <w:pPr>
              <w:pStyle w:val="TableContents"/>
              <w:bidi w:val="0"/>
              <w:spacing w:before="0" w:after="283"/>
              <w:jc w:val="left"/>
              <w:rPr/>
            </w:pPr>
            <w:r>
              <w:rPr/>
              <w:t>Bernard Gutmann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left"/>
              <w:rPr/>
            </w:pPr>
            <w:r>
              <w:rPr/>
              <w:t> </w:t>
            </w:r>
          </w:p>
        </w:tc>
      </w:tr>
      <w:tr>
        <w:trPr/>
        <w:tc>
          <w:tcPr>
            <w:tcW w:w="66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r>
              <w:rPr>
                <w:rFonts w:ascii="Times New Roman;Times;Serif" w:hAnsi="Times New Roman;Times;Serif"/>
                <w:position w:val="7"/>
                <w:sz w:val="16"/>
                <w:sz w:val="20"/>
              </w:rPr>
              <w:t>(16)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114,012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5" w:type="dxa"/>
            <w:tcBorders/>
            <w:tcMar>
              <w:bottom w:w="0" w:type="dxa"/>
            </w:tcMar>
            <w:vAlign w:val="center"/>
          </w:tcPr>
          <w:p>
            <w:pPr>
              <w:pStyle w:val="TableContents"/>
              <w:bidi w:val="0"/>
              <w:spacing w:before="0" w:after="283"/>
              <w:jc w:val="left"/>
              <w:rPr/>
            </w:pPr>
            <w:r>
              <w:rPr/>
              <w:t>All Directors and executive officers as a group (14 persons)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67,866,486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1125" w:type="dxa"/>
            <w:tcBorders/>
            <w:tcMar>
              <w:bottom w:w="0" w:type="dxa"/>
            </w:tcMar>
            <w:vAlign w:val="center"/>
          </w:tcPr>
          <w:p>
            <w:pPr>
              <w:pStyle w:val="TableContents"/>
              <w:bidi w:val="0"/>
              <w:spacing w:before="0" w:after="283"/>
              <w:jc w:val="right"/>
              <w:rPr/>
            </w:pPr>
            <w:r>
              <w:rPr/>
              <w:t>37.4</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70"/>
        <w:gridCol w:w="189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one percent.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directors and executive officers of the Company listed in the table is c/o SunPower Inc., 1403 N. Research Way, Orem, UT 84097.</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5,832,054 shares held by Ecosystem Integrity Fund II, L.P., of which Mr. Devin Whatley is the managing member of the general partner, (ii) 198,346 shares held by EIF CS SPV LLC, and (iii) 2,369,253 shares issuable pursuant to warrants exercisable within 60 days of June 22, 2026. Mr. Whatley serves as a director of the Company. The business address of each of Ecosystem Integrity Fund II, L.P., EIF CS SPV LLC and Mr. Whatley is 20 Richelle Court, Lafayette, California 94549. In the case of Mr. Whatley, also includes (i) 103,825 shares of common stock issuable upon settlement of restricted stock units, and (ii) 88,124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485,562 shares held by Rodgers Capital, LLC, (ii) 8,842 shares held by Thurman J. Rodgers, (iii) 21,590,490 shares held by the Rodgers Massey Revocable Living Trust, (iv) 1,838,235 shares held by the Rodgers Massey Freedom and Free Markets Charitable Trust, (v) 463,589 shares held by the T.J. Rodgers 2012 Irrevocable Trust dtd 12/26/12, (vi) 463,589 shares held by the Valeta Massey 2012 Irrevocable Trust dtd 12/26/12, (vii) 724,416 shares issuable pursuant to warrants exercisable within 60 days of June 22, 2026, and (viii) 116,601 shares issuable pursuant to stock options and restricted stock units exercisable or settleable within 60 days of June 22, 2026.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Freedom and Free Markets Charitable Trust holds $1,000,000 principal amount of the 10% Notes that are convertible into 884,955 shares of common stock; and (g) the Rodgers Massey Revocable Living Trust holds $5,000,000 principal amount of the 10% Notes that are convertible into 4,424,778 shares of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9,008,345 shares of common stock and 8,849,557 shares of common stock issuable upon conversion of 10.0% Notes held by Chicken Parm Pizza LLC. The business address of Chicken Parm Pizza LLC is 1750 West 11400 South, Suite 110, South Jordan, Utah 84095.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90"/>
        <w:gridCol w:w="101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90"/>
        <w:gridCol w:w="101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405,090 shares of common stock, (ii) 671,738 shares of common stock issued or issuable upon settlement of restricted stock units, (iii) 1,735,068 shares issuable pursuant to stock options exercisable within 60 days of June 22, 2026, and (iv) 141,187 shares issuable pursuant to warrants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4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106,577 shares of common stock issued or issuable upon settlement of restricted stock units and (ii) 94,452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395"/>
        <w:gridCol w:w="342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77,441 shares of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80,245 shares of common stock and 106,011 shares of common stock issued or issuable upon settlement of restricted stock units, (ii) 12,117 shares issuable pursuant to warrants exercisable within 60 days of June 22, 2026, and (iii) 94,452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174,515 shares of common stock and 110,656 shares of common stock issued or issuable upon settlement of restricted stock units, (ii) 480,000 shares issuable pursuant to warrants exercisable within 60 days of June 22, 2026, and (iii) 99,515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3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112,022 shares of common stock issued or issuable upon settlement of restricted stock units and (ii) 113,437 shares issuable pursuant to stock options exercisable within 60 days of June 22, 2026.</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3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103,825 shares of common stock issued or issuable upon settlement of restricted stock units and (ii) 292,889 shares issuable pursuant to stock options exercisable within 60 days of June 22, 2026.</w:t>
            </w:r>
          </w:p>
        </w:tc>
      </w:tr>
    </w:tbl>
    <w:p>
      <w:pPr>
        <w:pStyle w:val="TextBody"/>
        <w:bidi w:val="0"/>
        <w:spacing w:before="0" w:after="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395"/>
        <w:gridCol w:w="828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243,169 shares of common stock issued or issuable upon settlement of restricted stock units.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438,596 shares of common stock issuable upon conversion of $750,000 principal amount of 7% Notes held by the Dan and Kathy McCranie 2000 Revocable Trust, and (ii)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tc>
      </w:tr>
    </w:tbl>
    <w:p>
      <w:pPr>
        <w:pStyle w:val="TextBody"/>
        <w:bidi w:val="0"/>
        <w:spacing w:before="0" w:after="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395"/>
        <w:gridCol w:w="828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114,012 shares of common stock issued or issuable upon settlement of restricted stock units.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offer and sell, from time to time, any or all of the shares of common stock being offered for resale by this prospectus, which consists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10,243,924 shares of common stock previously issued by us pursuant to the Ambia Purchase Agreement in connection with our acquisition of Ambia,</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3,333,334 shares of common stock previously issued by us pursuant to the Sunder Purchase Agreement in connection with our acquisition of Sunder,</w:t>
            </w:r>
          </w:p>
        </w:tc>
      </w:tr>
    </w:tbl>
    <w:p>
      <w:pPr>
        <w:pStyle w:val="TextBody"/>
        <w:bidi w:val="0"/>
        <w:spacing w:before="0" w:after="0"/>
        <w:ind w:left="36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105"/>
        <w:gridCol w:w="200"/>
        <w:gridCol w:w="85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up to 50,760,218 shares of common stock issuable upon conversion of the 7% Notes, and</w:t>
            </w:r>
          </w:p>
        </w:tc>
      </w:tr>
    </w:tbl>
    <w:p>
      <w:pPr>
        <w:pStyle w:val="TextBody"/>
        <w:bidi w:val="0"/>
        <w:spacing w:before="0" w:after="0"/>
        <w:ind w:left="36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105"/>
        <w:gridCol w:w="200"/>
        <w:gridCol w:w="79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both"/>
              <w:rPr/>
            </w:pPr>
            <w:r>
              <w:rPr/>
              <w:t>1,048,352 shares of common stock held by certain former affiliates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and successors-in-interest that receive shares in any non-sale transfer after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as of the date of this prospectus, information regarding the beneficial ownership of our common stock of each Selling Securityholder, the number of shares of common stock that may be sold by each Selling Securityholder under this prospectus and that each Selling Securityholder will beneficially own assuming all securities that may be offered pursuant to this prospectus are sold. 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7% Notes may not convert such 7% Notes if such holder, together with its affiliates, would beneficially own more than 9.99% (or, if elected by the holder, an amount lesser than or equal to 9.99%) of the number of shares of common stock outstanding immediately after giving effect to such conversion (the “Beneficial Ownership Limitation”). Unless otherwise noted below, the table below does not give effect to the applicable Beneficial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and includes shares of common stock with respect to which the Selling Securityholders have voting and investment power. The percentage of shares of common stock beneficially owned by the Selling Securityholders prior to the offering shown in the table below is based on an aggregate of 150,283,214 shares of our common stock outstanding on June 22, 2026. The fourth column assumes the sale of all of the shares offered by the Selling Securityholders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the business address of each of the Selling Securityholders is 1403 N. Research Way, Orem, UT 84097.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further information regarding the Selling Securityholders’ method of distributing these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7"/>
        <w:gridCol w:w="90"/>
        <w:gridCol w:w="90"/>
        <w:gridCol w:w="987"/>
        <w:gridCol w:w="90"/>
        <w:gridCol w:w="90"/>
        <w:gridCol w:w="148"/>
        <w:gridCol w:w="681"/>
        <w:gridCol w:w="215"/>
        <w:gridCol w:w="90"/>
        <w:gridCol w:w="113"/>
        <w:gridCol w:w="1248"/>
        <w:gridCol w:w="90"/>
        <w:gridCol w:w="90"/>
        <w:gridCol w:w="93"/>
        <w:gridCol w:w="1016"/>
        <w:gridCol w:w="93"/>
        <w:gridCol w:w="93"/>
        <w:gridCol w:w="148"/>
        <w:gridCol w:w="681"/>
        <w:gridCol w:w="202"/>
      </w:tblGrid>
      <w:tr>
        <w:trPr/>
        <w:tc>
          <w:tcPr>
            <w:tcW w:w="38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08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w:t>
              <w:br/>
              <w:t xml:space="preserve">Common Stock </w:t>
              <w:br/>
              <w:t xml:space="preserve">Owned Prior to </w:t>
              <w:br/>
              <w:t>Offering</w:t>
            </w:r>
          </w:p>
        </w:tc>
        <w:tc>
          <w:tcPr>
            <w:tcW w:w="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6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 of</w:t>
              <w:br/>
              <w:t>Shares of</w:t>
              <w:br/>
              <w:t xml:space="preserve">Common Stock </w:t>
              <w:br/>
              <w:t>to be Offered</w:t>
              <w:br/>
              <w:t>Pursuant to</w:t>
              <w:br/>
              <w:t>this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2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w:t>
              <w:br/>
              <w:t xml:space="preserve">Common Stock </w:t>
              <w:br/>
              <w:t>Owned After Offering</w:t>
            </w:r>
          </w:p>
        </w:tc>
        <w:tc>
          <w:tcPr>
            <w:tcW w:w="202" w:type="dxa"/>
            <w:tcBorders/>
            <w:vAlign w:val="center"/>
          </w:tcPr>
          <w:p>
            <w:pPr>
              <w:pStyle w:val="TableContents"/>
              <w:bidi w:val="0"/>
              <w:spacing w:before="0" w:after="283"/>
              <w:jc w:val="center"/>
              <w:rPr/>
            </w:pPr>
            <w:r>
              <w:rPr/>
              <w:t> </w:t>
            </w:r>
          </w:p>
        </w:tc>
      </w:tr>
      <w:tr>
        <w:trPr/>
        <w:tc>
          <w:tcPr>
            <w:tcW w:w="385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p>
        </w:tc>
        <w:tc>
          <w:tcPr>
            <w:tcW w:w="90" w:type="dxa"/>
            <w:tcBorders/>
            <w:vAlign w:val="center"/>
          </w:tcPr>
          <w:p>
            <w:pPr>
              <w:pStyle w:val="TableContents"/>
              <w:bidi w:val="0"/>
              <w:spacing w:before="0" w:after="283"/>
              <w:jc w:val="both"/>
              <w:rPr/>
            </w:pPr>
            <w:r>
              <w:rPr/>
              <w:t> </w:t>
            </w:r>
          </w:p>
        </w:tc>
        <w:tc>
          <w:tcPr>
            <w:tcW w:w="107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Prospectus</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r>
              <w:rPr>
                <w:rFonts w:ascii="Times New Roman;Times;Serif" w:hAnsi="Times New Roman;Times;Serif"/>
                <w:b/>
                <w:position w:val="7"/>
                <w:sz w:val="16"/>
                <w:sz w:val="20"/>
              </w:rPr>
              <w:t>(2)</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202" w:type="dxa"/>
            <w:tcBorders/>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Acquisition Transaction Holders</w:t>
            </w:r>
          </w:p>
        </w:tc>
        <w:tc>
          <w:tcPr>
            <w:tcW w:w="90" w:type="dxa"/>
            <w:tcBorders/>
            <w:vAlign w:val="center"/>
          </w:tcPr>
          <w:p>
            <w:pPr>
              <w:pStyle w:val="TableContents"/>
              <w:bidi w:val="0"/>
              <w:spacing w:before="0" w:after="283"/>
              <w:jc w:val="both"/>
              <w:rPr/>
            </w:pPr>
            <w:r>
              <w:rPr/>
              <w:t> </w:t>
            </w:r>
          </w:p>
        </w:tc>
        <w:tc>
          <w:tcPr>
            <w:tcW w:w="1077"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29" w:type="dxa"/>
            <w:gridSpan w:val="2"/>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361"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09" w:type="dxa"/>
            <w:gridSpan w:val="2"/>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829" w:type="dxa"/>
            <w:gridSpan w:val="2"/>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Ambia Holdings, Inc.(3)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10,243,924</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c>
          <w:tcPr>
            <w:tcW w:w="2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10,243,924</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pPr>
            <w:r>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Chicken Parm Pizza LLC(4)</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17,857,902</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2,991,672</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14,866,230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 Purba(4)</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Joel Gregory(4)</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Jacob Lehmann(4)</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Jordan Matthesius(4)</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Munizzi(4)</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Cory Walksler(4)</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Wallace(4)</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Wyler Wittwer(4)</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Kody Ayotte(4)</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Tayten Bibb(4)</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Connor Zwerg(4)</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Hadobas(4)</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8,333</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8,333</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 Noteholders</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Alyeska Master Fund, LP(5)</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11,695,906</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2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11,695,906</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Luming Yang(6)</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8,771,929</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8,771,929</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ind w:left="0" w:right="0" w:hanging="180"/>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Thurman J. Rodgers(7)</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52,224,701</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w:t>
            </w:r>
          </w:p>
        </w:tc>
        <w:tc>
          <w:tcPr>
            <w:tcW w:w="2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4,678,362</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47,546,339</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w:t>
            </w:r>
          </w:p>
        </w:tc>
        <w:tc>
          <w:tcPr>
            <w:tcW w:w="202" w:type="dxa"/>
            <w:tcBorders/>
            <w:shd w:fill="CCEEFF" w:val="cle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funds and accounts managed by Shaolin Capital Management LLC(8)</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8,187,131</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8,187,131</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Walleye Capital(9)</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4,970,759</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2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4,970,759</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Enphase Energy, Inc.(10)</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4,093,567</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4,093,567</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ind w:left="0" w:right="0" w:hanging="180"/>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Sandia Investment Management(11)</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1,900,583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2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1,900,583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ind w:left="0" w:right="0" w:hanging="180"/>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Park West Asset Management, LLC(12)</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1,754,385</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1,754,385</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Cantor Fitzgerald &amp; Co.(13)</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1,169,590</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1,169,590</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Edgar Haldeman, Jr.(14)</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877,192</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877,192</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TQ Master Fund LP, by The Quarry LP(15)</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584,795</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584,795</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ind w:left="0" w:right="0" w:hanging="180"/>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Linden Advisors, LP(16)</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584,794</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584,794</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ind w:left="0" w:right="0" w:hanging="180"/>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DLD Asset Management, L.P.(17)</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584,794</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584,794</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ind w:left="0" w:right="0" w:hanging="180"/>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 and Kathy McCranie 2000 Revocable Trust(18)</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438,596</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438,596</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Hans van Antwerpen(19)</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292,397</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292,397</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ind w:left="0" w:right="0" w:hanging="180"/>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 Managed by Madison Trust Company(20)</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M. Swanson(21)</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Former Affiliate Holders</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Abhishek Bhatia(22)</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568,262</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568,262</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Anderson(22)</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405,090</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405,090</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Noreen Doyle(22)</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r>
        <w:trPr/>
        <w:tc>
          <w:tcPr>
            <w:tcW w:w="3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Janetschek(22)</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113" w:type="dxa"/>
            <w:tcBorders/>
            <w:shd w:fill="CCEEFF" w:val="clear"/>
            <w:vAlign w:val="center"/>
          </w:tcPr>
          <w:p>
            <w:pPr>
              <w:pStyle w:val="TableContents"/>
              <w:bidi w:val="0"/>
              <w:spacing w:before="0" w:after="283"/>
              <w:jc w:val="both"/>
              <w:rPr/>
            </w:pPr>
            <w:r>
              <w:rPr/>
              <w:t> </w:t>
            </w:r>
          </w:p>
        </w:tc>
        <w:tc>
          <w:tcPr>
            <w:tcW w:w="12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9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shd w:fill="CCEEFF" w:val="clear"/>
            <w:vAlign w:val="center"/>
          </w:tcPr>
          <w:p>
            <w:pPr>
              <w:pStyle w:val="TableContents"/>
              <w:bidi w:val="0"/>
              <w:spacing w:before="0" w:after="283"/>
              <w:jc w:val="both"/>
              <w:rPr/>
            </w:pPr>
            <w:r>
              <w:rPr/>
              <w:t> </w:t>
            </w:r>
          </w:p>
        </w:tc>
        <w:tc>
          <w:tcPr>
            <w:tcW w:w="93" w:type="dxa"/>
            <w:tcBorders/>
            <w:shd w:fill="CCEEFF" w:val="clear"/>
            <w:vAlign w:val="center"/>
          </w:tcPr>
          <w:p>
            <w:pPr>
              <w:pStyle w:val="TableContents"/>
              <w:bidi w:val="0"/>
              <w:spacing w:before="0" w:after="283"/>
              <w:jc w:val="both"/>
              <w:rPr/>
            </w:pPr>
            <w:r>
              <w:rPr/>
              <w:t> </w:t>
            </w:r>
          </w:p>
        </w:tc>
        <w:tc>
          <w:tcPr>
            <w:tcW w:w="148"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shd w:fill="CCEEFF" w:val="clear"/>
            <w:vAlign w:val="center"/>
          </w:tcPr>
          <w:p>
            <w:pPr>
              <w:pStyle w:val="TableContents"/>
              <w:bidi w:val="0"/>
              <w:spacing w:before="0" w:after="283"/>
              <w:jc w:val="both"/>
              <w:rPr/>
            </w:pPr>
            <w:r>
              <w:rPr/>
              <w:t> </w:t>
            </w:r>
          </w:p>
        </w:tc>
      </w:tr>
      <w:tr>
        <w:trPr/>
        <w:tc>
          <w:tcPr>
            <w:tcW w:w="3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Nell Cady-Kruse(22)</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13" w:type="dxa"/>
            <w:tcBorders/>
            <w:vAlign w:val="center"/>
          </w:tcPr>
          <w:p>
            <w:pPr>
              <w:pStyle w:val="TableContents"/>
              <w:bidi w:val="0"/>
              <w:spacing w:before="0" w:after="283"/>
              <w:jc w:val="both"/>
              <w:rPr/>
            </w:pPr>
            <w:r>
              <w:rPr/>
              <w:t> </w:t>
            </w:r>
          </w:p>
        </w:tc>
        <w:tc>
          <w:tcPr>
            <w:tcW w:w="124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0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93"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6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2"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70"/>
        <w:gridCol w:w="78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beneficial ownership of less than 1% of the outstanding shares of our common stock.</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90"/>
        <w:gridCol w:w="980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150,283,214 shares of our common stock outstanding as of June 22, 2026.</w:t>
            </w:r>
          </w:p>
        </w:tc>
      </w:tr>
    </w:tbl>
    <w:p>
      <w:pPr>
        <w:pStyle w:val="TextBody"/>
        <w:bidi w:val="0"/>
        <w:spacing w:before="0" w:after="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90"/>
        <w:gridCol w:w="58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shares being offered pursuant to this prospectus.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issued pursuant to the Ambia Purchase Agreement. The business address of Ambia Holdings, Inc. is 335 S 560 W, Suite 100, Lindon, UT 84042.</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9,008,345 shares of common stock and 8,849,557 shares of common stock issuable upon conversion of 10.0% Notes held by Chicken Parm Pizza LLC. The business address of Chicken Parm Pizza LLC is 1750 West 11400 South, Suite 110, South Jordan, Utah 84095.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ind w:left="0" w:right="0" w:hanging="0"/>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290"/>
        <w:gridCol w:w="890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$14,000,000 principal amount of 7%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485,562 shares held by Rodgers Capital, LLC, (ii) 8,842 shares held by Thurman J. Rodgers, (iii) 21,590,490 shares held by the Rodgers Massey Revocable Living Trust, (iv) 1,838,235 shares held by the Rodgers Massey Freedom and Free Markets Charitable Trust, (v) 463,589 shares held by the T.J. Rodgers 2012 Irrevocable Trust dtd 12/26/12, (vi) 463,589 shares held by the Valeta Massey 2012 Irrevocable Trust dtd 12/26/12, (vii) 724,416 shares issuable pursuant to warrants exercisable within 60 days of June 22, 2026, and (viii) 116,601 shares issuable pursuant to stock options and restricted stock units exercisable or settleable within 60 days of June 22, 2026.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Freedom and Free Markets Charitable Trust holds $1,000,000 principal amount of the 10% Notes that are convertible into 884,955 shares of common stock; and (g) the Rodgers Massey Revocable Living Trust holds $5,000,000 principal amount of the 10% Notes that are convertible into 4,424,778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3,769,590 shares of common stock issuable upon conversion of $6,446,000 principal amount of 7% Notes held by Shaolin Capital Partners Master Fund, (ii) 3,068,000 shares of common stock issuable upon conversion of $3,068,000 principal amount of 7% Notes held by MAP 214 Segregated Portfolio, a segregated portfolio of LMA SPC, (iii) 2,918,000 shares of common stock issuable upon conversion of $2,918,000 principal amount of 7% Notes held by Shaolin Capital Partners SP, a segregated portfolio of PCMP SPC, (iv) 776,608 shares of common stock issuable upon conversion of $1,328,000 principal amount of 7% Notes held by Eagle Harbor Multi-Strategy Master Fund Limited, and (v) 140,350.00 shares of common stock issuable upon conversion of $240,000 principal amount of 7% Notes held by Eagle Harbor Multi-Strategy Master Fund Limited. Shaolin Capital Management LLC (“Shaolin Capital Management”) serves as investment manager for these entities. David Puritz and Michael Jester are the general partners of Shaolin Capital Management and serve as the sub investment advisor to these entities. They have voting and investment control over the shares held by these entities. Mr. Puritz and Mr. Jester disclaim beneficial ownership of the shares held by these entities, except to the extent of their pecuniary interest therein. The principal business address of each of these entities and Shaolin Capital Management is 230 NW 24 Street, Suite 603, Miami, Florida 33127.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2,339,181 shares of common stock issuable upon conversion of $4,000,000 principal amount of 7% Notes held by Walleye Manager Opportunities LLC, and (ii) 2,631,578 shares of common stock issuable upon conversion of $4,500,000 principal amount of 7% Notes held by Walleye Opportunities Master Fund Ltd. Walleye Capital LLC is the ultimate parent holding company of such funds and accounts. On behalf of such funds and accounts, the applicable portfolio managers, as managing directors of such entities, have voting and investment power over the shares held by the funds and accounts which are the registered holders of the referenced shares. Such portfolio managers expressly disclaim beneficial ownership of all shares held by such funds and accounts. The address of Walleye Manager Opportunities LLC is 2800 Niagara Lane N, Plymouth, MN 55447. The principal business address of Walleye Opportunities Master Fund Ltd is 315 Park Avenue South, New York, NY 10010.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$7,000,000 principal amount of 7% Notes. The principal business address of the Selling Securityholder is 47281 Bayside Parkway, Fremont CA 94538.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584,795 shares of common stock issuable upon conversion of $1,000,000 principal amount of 7% Notes held by Sandia Investment Management, on behalf of Boothbay Absolute Return Strategies, LP, (ii) 1,105,847 shares of common stock issuable upon conversion of $1,891,000 principal amount of 7% Notes held by Sandia Investment Management, on behalf of Diametric True Alpha Enhanced Market Neutral Master Fund, LP, and (iii) 209,941 shares of common stock issuable upon conversion of $359,000 principal amount of 7% Notes held by Sandia Investment Management, on behalf of Diametric True Alpha Market Neutral Master Fund, LP. Sandia Investment Management LLC is the general partner of Sandia. Tim Sichler serves as Founder &amp; CIO of the general partner of Sandia, and in such capacity may be deemed to be the beneficial owner having shared voting power and shared investment power over the securities described in this footnote. The business address of these entities and Mr. Sichler is 201 Washington Street, Boston, Massachusetts 02108.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1,596,491 shares of common stock issuable upon conversion of $2,730,000 principal amount of 7% Notes held by Park West Master Fund, Limited, and (ii) 157,894 shares of common stock issuable upon conversion of $270,000 principal amount of 7% Notes held by Park West Partners International, Limited (collectively, the “Park West Funds”). Park West Asset Management LLC (the “Park West Manager”) serves as the investment manager to the Park West Funds. Peter S. Park, through one or more affiliated entities, is the controlling manager of the Park West Manager. As such, the Park West Manager and Mr. Park may be deemed to exercise voting and investment discretion over the shares directly held by the Park West Funds. The principal business address of the Park West Funds is One Letterman Drive, San Francisco 94129.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$2,000,000 principal amount of 7% Notes. The principal business address of the Selling Securityholder is 119 E 59th Street, NY 10022.</w:t>
            </w:r>
          </w:p>
        </w:tc>
      </w:tr>
    </w:tbl>
    <w:p>
      <w:pPr>
        <w:pStyle w:val="TextBody"/>
        <w:bidi w:val="0"/>
        <w:spacing w:before="0" w:after="0"/>
        <w:ind w:left="0" w:right="0" w:hanging="0"/>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395"/>
        <w:gridCol w:w="8795"/>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8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$1,500,000 principal amount of 7%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$2,730,000 principal amount of 7% Notes. The registered address of the Selling Securityholder is 331 Park Ave S, Third Floor, New York, NY 10010.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550,376 shares of common stock issuable upon conversion of $941,143 principal amount of 7% Notes held by Linden Capital, LP, (ii) 16,123 shares of common stock issuable upon conversion of $27,571 principal amount of 7% Notes held by Crown Managed Accounts SPC, and (iii) 18,295 shares of common stock issuable upon conversion of $31,286 principal amount of 7% Notes held by PCH Manager Fund SPC (collectively, the “Linden Accounts”). Linden Advisors LP is an investment manager for the Linden Accounts and holds voting and dispositive power over the securities held by them. Mr. Siu Min (Joe) Wong (the principal owner and the controlling person of Linden Advisors LP) also shares voting and dispositive power with respect to the securities listed held by the Linden Accounts. The principal business address of the Linden Accounts is 590 Madison Ave, 32nd Floor, NY 10022.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292,397 shares of common stock issuable upon conversion of $500,000 principal amount of 7% Notes held by DLD Master Fund, L.P., and (ii) 292,397 shares of common stock issuable upon conversion of $500,000 principal amount of 7% Notes held by Commonfund Global Absolute Alpha Company. The address of each of the Selling Securityholders is 150 East 52nd Street, New York 10022.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438,596 shares of common stock issuable upon conversion of $750,000 principal amount of 7% Notes held by the Dan and Kathy McCranie 2000 Revocable Trust. Daniel McCranie, a member of the Company’s board of directors serves as trustee of the Dan and Kathy McCranie 2000 Revocable Trust. Mr. McCranie disclaims any beneficial ownership of the reported shares other than to the extent of any pecuniary interest therein.</w:t>
            </w:r>
          </w:p>
        </w:tc>
      </w:tr>
    </w:tbl>
    <w:p>
      <w:pPr>
        <w:pStyle w:val="TextBody"/>
        <w:bidi w:val="0"/>
        <w:spacing w:before="0" w:after="0"/>
        <w:ind w:left="0" w:right="0" w:hanging="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395"/>
        <w:gridCol w:w="8690"/>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8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Consists of shares of common stock issuable upon conversion of $500,000 principal amount of 7% Notes. </w:t>
            </w:r>
          </w:p>
        </w:tc>
      </w:tr>
    </w:tbl>
    <w:p>
      <w:pPr>
        <w:pStyle w:val="TextBody"/>
        <w:bidi w:val="0"/>
        <w:spacing w:before="0" w:after="0"/>
        <w:ind w:left="0" w:right="0" w:hanging="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395"/>
        <w:gridCol w:w="8690"/>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w:t>
            </w:r>
          </w:p>
        </w:tc>
        <w:tc>
          <w:tcPr>
            <w:tcW w:w="8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Consists of shares of common stock issuable upon conversion of $200,000 principal amount of 7% Notes. </w:t>
            </w:r>
          </w:p>
        </w:tc>
      </w:tr>
    </w:tbl>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395"/>
        <w:gridCol w:w="8645"/>
      </w:tblGrid>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8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$100,000 principal amount of 7%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98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Consists of shares of common stock previously issued by the Company to issued to former affiliates of Freedom Acquisition I Corp. and its sponsor, Freedom Acquisition I, LLC.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Description of Capital Stock</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SunPower’s securities does not purport to be complete and is subject to the Certificate of Incorporation, the Bylaws and the provisions of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Certificate of Incorporation authorizes the issuance of 1,010,000,000 shares, consisting of 1,000,000,000 shares of common stock, $0.0001 par value per share, and 10,000,000 shares of preferred stock, $0.0001 par value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As of June 22, 2026, there were 150,283,214 shares of common stock issued and outstanding and no preferred shares of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or as otherwise provided in any certificate of designation for any series of preferred stock, the holders of common stock possess all voting power for the election of SunPower’s directors and all other matters requiring stockholder action. Holders of common stock are entitled to one vote per share on matters to be voted on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such dividends, if any, as may be declared from time to time by SunPower’s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SunPower’s voluntary or involuntary liquidation, dissolution, distribution of assets or winding-up, the holders of common stock will be entitled to receive an equal amount per share of all of SunPower’s assets of whatever kind available for distribution to stockholders, after the rights of the holders of preferred stock have been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preemptive rights or other subscription rights and there are no sinking fund or redemption provisions applicable to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one class of directors and each director generally serves for a term of one year. Unless required by applicable law at the time of election,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preferred stock could have the effect of decreasing the trading price of the common stock, restricting dividends on SunPower’s capital stock, diluting the voting power of common stock, impairing the liquidation rights of SunPower’s capital stock, or delaying or preventing a change in control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 and Related Common Stock Issued or Issuable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4,166,667 and 9,722,222 shares of our common stock,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entered into the Third SAFE with the Purchaser in connection with the Purchaser’s investment of $1,000,000.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Thurman J. Rodgers is a trustee of the Purchaser, the Executive Chairman of the SunPower Board, and the Chief Executive Officer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 Purchase Agreements</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entered into Forward Purchase Agreements with each of the FPA Sellers. Pursuant to the terms of the original Forward Purchase Agreements, the FPA Sellers could purchase through a broker in the open market, from holders of Shares other than the Company or affiliates thereof, the shares purchasable under the Forward Purchase Agreement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While the FPA Sellers had no obligation to purchase any Shares under the Forward Purchase Agreements, the aggregate total FPA Shares that could be purchased under the original Forward Purchase Agreements was no more than 6,720,000 in aggregate. The FPA Sellers could not beneficially own greater than 9.9% of issued and outstanding Shares following the Business Combination as per the Amended and Restated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and the FPA Sellers entered into separate amendments to the Forward Purchase Agreements (the “</w:t>
      </w:r>
      <w:r>
        <w:rPr>
          <w:rFonts w:ascii="Times New Roman;Times;Serif" w:hAnsi="Times New Roman;Times;Serif"/>
          <w:b/>
          <w:i w:val="false"/>
          <w:caps w:val="false"/>
          <w:smallCaps w:val="false"/>
          <w:sz w:val="20"/>
        </w:rPr>
        <w:t>FPA Amendments</w:t>
      </w:r>
      <w:r>
        <w:rPr>
          <w:rFonts w:ascii="Times New Roman;Times;Serif" w:hAnsi="Times New Roman;Times;Serif"/>
          <w:b w:val="false"/>
          <w:i w:val="false"/>
          <w:caps w:val="false"/>
          <w:smallCaps w:val="false"/>
          <w:sz w:val="20"/>
        </w:rPr>
        <w:t>”). The FPA Amendments lower the reset floor price of each Forward Purchase Agreement from $5.00 to $3.00 and allow the Company to raise up to $10.0 million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and May 8, 2024, respectively, the Company entered into the Sandia Second Amendment and the Polar Second Amendment to the Forward Purchase Agreements. The Second Amendments lower the reset price of each Forward Purchase Agreement from $3.00 to $1.00 per share and amend the VWAP trigger event to mean an event that occurs if the VWAP price, for any 20 trading days during a 30 consecutive trading day-period, is below $1.00 per FPA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June 14, 2024, the Company entered into the Sandia Third Amendment. The Sandia Third Amendment sets the reset price of each Forward Purchase Agreement to $1.00 per share and amends the VWAP trigger event to mean an event that occurs if the VWAP price (as defined in the Forward Purchase Agreement), for any 20 trading days during a 30 consecutive trading day-period, is below $1.00 per Share. In the event either Polar or Meteora amend their Forward Purchase Agreements to include different terms from the $1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this document.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2024, the Company entered into the third amendment to the Polar Third Amendment, pursuant to which the Company and Polar agreed that most favored nation term of the Forward Purchase Agreement is applicable to all 2,450,000 shares subject to the Forward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Times;Serif" w:hAnsi="Times New Roman;Times;Serif"/>
          <w:b/>
          <w:i w:val="false"/>
          <w:caps w:val="false"/>
          <w:smallCaps w:val="false"/>
          <w:sz w:val="20"/>
        </w:rPr>
        <w:t>Further FPA Amendments</w:t>
      </w:r>
      <w:r>
        <w:rPr>
          <w:rFonts w:ascii="Times New Roman;Times;Serif" w:hAnsi="Times New Roman;Times;Serif"/>
          <w:b w:val="false"/>
          <w:i w:val="false"/>
          <w:caps w:val="false"/>
          <w:smallCaps w:val="false"/>
          <w:sz w:val="20"/>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Merger Warrant entitles the registered holder to purchase one share of common stock at a price of $11.50 per share, subject to adjustment as discussed below. The Public Warrants will expire on July 18, 2028 at 5:00 p.m., Eastern Time or earlier upon redemption or liquidation. The Merger Warrants expire on July 18, 2028 at 5:00 p.m., Eastern Time or earlier upon redemption or liquidation. However, no Public Warrants or Merger Warrants will be exercisable for cash unless SunPower has an effective and current registration statement covering the shares of common stock issuable upon exercise of the Public Warrants and Merger Warrants and a current prospectus relating to such shares of common stock. Notwithstanding the foregoing, if a registration statement covering the shares of common stock issuable upon exercise of the Public Warrants is not effective within 60 days from the Closing, warrant holders may, until such time as there is an effective registration statement and during any period when it shall have failed to maintain an effective registration statement, exercise Public Warrants and Merger Warrants on a cashless basis pursuant to an available exemption from registration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agreements, no fractional warrants will be issued upon separation of the units and only whole warrants will trade. Upon the Closing, SunPower separated the units into shares of common stock and Public Warrants, and the Units stopped trading and were delisted from the New York Stock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identical to the Public Warrants underlying the Units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Working Capital Warrants are identical to the Private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SunPower may redeem the outstanding warrants (except as described herein with respect to the Private Warrants and Working Capital Warrants):</w:t>
      </w:r>
    </w:p>
    <w:p>
      <w:pPr>
        <w:pStyle w:val="TextBody"/>
        <w:bidi w:val="0"/>
        <w:spacing w:before="0" w:after="0"/>
        <w:ind w:left="0" w:right="0" w:firstLine="36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05"/>
        <w:gridCol w:w="200"/>
        <w:gridCol w:w="2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$0.10 per warrant upon a minimum of 30 days’ prior written notice of redemption, provided that holders will be able to exercise their warrants on a cashless basis prior to redemption and receive the number of shares determined by reference to the table set forth below based on the redemption date and the “fair market value” of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Reference Value equals or exceeds $10.00 per share (as adjusted for share sub-divisions, share capitalizations, reorganizations, recapitalizations and the like);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Reference Value is less than $18.00 per share (as adjusted for share sub-divisions, share capitalizations, reorganizations, recapitalizations and the like and as described above adjacent to the caption “Exercise Price”), the Private Warrants must also concurrently be called for redemption on the same terms as the outstanding public warrants, as described above.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Public Warrants are exercised prior to the date specified in the notice of redemption. On and after the redemption date, a record holder of a Public Warrant will have no further rights except to receive the redemption price for such holder’s warrant upon surrender of such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common stock may fall below the $18.00 redemption trigger price (as adjusted for share sub-divisions, share capitalizations, reorganizations, recapitalizations and the like and as described below) as well as the $11.50 (for whole shares)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numbers in the table below represent the number of shares of common stock that a warrant holder will receive upon such cashless exercise in connection with a redemption by us pursuant to this redemption feature, based on the “fair market value” of shares of common stock on the corresponding redemption date (assuming holders elect to exercise their warrants and such warrants are not redeemed for $0.10 per warrant), determined for these purposes based on volume-weighted average price of shares of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prices set forth in the column headings of the table below will be adjusted as of any date on which the number of shares issuable upon exercise of a warrant or the exercise price of the warrant is adjusted as set forth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2"/>
        <w:gridCol w:w="90"/>
        <w:gridCol w:w="93"/>
        <w:gridCol w:w="615"/>
        <w:gridCol w:w="90"/>
        <w:gridCol w:w="90"/>
        <w:gridCol w:w="93"/>
        <w:gridCol w:w="617"/>
        <w:gridCol w:w="90"/>
        <w:gridCol w:w="90"/>
        <w:gridCol w:w="93"/>
        <w:gridCol w:w="617"/>
        <w:gridCol w:w="90"/>
        <w:gridCol w:w="90"/>
        <w:gridCol w:w="93"/>
        <w:gridCol w:w="617"/>
        <w:gridCol w:w="90"/>
        <w:gridCol w:w="90"/>
        <w:gridCol w:w="93"/>
        <w:gridCol w:w="617"/>
        <w:gridCol w:w="90"/>
        <w:gridCol w:w="90"/>
        <w:gridCol w:w="93"/>
        <w:gridCol w:w="617"/>
        <w:gridCol w:w="90"/>
        <w:gridCol w:w="90"/>
        <w:gridCol w:w="93"/>
        <w:gridCol w:w="617"/>
        <w:gridCol w:w="90"/>
        <w:gridCol w:w="90"/>
        <w:gridCol w:w="93"/>
        <w:gridCol w:w="617"/>
        <w:gridCol w:w="90"/>
        <w:gridCol w:w="90"/>
        <w:gridCol w:w="93"/>
        <w:gridCol w:w="615"/>
        <w:gridCol w:w="137"/>
      </w:tblGrid>
      <w:tr>
        <w:trPr/>
        <w:tc>
          <w:tcPr>
            <w:tcW w:w="2152" w:type="dxa"/>
            <w:tcBorders/>
            <w:vAlign w:val="center"/>
          </w:tcPr>
          <w:p>
            <w:pPr>
              <w:pStyle w:val="TableContents"/>
              <w:bidi w:val="0"/>
              <w:spacing w:before="0" w:after="283"/>
              <w:jc w:val="left"/>
              <w:rPr>
                <w:b/>
              </w:rPr>
            </w:pPr>
            <w:r>
              <w:rPr>
                <w:b/>
              </w:rPr>
              <w:t xml:space="preserve">Redemption Date </w:t>
            </w:r>
          </w:p>
        </w:tc>
        <w:tc>
          <w:tcPr>
            <w:tcW w:w="90" w:type="dxa"/>
            <w:tcBorders/>
            <w:vAlign w:val="center"/>
          </w:tcPr>
          <w:p>
            <w:pPr>
              <w:pStyle w:val="TableContents"/>
              <w:bidi w:val="0"/>
              <w:spacing w:before="0" w:after="283"/>
              <w:jc w:val="left"/>
              <w:rPr/>
            </w:pPr>
            <w:r>
              <w:rPr/>
              <w:t> </w:t>
            </w:r>
          </w:p>
        </w:tc>
        <w:tc>
          <w:tcPr>
            <w:tcW w:w="7826"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Fair Market Value of Common Stock</w:t>
            </w:r>
          </w:p>
        </w:tc>
        <w:tc>
          <w:tcPr>
            <w:tcW w:w="137" w:type="dxa"/>
            <w:tcBorders/>
            <w:vAlign w:val="center"/>
          </w:tcPr>
          <w:p>
            <w:pPr>
              <w:pStyle w:val="TableContents"/>
              <w:bidi w:val="0"/>
              <w:spacing w:before="0" w:after="283"/>
              <w:jc w:val="left"/>
              <w:rPr/>
            </w:pPr>
            <w:r>
              <w:rPr/>
              <w:t> </w:t>
            </w:r>
          </w:p>
        </w:tc>
      </w:tr>
      <w:tr>
        <w:trPr/>
        <w:tc>
          <w:tcPr>
            <w:tcW w:w="2152" w:type="dxa"/>
            <w:tcBorders>
              <w:bottom w:val="single" w:sz="12" w:space="0" w:color="000000"/>
            </w:tcBorders>
            <w:tcMar>
              <w:bottom w:w="28" w:type="dxa"/>
            </w:tcMar>
            <w:vAlign w:val="center"/>
          </w:tcPr>
          <w:p>
            <w:pPr>
              <w:pStyle w:val="TableContents"/>
              <w:bidi w:val="0"/>
              <w:spacing w:before="0" w:after="283"/>
              <w:jc w:val="left"/>
              <w:rPr>
                <w:b/>
              </w:rPr>
            </w:pPr>
            <w:r>
              <w:rPr>
                <w:b/>
              </w:rPr>
              <w:t>(period to expiration of warrants)</w:t>
            </w:r>
          </w:p>
        </w:tc>
        <w:tc>
          <w:tcPr>
            <w:tcW w:w="90" w:type="dxa"/>
            <w:tcBorders/>
            <w:vAlign w:val="center"/>
          </w:tcPr>
          <w:p>
            <w:pPr>
              <w:pStyle w:val="TableContents"/>
              <w:bidi w:val="0"/>
              <w:spacing w:before="0" w:after="283"/>
              <w:jc w:val="left"/>
              <w:rPr/>
            </w:pPr>
            <w:r>
              <w:rPr/>
              <w:t> </w:t>
            </w:r>
          </w:p>
        </w:tc>
        <w:tc>
          <w:tcPr>
            <w:tcW w:w="708"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$14.00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$16.00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8"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$18.00</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60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r>
        <w:trPr/>
        <w:tc>
          <w:tcPr>
            <w:tcW w:w="2152" w:type="dxa"/>
            <w:tcBorders/>
            <w:vAlign w:val="center"/>
          </w:tcPr>
          <w:p>
            <w:pPr>
              <w:pStyle w:val="TableContents"/>
              <w:bidi w:val="0"/>
              <w:spacing w:before="0" w:after="283"/>
              <w:jc w:val="left"/>
              <w:rPr/>
            </w:pPr>
            <w:r>
              <w:rPr/>
              <w:t>57 months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0.257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0.361</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54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r>
        <w:trPr/>
        <w:tc>
          <w:tcPr>
            <w:tcW w:w="2152" w:type="dxa"/>
            <w:tcBorders/>
            <w:vAlign w:val="center"/>
          </w:tcPr>
          <w:p>
            <w:pPr>
              <w:pStyle w:val="TableContents"/>
              <w:bidi w:val="0"/>
              <w:spacing w:before="0" w:after="283"/>
              <w:jc w:val="left"/>
              <w:rPr/>
            </w:pPr>
            <w:r>
              <w:rPr/>
              <w:t>51 months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0.246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0.361</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48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r>
        <w:trPr/>
        <w:tc>
          <w:tcPr>
            <w:tcW w:w="2152" w:type="dxa"/>
            <w:tcBorders/>
            <w:vAlign w:val="center"/>
          </w:tcPr>
          <w:p>
            <w:pPr>
              <w:pStyle w:val="TableContents"/>
              <w:bidi w:val="0"/>
              <w:spacing w:before="0" w:after="283"/>
              <w:jc w:val="left"/>
              <w:rPr/>
            </w:pPr>
            <w:r>
              <w:rPr/>
              <w:t>45 months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0.235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0.361</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42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r>
        <w:trPr/>
        <w:tc>
          <w:tcPr>
            <w:tcW w:w="2152" w:type="dxa"/>
            <w:tcBorders/>
            <w:vAlign w:val="center"/>
          </w:tcPr>
          <w:p>
            <w:pPr>
              <w:pStyle w:val="TableContents"/>
              <w:bidi w:val="0"/>
              <w:spacing w:before="0" w:after="283"/>
              <w:jc w:val="left"/>
              <w:rPr/>
            </w:pPr>
            <w:r>
              <w:rPr/>
              <w:t>39 months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0.221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0.361</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36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r>
        <w:trPr/>
        <w:tc>
          <w:tcPr>
            <w:tcW w:w="2152" w:type="dxa"/>
            <w:tcBorders/>
            <w:vAlign w:val="center"/>
          </w:tcPr>
          <w:p>
            <w:pPr>
              <w:pStyle w:val="TableContents"/>
              <w:bidi w:val="0"/>
              <w:spacing w:before="0" w:after="283"/>
              <w:jc w:val="left"/>
              <w:rPr/>
            </w:pPr>
            <w:r>
              <w:rPr/>
              <w:t>33 months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0.205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0.361</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30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r>
        <w:trPr/>
        <w:tc>
          <w:tcPr>
            <w:tcW w:w="2152" w:type="dxa"/>
            <w:tcBorders/>
            <w:vAlign w:val="center"/>
          </w:tcPr>
          <w:p>
            <w:pPr>
              <w:pStyle w:val="TableContents"/>
              <w:bidi w:val="0"/>
              <w:spacing w:before="0" w:after="283"/>
              <w:jc w:val="left"/>
              <w:rPr/>
            </w:pPr>
            <w:r>
              <w:rPr/>
              <w:t>27 months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0.361</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24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r>
        <w:trPr/>
        <w:tc>
          <w:tcPr>
            <w:tcW w:w="2152" w:type="dxa"/>
            <w:tcBorders/>
            <w:vAlign w:val="center"/>
          </w:tcPr>
          <w:p>
            <w:pPr>
              <w:pStyle w:val="TableContents"/>
              <w:bidi w:val="0"/>
              <w:spacing w:before="0" w:after="283"/>
              <w:jc w:val="left"/>
              <w:rPr/>
            </w:pPr>
            <w:r>
              <w:rPr/>
              <w:t>21 months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0.161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0.361</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18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r>
        <w:trPr/>
        <w:tc>
          <w:tcPr>
            <w:tcW w:w="2152" w:type="dxa"/>
            <w:tcBorders/>
            <w:vAlign w:val="center"/>
          </w:tcPr>
          <w:p>
            <w:pPr>
              <w:pStyle w:val="TableContents"/>
              <w:bidi w:val="0"/>
              <w:spacing w:before="0" w:after="283"/>
              <w:jc w:val="left"/>
              <w:rPr/>
            </w:pPr>
            <w:r>
              <w:rPr/>
              <w:t>15 months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0.130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0.361</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12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r>
        <w:trPr/>
        <w:tc>
          <w:tcPr>
            <w:tcW w:w="2152" w:type="dxa"/>
            <w:tcBorders/>
            <w:vAlign w:val="center"/>
          </w:tcPr>
          <w:p>
            <w:pPr>
              <w:pStyle w:val="TableContents"/>
              <w:bidi w:val="0"/>
              <w:spacing w:before="0" w:after="283"/>
              <w:jc w:val="left"/>
              <w:rPr/>
            </w:pPr>
            <w:r>
              <w:rPr/>
              <w:t>9 months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0.090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0.361</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6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0.065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0.099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r>
        <w:trPr/>
        <w:tc>
          <w:tcPr>
            <w:tcW w:w="2152" w:type="dxa"/>
            <w:tcBorders/>
            <w:vAlign w:val="center"/>
          </w:tcPr>
          <w:p>
            <w:pPr>
              <w:pStyle w:val="TableContents"/>
              <w:bidi w:val="0"/>
              <w:spacing w:before="0" w:after="283"/>
              <w:jc w:val="left"/>
              <w:rPr/>
            </w:pPr>
            <w:r>
              <w:rPr/>
              <w:t>3 months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0.034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0.065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0.361</w:t>
            </w:r>
          </w:p>
        </w:tc>
        <w:tc>
          <w:tcPr>
            <w:tcW w:w="137" w:type="dxa"/>
            <w:tcBorders/>
            <w:vAlign w:val="center"/>
          </w:tcPr>
          <w:p>
            <w:pPr>
              <w:pStyle w:val="TableContents"/>
              <w:bidi w:val="0"/>
              <w:spacing w:before="0" w:after="283"/>
              <w:jc w:val="left"/>
              <w:rPr/>
            </w:pPr>
            <w:r>
              <w:rPr/>
              <w:t> </w:t>
            </w:r>
          </w:p>
        </w:tc>
      </w:tr>
      <w:tr>
        <w:trPr/>
        <w:tc>
          <w:tcPr>
            <w:tcW w:w="2152" w:type="dxa"/>
            <w:tcBorders/>
            <w:shd w:fill="CCEEFF" w:val="clear"/>
            <w:vAlign w:val="center"/>
          </w:tcPr>
          <w:p>
            <w:pPr>
              <w:pStyle w:val="TableContents"/>
              <w:bidi w:val="0"/>
              <w:spacing w:before="0" w:after="283"/>
              <w:jc w:val="left"/>
              <w:rPr/>
            </w:pPr>
            <w:r>
              <w:rPr/>
              <w:t>0 months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0.042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0.361</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our shares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dated February 25, 2021 between us and our Transfer Agent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we agreed to register the shares issuable upon exercise of the Warrants following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Freedom Acquisition I LLC, certain of our equity holders and certain of their respective affiliates, as applicable, and the other parties thereto, are party to an Amended and Restated Registration Rights Agreement, dated July 17, 2023 (the “</w:t>
      </w:r>
      <w:r>
        <w:rPr>
          <w:rFonts w:ascii="Times New Roman;Times;Serif" w:hAnsi="Times New Roman;Times;Serif"/>
          <w:b/>
          <w:i w:val="false"/>
          <w:caps w:val="false"/>
          <w:smallCaps w:val="false"/>
          <w:sz w:val="20"/>
        </w:rPr>
        <w:t>A&amp;R Registration Rights Agreement</w:t>
      </w:r>
      <w:r>
        <w:rPr>
          <w:rFonts w:ascii="Times New Roman;Times;Serif" w:hAnsi="Times New Roman;Times;Serif"/>
          <w:b w:val="false"/>
          <w:i w:val="false"/>
          <w:caps w:val="false"/>
          <w:smallCaps w:val="false"/>
          <w:sz w:val="20"/>
        </w:rPr>
        <w:t>”), pursuant to which we granted customary registration rights to the parties thereto, including to register for resale, pursuant to Rule 415 under the Securities Act, certain of our securities held by the parties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certain payees under certain of our outstanding indebtedness are entitled to certain registration rights relating to the Working Capital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Demand Registration Rights under Forward Purchase Agreements and PIPE Subscription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Forward Purchase Agreements, dated July 13, 2023, between the Company and the FPA Sellers, within 30 days after receipt of a written request from an FPA Seller, we are required to file a registration statement with the SEC registering the resale of all shares held by the applicable FPA Seller and to cause such registration statement to be declared effective. No FPA Seller has requested a registration statement to date under their Forward Purchase Agreements. The FPA Sellers are also parties to Subscription Agreements dated July 13, 2023 with FACT that provided registration rights with respect to the subscribed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Ayna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to purchase up to 6,000,000 shares of common stock (the “</w:t>
      </w:r>
      <w:r>
        <w:rPr>
          <w:rFonts w:ascii="Times New Roman;Times;Serif" w:hAnsi="Times New Roman;Times;Serif"/>
          <w:b/>
          <w:i w:val="false"/>
          <w:caps w:val="false"/>
          <w:smallCaps w:val="false"/>
          <w:sz w:val="20"/>
        </w:rPr>
        <w:t>Ayna Warrant</w:t>
      </w:r>
      <w:r>
        <w:rPr>
          <w:rFonts w:ascii="Times New Roman;Times;Serif" w:hAnsi="Times New Roman;Times;Serif"/>
          <w:b w:val="false"/>
          <w:i w:val="false"/>
          <w:caps w:val="false"/>
          <w:smallCaps w:val="false"/>
          <w:sz w:val="20"/>
        </w:rPr>
        <w:t>”) issued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on June 17, 2024, Ayna has piggy-back registration rights if we propose to register any of our common stock under the Securities Act in connection with a public offering of such securities solely for cash. Additionally, Ayna has Form S-3 demand registration rights if the Ayna Warrant has been exercised in full, we are eligible to use Form S-3, and Ayna requests that we file a Form S-3 registration statement with respect to all of the shares of common stock then held by Ayna. We filed such Form S-3 registration statement on December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Ayna 2026 Warrant, Ayna has demand and piggy-back registration rights with respect to the common stock issuable upon exercise of the Ayan 2026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Exchange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Agreement, we agreed to file a registration statement with respect to resale of 1,500,000 shares of common stock issued to Kline Hill and with respect to the shares of common stock issuable upon conversion of 12.00% Notes due 2029 issued to Kline Hill and Carlyle. We filed such Form S-3 registration statement with respect to the securities held by Kline Hill on December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White Lion Transaction Registration Rights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we entered into the White Lion Purchase Agreement with White Lion (the “</w:t>
      </w:r>
      <w:r>
        <w:rPr>
          <w:rFonts w:ascii="Times New Roman;Times;Serif" w:hAnsi="Times New Roman;Times;Serif"/>
          <w:b/>
          <w:i w:val="false"/>
          <w:caps w:val="false"/>
          <w:smallCaps w:val="false"/>
          <w:sz w:val="20"/>
        </w:rPr>
        <w:t>White Lion Purchase Agreement</w:t>
      </w:r>
      <w:r>
        <w:rPr>
          <w:rFonts w:ascii="Times New Roman;Times;Serif" w:hAnsi="Times New Roman;Times;Serif"/>
          <w:b w:val="false"/>
          <w:i w:val="false"/>
          <w:caps w:val="false"/>
          <w:smallCaps w:val="false"/>
          <w:sz w:val="20"/>
        </w:rPr>
        <w:t>”). In connection with the White Lion Purchase Agreement, we entered into a registration rights agreement with White Lion providing for the resale of the shares purchased by White Lion under the White Lion Purchase Agreement. We completed the initial filing of such registration statement on July 24, 2024.</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Yorkville Registration Rights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the SEPA with Yorkville. In connection with the SEPA, we entered into the RRA with Yorkville providing for the resale of the shares purchased by Yorkville under the SEPA and the Commitment Shares and the Conversion Shares. On March 6, 2026, we entered into the March 2026 YA RRA with Yorkville providing for the resale of the shares of our common stock issuable upon the exercise of the YA Debenture.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Note Purchase Agreements for 7.00% Notes due 2029</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7.00% Notes require SunPower to file a registration statement with the SEC to register the resale of the maximum number of shares of common stock issuable upon conversion of the 7.00% Notes due 2029 and to use commercially reasonable efforts to have such registration statement declared effective as soon as practicable after filing.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Note Purchase Agreements for 10.00% Convertible Senior Secured Notes due 2029; Registration Rights Under Exchange Agreements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10.00% Notes require SunPower to file a registration statement with the SEC to register the resale of the maximum number of shares of common stock issuable upon conversion of the 10% Notes and to use commercially reasonable efforts to have such registration statement declared effective as soon as practicable after filing. Additionally, the exchange agreements entered into by SunPower and certain holders of its 7.00% Notes require SunPower to file a registration statement with the SEC to register the resale of the common stock issued pursuant to the exchange agreements and to use commercially reasonable efforts to have such registration statement declared effective as soon as practicable after filing.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Membership Interest Purchase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September 21, 2025 with the Company, Chicken Parm Pizza LLC and Sunder Energy LLC provides that we are required to file an initial registration statement on Form S-1 with the SEC with respect to the shares of our common stock issued and issuable as consideration for the acquisition of Sunder Energy on or before the six month anniversary of the closing date of the transactions under such Membership Interest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November 21, 2025 with Ambia Holdings, Inc. and Ambia Energy, LLC provides that we are required to file an initial registration statement on Form S-1 with the SEC with respect to the shares of our common stock issued and issuable as consideration for the acquisition of Ambia Energy within 10 calendar days after we file an amendment to our Current Report on Form 8-K to file the financial statements required to be filed by SunPower pursuant to Item 9.01(a)(3) of Current Report Form 8-K in respect of the transactions contemplated by the Ambia Membership Interest Purchase Agreement.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Governing Documents: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720" w:right="0" w:hanging="36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05"/>
        <w:gridCol w:w="200"/>
        <w:gridCol w:w="79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the authorized number of directors may be changed only by resolution of our Board;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of SunPower’s stockholders may be called by the chairperson of our Board, the chief executive officer or by our Board pursuant to a resolution adopted by a majority of the total number of authorized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provide for cumulative voting rights, therefore allowing the holders of a majority of the shares of common stock entitled to vote in any election of directors to elect all of the directors standing for election, if they should so choose.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all of the then-outstanding capital stock entitled to vote generally in the election of directors. The combination of these provisions will make it more difficult for the existing stockholders to replace our Board as well as for another party to obtain control of SunPower by replacing our Board. Because the our Board has the power to retain and discharge its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and its policies and to discourage coercive takeover practices and inadequate takeover bids. These provisions are also designed to reduce SunPower’s vulnerability to hostile takeovers and to discourage certain tactics that may be used in proxy fights. However, such provisions could have the effect of discouraging others from making tender offers for SunPower’s shares and may have the effect of delaying changes in our control or management. As a consequence, these provisions may also inhibit fluctuations in the market price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Anti-Takeover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opted out of Section 203 of the DGCL. However, the Certificate of Incorporation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the date of the transaction, our Board approved either the business combination or the transaction which resulted in the stockholder becoming an interested stockholder;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interested stockholder owned at least 85% of our voting stock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or subsequent to the consummation of the transaction, the business combination is approved by our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20% or more of our outstanding voting stock. These provisions may encourage companies interested in acquiring SunPower to negotiate in advance with our Board because the stockholder approval requirement would be avoided if the board of directors approves either the business combination or the transaction which results in the stockholder becoming an interested stockholder. These provisions also may have the effect of preventing changes in the SunPower Board and may make it more difficult to accomplish transactions which stockholders may otherwise deem to be in their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w:t>
      </w:r>
    </w:p>
    <w:p>
      <w:pPr>
        <w:pStyle w:val="TextBody"/>
        <w:bidi w:val="0"/>
        <w:spacing w:before="0" w:after="0"/>
        <w:ind w:left="0" w:right="0" w:firstLine="36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05"/>
        <w:gridCol w:w="200"/>
        <w:gridCol w:w="55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derivative action or proceeding brought on SunPower’s behalf;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of breach of a fiduciary duty owed by any of SunPower’s directors, officers, or other employees to SunPower or our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arising out of or pursuant to any provision of the DGCL, the Certificate of Incorporation or the Bylaws;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to interpret, apply, enforce or determine the validity of the Certificate of Incorporation or the Bylaws (including any right, obligation, or remedy thereunder);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 to which the DGCL confers jurisdiction to the Court of Chancery of the State of Delaware;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that is governed by the internal affairs doctrine, in all cases to the fullest extent permitted by law and subject to the court’s having personal jurisdiction over the indispensable parties named as defendants.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 of forum provision would not apply to suits brought to enforce a duty or liability created by the Exchange Act or any other claim for which the federal courts have exclusive jurisdiction, or the Securities Act. The Certificate of Incorporation further provides that, unless SunPower consents in writing to the selection of an alternative forum, to the fullest extent permitted by law, the federal district courts of the United States of America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the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Additionally, the Certificate of Incorporation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Nasdaq under the symbols “SPWR” and “SPWRW,” respectively.</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Material U.S. Federal Income Tax Consequences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considerations generally applicable to the ownership and disposition of our common stock and the exercise, disposition and lapse of our Warrants. The common stock and the Warrants are referred to collectively herein as our securities. All prospective holders of our securities should consult their tax advisors with respect to the U.S. federal, state, local and non-U.S.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not a complete analysis of all potential U.S. federal income tax consequences relating to the ownership and disposition of our securities. This summary is based upon current provisions of the Code, existing U.S. Treasury Regulations promulgated thereunder, published administrative pronouncements and rulings of the U.S.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ownership or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non-income U.S.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S corporations, and certain former U.S. citizens or long-term residents.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and the activities of the partnership. Such partners and partnerships should consult their tax advisors regarding the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a beneficial owner of our securities (other than a partnership or an entity or arrangement treated as a partnership for U.S. federal income tax purposes)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an entity treated as a corporation for U.S. federal income tax purposes, created or organized in the United States or under the laws of the United States or of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105"/>
        <w:gridCol w:w="200"/>
        <w:gridCol w:w="76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 beneficial owner of our securities that is neither a U.S. Holder nor a partnership or an entity or arrangement treated as a partnership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or deemed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 </w:t>
      </w:r>
      <w:r>
        <w:rPr>
          <w:rFonts w:ascii="Times New Roman;Times;Serif" w:hAnsi="Times New Roman;Times;Serif"/>
          <w:b w:val="false"/>
          <w:i/>
          <w:caps w:val="false"/>
          <w:smallCaps w:val="false"/>
          <w:sz w:val="20"/>
        </w:rPr>
        <w:t>- Tax Considerations Applicable to U.S. Holders - Gain or Loss on Sale, Taxable Exchange or Other Taxable Disposition of Common Stock</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generally will qualify for the dividends received deduction if the requisite holding period is satisfied. Provided certain holding period requirements are met, dividends we pay to a non-corporate U.S. Holder generally will constitute “qualified dividends” that under current law will be subject to tax at long-term capital gains rates.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or Loss on Sale, Taxable Exchange or Other Taxable Disposition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disposed of exceeds one year at the time of disposition. The amount of gain or loss recognized generally will be equal to the difference between (1) the sum of the amount of cash and the fair market value of any property received in such disposition and (2) the U.S. Holder’s adjusted tax basis in its common stock disposed of. A U.S. Holder’s adjusted tax basis in its common stock generally will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generally are eligible under current law for reduced rates of tax. If the U.S. Holder’s holding period for the common stock disposed of is one year or less at the time of disposition, any gain on a taxable disposition of our common stock would be subject to short-term capital gain treatment and would be taxed at ordinary income tax rates.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taxable gain or loss upon the exercise of a Warrant for cash. The U.S. Holder’s initial tax basis in the shares of our common stock received upon exercise of the Warrant generally will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a non-realization event, or a tax-free recapitalization. U.S. holders are urged to consult their tax advisors as to the consequences of an exercise of a Warrant on a cashless basis, including with respect to their holding period and tax basis in the common stock received upon exercise of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Expiration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Warrant, a U.S. Holder will recognize taxable gain or loss in an amount equal to the difference between (1) the amount realized upon such disposition and (2) the U.S. Holder’s adjusted tax basis in the Warrant. A U.S. Holder’s adjusted tax basis in its Warrants generally will equal the U.S. Holder’s acquisition cost of the Warrant, increased by the amount of any constructive distributions included in income by such U.S. Holder (as described below under “</w:t>
      </w:r>
      <w:r>
        <w:rPr>
          <w:rFonts w:ascii="Times New Roman;Times;Serif" w:hAnsi="Times New Roman;Times;Serif"/>
          <w:b w:val="false"/>
          <w:i/>
          <w:caps w:val="false"/>
          <w:smallCaps w:val="false"/>
          <w:sz w:val="20"/>
        </w:rPr>
        <w:t>Tax Considerations Applicable to U.S. Holders - Possible Constructive Distributions</w:t>
      </w:r>
      <w:r>
        <w:rPr>
          <w:rFonts w:ascii="Times New Roman;Times;Serif" w:hAnsi="Times New Roman;Times;Serif"/>
          <w:b w:val="false"/>
          <w:i w:val="false"/>
          <w:caps w:val="false"/>
          <w:smallCaps w:val="false"/>
          <w:sz w:val="20"/>
        </w:rPr>
        <w:t>”). Such gain or loss generally will be treated as long-term capital gain or loss if the Warrant is held by the U.S. Holder for more than one year at the time of such disposition or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Warrant expires unexercised, a U.S. Holder generally will recognize a capital loss equal to such holder’s adjusted tax basis in the Warrant. Any such loss generally will be a capital loss and will be long-term capital loss if the Warrant is held for more than one year. The deductibility of capital losses is subject to certain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Such constructive distribution would be subject to tax as described above under “</w:t>
      </w:r>
      <w:r>
        <w:rPr>
          <w:rFonts w:ascii="Times New Roman;Times;Serif" w:hAnsi="Times New Roman;Times;Serif"/>
          <w:b w:val="false"/>
          <w:i/>
          <w:caps w:val="false"/>
          <w:smallCaps w:val="false"/>
          <w:sz w:val="20"/>
        </w:rPr>
        <w:t>Tax Considerations Applicable to U.S. Holders - Taxation of Distributions</w:t>
      </w:r>
      <w:r>
        <w:rPr>
          <w:rFonts w:ascii="Times New Roman;Times;Serif" w:hAnsi="Times New Roman;Times;Serif"/>
          <w:b w:val="false"/>
          <w:i w:val="false"/>
          <w:caps w:val="false"/>
          <w:smallCaps w:val="false"/>
          <w:sz w:val="20"/>
        </w:rPr>
        <w:t>” in the same manner as if such 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distributions paid to a U.S. Holder and to the proceeds of the sale or other disposition of our securities,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such U.S. Holder is subject to backup withholding (and such notification has not been withdrawn). 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any distributions (including constructive distributions) we make to a non-U.S. Holder of shares on our common stock, to the extent paid or deemed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 </w:t>
      </w:r>
      <w:r>
        <w:rPr>
          <w:rFonts w:ascii="Times New Roman;Times;Serif" w:hAnsi="Times New Roman;Times;Serif"/>
          <w:b w:val="false"/>
          <w:i/>
          <w:caps w:val="false"/>
          <w:smallCaps w:val="false"/>
          <w:sz w:val="20"/>
        </w:rPr>
        <w:t>- Tax Considerations Applicable to Non-U.S. Holders - Possible Constructive Distributions</w:t>
      </w:r>
      <w:r>
        <w:rPr>
          <w:rFonts w:ascii="Times New Roman;Times;Serif" w:hAnsi="Times New Roman;Times;Serif"/>
          <w:b w:val="false"/>
          <w:i w:val="false"/>
          <w:caps w:val="false"/>
          <w:smallCaps w:val="false"/>
          <w:sz w:val="20"/>
        </w:rPr>
        <w:t>”),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In addition, if we determine that we are likely to be classified as a “United States real property holding corporation” (see the section entitled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we will withhold 15% of any distribution that exceeds our current and accumulated earnings and profits.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non-U.S. Holder that are effectively connected with such non-U.S. Holder’s conduct of a trade or business within the United States (and, if a tax treaty applies, are attributable to a U.S. permanent establishment or fixed base maintained by the non-U.S. Holder) generally will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 federal income tax treatment of a non-U.S. Holder’s exercise of a Warrant generally will correspond to the U.S. federal income tax treatment of the exercise of a Warrant by a U.S. Holder, as described under “ </w:t>
      </w:r>
      <w:r>
        <w:rPr>
          <w:rFonts w:ascii="Times New Roman;Times;Serif" w:hAnsi="Times New Roman;Times;Serif"/>
          <w:b w:val="false"/>
          <w:i/>
          <w:caps w:val="false"/>
          <w:smallCaps w:val="false"/>
          <w:sz w:val="20"/>
        </w:rPr>
        <w:t>- Tax Considerations Applicable to U.S. Holders - Exercise of a Warrant</w:t>
      </w:r>
      <w:r>
        <w:rPr>
          <w:rFonts w:ascii="Times New Roman;Times;Serif" w:hAnsi="Times New Roman;Times;Serif"/>
          <w:b w:val="false"/>
          <w:i w:val="false"/>
          <w:caps w:val="false"/>
          <w:smallCaps w:val="false"/>
          <w:sz w:val="20"/>
        </w:rPr>
        <w:t xml:space="preserve">” above, although to the extent a cashless exercise results in a taxable exchange, the tax consequences to the non-U.S. Holder would be the same as those described below in “ </w:t>
      </w:r>
      <w:r>
        <w:rPr>
          <w:rFonts w:ascii="Times New Roman;Times;Serif" w:hAnsi="Times New Roman;Times;Serif"/>
          <w:b w:val="false"/>
          <w:i/>
          <w:caps w:val="false"/>
          <w:smallCaps w:val="false"/>
          <w:sz w:val="20"/>
        </w:rPr>
        <w:t>- 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Sale, Exchange or Other Taxable Disposition of Common Stock and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an individual who is present in the United States for 183 days or more in the taxable year of disposition and certain other conditions are met;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(i) the non-U.S. Holder has owned, actually or constructively, more than 5% of our common stock at any time within the relevant period or (ii) provided that our Warrants are regularly traded on an established securities market, the non-U.S. Holder has owned, actually or constructively, more than 5% of our Warrants at any time within the within the relevant period. It is unclear how a non-U.S. Holder’s ownership of Warrants will affect the determination of whether the non-U.S. Holder owns more than 5% of our common stock. In addition, special rules may apply in the case of a disposition of warrants if our common stock is considered to be regularly traded, but our Warrants are not considered to be regularly traded. There can be no assurance that our common stock or Warrants will or will not be treated as regularly traded on an established securities market for this purpose.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generally will be subject to a flat 30% U.S. federal income tax. Non-U.S. Holders are urged to consult their tax advisors regarding possible eligibility for benefits under income tax treaties.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that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A non-U.S. Holder would be subject to U.S. federal income tax withholding as described above under “</w:t>
      </w:r>
      <w:r>
        <w:rPr>
          <w:rFonts w:ascii="Times New Roman;Times;Serif" w:hAnsi="Times New Roman;Times;Serif"/>
          <w:b w:val="false"/>
          <w:i/>
          <w:caps w:val="false"/>
          <w:smallCaps w:val="false"/>
          <w:sz w:val="20"/>
        </w:rPr>
        <w:t>Tax Considerations Applicable to Non-U.S. Holders - Taxation of Distributions</w:t>
      </w:r>
      <w:r>
        <w:rPr>
          <w:rFonts w:ascii="Times New Roman;Times;Serif" w:hAnsi="Times New Roman;Times;Serif"/>
          <w:b w:val="false"/>
          <w:i w:val="false"/>
          <w:caps w:val="false"/>
          <w:smallCaps w:val="false"/>
          <w:sz w:val="20"/>
        </w:rPr>
        <w:t>” under that section in the same manner as if such non-U.S.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Account Tax Compliance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(commonly referred to as the “</w:t>
      </w:r>
      <w:r>
        <w:rPr>
          <w:rFonts w:ascii="Times New Roman;Times;Serif" w:hAnsi="Times New Roman;Times;Serif"/>
          <w:b/>
          <w:i w:val="false"/>
          <w:caps w:val="false"/>
          <w:smallCaps w:val="false"/>
          <w:sz w:val="20"/>
        </w:rPr>
        <w:t>Foreign Account Tax Compliance Act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and Treasury Regulations and administrative guidance promulgated thereunder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FATCA withholding currently applies to payments of dividends. The U.S. Treasury Department has released proposed regulations which, if finalized in their present form, would eliminate the federal withholding tax of 30% applicable to the gross proceeds of a disposition of our securities.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distributions and the proceeds from a sale or other disposition of our securities.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Plan of Distribution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by the Selling Securityholders named in this prospectus, or their permitted transferees, of up to 65,385,828 shares of common stock, consisting of (i) 10,243,924 shares of common stock previously issued by us pursuant to the Ambia Purchase Agreement in connection with our acquisition of Ambia, (ii) 3,333,334 shares of common stock previously issued by us pursuant to the Sunder Purchase Agreement, (iii) up to 50,760,218 shares of common stock issuable upon conversion of the 7% Notes, and (iv) 1,048,352 shares of common stock held by certain former affiliates. The shares of common stock offered by this prospectus are being offered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of our common stock offered by this prospectus could be effected in one or more of the following methods:</w:t>
      </w:r>
    </w:p>
    <w:p>
      <w:pPr>
        <w:pStyle w:val="TextBody"/>
        <w:bidi w:val="0"/>
        <w:spacing w:before="0" w:after="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05"/>
        <w:gridCol w:w="200"/>
        <w:gridCol w:w="25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brokers’ transactions;</w:t>
            </w:r>
          </w:p>
        </w:tc>
      </w:tr>
    </w:tbl>
    <w:p>
      <w:pPr>
        <w:pStyle w:val="TextBody"/>
        <w:bidi w:val="0"/>
        <w:spacing w:before="0" w:after="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105"/>
        <w:gridCol w:w="200"/>
        <w:gridCol w:w="36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involving cross or block trades;</w:t>
            </w:r>
          </w:p>
        </w:tc>
      </w:tr>
    </w:tbl>
    <w:p>
      <w:pPr>
        <w:pStyle w:val="TextBody"/>
        <w:bidi w:val="0"/>
        <w:spacing w:before="0" w:after="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105"/>
        <w:gridCol w:w="200"/>
        <w:gridCol w:w="57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brokers, dealers, or underwriters who may act solely as agents;</w:t>
            </w:r>
          </w:p>
        </w:tc>
      </w:tr>
    </w:tbl>
    <w:p>
      <w:pPr>
        <w:pStyle w:val="TextBody"/>
        <w:bidi w:val="0"/>
        <w:spacing w:before="0" w:after="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105"/>
        <w:gridCol w:w="200"/>
        <w:gridCol w:w="51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pPr>
            <w:r>
              <w:rPr/>
              <w:t>“</w:t>
            </w:r>
            <w:r>
              <w:rPr>
                <w:rFonts w:ascii="Times New Roman;Times;Serif" w:hAnsi="Times New Roman;Times;Serif"/>
                <w:sz w:val="20"/>
              </w:rPr>
              <w:t>at the market” into an existing market for our common stock;</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other ways not involving market makers or established business markets, including direct sales to purchasers or sales effected through agents;</w:t>
            </w:r>
          </w:p>
        </w:tc>
      </w:tr>
    </w:tbl>
    <w:p>
      <w:pPr>
        <w:pStyle w:val="TextBody"/>
        <w:bidi w:val="0"/>
        <w:spacing w:before="0" w:after="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05"/>
        <w:gridCol w:w="200"/>
        <w:gridCol w:w="32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privately negotiated transactions; or</w:t>
            </w:r>
          </w:p>
        </w:tc>
      </w:tr>
    </w:tbl>
    <w:p>
      <w:pPr>
        <w:pStyle w:val="TextBody"/>
        <w:bidi w:val="0"/>
        <w:spacing w:before="0" w:after="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05"/>
        <w:gridCol w:w="200"/>
        <w:gridCol w:w="2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combination of the foregoing.</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securities that qualify for sale pursuant to Rule 144 may be sold under Rule 144 rather than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 </w:t>
      </w:r>
      <w:r>
        <w:rPr>
          <w:rFonts w:ascii="Times New Roman;Times;Serif" w:hAnsi="Times New Roman;Times;Serif"/>
          <w:b w:val="false"/>
          <w:i/>
          <w:caps w:val="false"/>
          <w:smallCaps w:val="false"/>
          <w:sz w:val="20"/>
        </w:rPr>
        <w:t>pro rata </w:t>
      </w:r>
      <w:r>
        <w:rPr>
          <w:rFonts w:ascii="Times New Roman;Times;Serif" w:hAnsi="Times New Roman;Times;Serif"/>
          <w:b w:val="false"/>
          <w:i w:val="false"/>
          <w:caps w:val="false"/>
          <w:smallCaps w:val="false"/>
          <w:sz w:val="20"/>
        </w:rPr>
        <w:t>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at our option, file a prospectus supplement in order to permit the distributees to use the prospectus to resell the securities acquired in the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Securityholders through this prospectus. The compensation paid to any such particular broker-dealer by any such purchasers of shares of our common stock sold by the Selling Securityholders may be less than or in excess of customary commissions. Neither we nor the Selling Securityholders can presently estimate the amount of compensation that any agent will receive from any purchasers of shares of our common stock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any of the Selling Securityholders or any other stockholder, broker, dealer, underwriter or agent relating to the sale or distribution of the shares of our common stock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Securityholders, including the names of any brokers, dealers, underwriters or agents participating in the distribution of such shares by the Selling Securityholders, any compensation paid by the Selling Securityholders to any such brokers, dealers, underwriters or agents, and any other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Securityholders against certain liabilities, including liabilities under the Securities Act and state securities laws, relating to the registration of the Offered Securities by this prospectus.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“SPWR”.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Legal Matters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Arnold &amp; Porter Kaye Scholer LLP, New York,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9" w:name="a_018"/>
      <w:bookmarkEnd w:id="19"/>
      <w:r>
        <w:rPr>
          <w:rFonts w:ascii="Times New Roman;Times;Serif" w:hAnsi="Times New Roman;Times;Serif"/>
          <w:b/>
          <w:i w:val="false"/>
          <w:caps/>
          <w:sz w:val="20"/>
        </w:rPr>
        <w:t>Experts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SunPower Inc. (the “Company”) as of December 28, 2025 and December 29, 2024 and for the fiscal years then ended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Sunder Energy LLC as of and for the years ended December 31, 2024 and 2023 included in this prospectus and in the Registration Statement have been so included in reliance on the report of BDO USA, P.C., independent auditors, given on the authority of said firm as experts in auditing and accounting. The report on the financial statements contains an explanatory paragraph regarding Sunder Energy LLC’s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Ambia Energy, LLC as of and for the fiscal year ended December 31, 2024 included in this prospectus and in the Registration Statement have been so included in reliance upon the report of Tanner LLP, given on the authority of said firm as experts in accounting and auditing.</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Where You Can Find More Information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SunPower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https://www.sunpower.com/, at which you may access these materials free of charge as soon as reasonably practicable after they are electronically filed with, or furnished to, the SEC. The information contained in, or that can be accessed through, our website is not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31"/>
        <w:gridCol w:w="90"/>
        <w:gridCol w:w="484"/>
      </w:tblGrid>
      <w:tr>
        <w:trPr/>
        <w:tc>
          <w:tcPr>
            <w:tcW w:w="963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Financial Statements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q_001">
              <w:r>
                <w:rPr>
                  <w:rStyle w:val="InternetLink"/>
                  <w:rFonts w:ascii="Times New Roman;Times;Serif" w:hAnsi="Times New Roman;Times;Serif"/>
                  <w:b w:val="false"/>
                  <w:i w:val="false"/>
                  <w:caps w:val="false"/>
                  <w:smallCaps w:val="false"/>
                  <w:sz w:val="20"/>
                </w:rPr>
                <w:t>Unaudited Condensed Consolidated Balance Sheets as of March 29, 2026 and December 28,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q_002">
              <w:r>
                <w:rPr>
                  <w:rStyle w:val="InternetLink"/>
                  <w:rFonts w:ascii="Times New Roman;Times;Serif" w:hAnsi="Times New Roman;Times;Serif"/>
                  <w:b w:val="false"/>
                  <w:i w:val="false"/>
                  <w:caps w:val="false"/>
                  <w:smallCaps w:val="false"/>
                  <w:sz w:val="20"/>
                </w:rPr>
                <w:t>Unaudited Condensed Consolidated Statements of Operations and Comprehensive Income (Loss) as of March 28, 2026 and March 30,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q_003">
              <w:r>
                <w:rPr>
                  <w:rStyle w:val="InternetLink"/>
                  <w:rFonts w:ascii="Times New Roman;Times;Serif" w:hAnsi="Times New Roman;Times;Serif"/>
                  <w:b w:val="false"/>
                  <w:i w:val="false"/>
                  <w:caps w:val="false"/>
                  <w:smallCaps w:val="false"/>
                  <w:sz w:val="20"/>
                </w:rPr>
                <w:t>Unaudited Condensed Consolidated Statements of Stockholders’ Deficit</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q_004">
              <w:r>
                <w:rPr>
                  <w:rStyle w:val="InternetLink"/>
                  <w:rFonts w:ascii="Times New Roman;Times;Serif" w:hAnsi="Times New Roman;Times;Serif"/>
                  <w:b w:val="false"/>
                  <w:i w:val="false"/>
                  <w:caps w:val="false"/>
                  <w:smallCaps w:val="false"/>
                  <w:sz w:val="20"/>
                </w:rPr>
                <w:t>Unaudited Condensed Consolidated Statements of Cash Flows as of March 28, 2026 and March 30,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q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b w:val="false"/>
                  <w:i w:val="false"/>
                  <w:caps w:val="false"/>
                  <w:smallCaps w:val="false"/>
                  <w:strike w:val="false"/>
                  <w:dstrike w:val="false"/>
                  <w:sz w:val="20"/>
                  <w:u w:val="none"/>
                  <w:effect w:val="none"/>
                </w:rPr>
                <w:t xml:space="preserve">Report of Independent Registered Public Accounting Firm </w:t>
              </w:r>
            </w:hyperlink>
            <w:hyperlink w:anchor="C_001">
              <w:r>
                <w:rPr>
                  <w:rStyle w:val="InternetLink"/>
                  <w:rFonts w:ascii="Times New Roman;Times;Serif" w:hAnsi="Times New Roman;Times;Serif"/>
                  <w:b w:val="false"/>
                  <w:i/>
                  <w:caps w:val="false"/>
                  <w:smallCaps w:val="false"/>
                  <w:strike w:val="false"/>
                  <w:dstrike w:val="false"/>
                  <w:sz w:val="20"/>
                  <w:u w:val="none"/>
                  <w:effect w:val="none"/>
                </w:rPr>
                <w:t>(PCAOB ID 243)</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b w:val="false"/>
                  <w:i w:val="false"/>
                  <w:caps w:val="false"/>
                  <w:smallCaps w:val="false"/>
                  <w:strike w:val="false"/>
                  <w:dstrike w:val="false"/>
                  <w:sz w:val="20"/>
                  <w:u w:val="none"/>
                  <w:effect w:val="none"/>
                </w:rPr>
                <w:t>Consolidated Balance Sheets as of December 28, 2025 and December 29,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F-51</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Operations and Comprehensive Loss for the Fiscal Years Ended December 28, 2025 and December 29,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Stockholders’ Deficit for the Fiscal Years Ended December 28, 2025 and December 29,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Cash Flows for the for the Fiscal Years Ended December 28, 2025 and December 29,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b w:val="false"/>
                  <w:i w:val="false"/>
                  <w:caps w:val="false"/>
                  <w:smallCaps w:val="false"/>
                  <w:strike w:val="false"/>
                  <w:dstrike w:val="false"/>
                  <w:sz w:val="20"/>
                  <w:u w:val="none"/>
                  <w:effect w:val="none"/>
                </w:rPr>
                <w:t>Notes to Consolidated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84"/>
        <w:gridCol w:w="90"/>
        <w:gridCol w:w="531"/>
      </w:tblGrid>
      <w:tr>
        <w:trPr/>
        <w:tc>
          <w:tcPr>
            <w:tcW w:w="958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5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Sunder Energy LLC (For the Years ended December 31, 2024 and 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Sunder Energy LLC (as of June 30, 2025 and December 31, 2024 and the six months ended June 30, 2025 and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E_001">
              <w:r>
                <w:rPr>
                  <w:rStyle w:val="InternetLink"/>
                  <w:rFonts w:ascii="Times New Roman;Times;Serif" w:hAnsi="Times New Roman;Times;Serif"/>
                  <w:b w:val="false"/>
                  <w:i w:val="false"/>
                  <w:caps w:val="false"/>
                  <w:smallCaps w:val="false"/>
                  <w:strike w:val="false"/>
                  <w:dstrike w:val="false"/>
                  <w:sz w:val="20"/>
                  <w:u w:val="none"/>
                  <w:effect w:val="none"/>
                </w:rPr>
                <w:t>Balance Sheets as of June 30, 2025 (Unaudited) and December 31,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for the six months ended June 30, 2025 and June 30,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Changes in Member’s Deficit for the six months ended June 30, 2025 and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six months ended June 30,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98"/>
        <w:gridCol w:w="90"/>
        <w:gridCol w:w="517"/>
      </w:tblGrid>
      <w:tr>
        <w:trPr/>
        <w:tc>
          <w:tcPr>
            <w:tcW w:w="959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5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Ambia Energy, LLC (For the Year ended December 31,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G_001">
              <w:r>
                <w:rPr>
                  <w:rStyle w:val="InternetLink"/>
                  <w:rFonts w:ascii="Times New Roman;Times;Serif" w:hAnsi="Times New Roman;Times;Serif"/>
                  <w:b w:val="false"/>
                  <w:i w:val="false"/>
                  <w:caps w:val="false"/>
                  <w:smallCaps w:val="false"/>
                  <w:sz w:val="20"/>
                </w:rPr>
                <w:t>Independent Auditor’s Report</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F-148</w:t>
            </w:r>
          </w:p>
        </w:tc>
      </w:tr>
      <w:tr>
        <w:trPr/>
        <w:tc>
          <w:tcPr>
            <w:tcW w:w="9598"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G_002">
              <w:r>
                <w:rPr>
                  <w:rStyle w:val="InternetLink"/>
                  <w:rFonts w:ascii="Times New Roman;Times;Serif" w:hAnsi="Times New Roman;Times;Serif"/>
                  <w:b w:val="false"/>
                  <w:i w:val="false"/>
                  <w:caps w:val="false"/>
                  <w:smallCaps w:val="false"/>
                  <w:sz w:val="20"/>
                </w:rPr>
                <w:t>Balance Sheets as of December 31,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F-150</w:t>
            </w:r>
          </w:p>
        </w:tc>
      </w:tr>
      <w:tr>
        <w:trPr/>
        <w:tc>
          <w:tcPr>
            <w:tcW w:w="9598"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G_003">
              <w:r>
                <w:rPr>
                  <w:rStyle w:val="InternetLink"/>
                  <w:rFonts w:ascii="Times New Roman;Times;Serif" w:hAnsi="Times New Roman;Times;Serif"/>
                  <w:b w:val="false"/>
                  <w:i w:val="false"/>
                  <w:caps w:val="false"/>
                  <w:smallCaps w:val="false"/>
                  <w:sz w:val="20"/>
                </w:rPr>
                <w:t>Statement of Operations and Member’s Deficit for the year ended December 31, 2024</w:t>
              </w:r>
            </w:hyperlink>
            <w:r>
              <w:rPr>
                <w:rFonts w:ascii="Times New Roman;Times;Serif" w:hAnsi="Times New Roman;Times;Serif"/>
                <w:b w:val="false"/>
                <w:i w:val="false"/>
                <w:caps w:val="false"/>
                <w:smallCaps w:val="false"/>
                <w:sz w:val="20"/>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F-151</w:t>
            </w:r>
          </w:p>
        </w:tc>
      </w:tr>
      <w:tr>
        <w:trPr/>
        <w:tc>
          <w:tcPr>
            <w:tcW w:w="9598"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G_004">
              <w:r>
                <w:rPr>
                  <w:rStyle w:val="InternetLink"/>
                  <w:rFonts w:ascii="Times New Roman;Times;Serif" w:hAnsi="Times New Roman;Times;Serif"/>
                  <w:b w:val="false"/>
                  <w:i w:val="false"/>
                  <w:caps w:val="false"/>
                  <w:smallCaps w:val="false"/>
                  <w:strike w:val="false"/>
                  <w:dstrike w:val="false"/>
                  <w:sz w:val="20"/>
                  <w:u w:val="single"/>
                  <w:effect w:val="none"/>
                </w:rPr>
                <w:t>Statement of Cash Flows for the year ended December 31, 2024</w:t>
              </w:r>
            </w:hyperlink>
            <w:r>
              <w:rPr>
                <w:rFonts w:ascii="Times New Roman;Times;Serif" w:hAnsi="Times New Roman;Times;Serif"/>
                <w:b w:val="false"/>
                <w:i w:val="false"/>
                <w:caps w:val="false"/>
                <w:smallCaps w:val="false"/>
                <w:strike w:val="false"/>
                <w:dstrike w:val="false"/>
                <w:sz w:val="20"/>
                <w:u w:val="none"/>
                <w:effect w:val="non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F-152</w:t>
            </w:r>
          </w:p>
        </w:tc>
      </w:tr>
      <w:tr>
        <w:trPr/>
        <w:tc>
          <w:tcPr>
            <w:tcW w:w="9598"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G_005">
              <w:r>
                <w:rPr>
                  <w:rStyle w:val="InternetLink"/>
                  <w:rFonts w:ascii="Times New Roman;Times;Serif" w:hAnsi="Times New Roman;Times;Serif"/>
                  <w:b w:val="false"/>
                  <w:i w:val="false"/>
                  <w:caps w:val="false"/>
                  <w:smallCaps w:val="false"/>
                  <w:sz w:val="20"/>
                </w:rPr>
                <w:t>Notes to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F-153</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Ambia Energy, LLC (as of September 30, 2025 and December 31, 2024 and for the Nine Months Ended September 30, 2025 and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H_001">
              <w:r>
                <w:rPr>
                  <w:rStyle w:val="InternetLink"/>
                  <w:rFonts w:ascii="Times New Roman;Times;Serif" w:hAnsi="Times New Roman;Times;Serif"/>
                  <w:b w:val="false"/>
                  <w:i w:val="false"/>
                  <w:caps w:val="false"/>
                  <w:smallCaps w:val="false"/>
                  <w:strike w:val="false"/>
                  <w:dstrike w:val="false"/>
                  <w:sz w:val="20"/>
                  <w:u w:val="none"/>
                  <w:effect w:val="none"/>
                </w:rPr>
                <w:t>Balance Sheets as of September 30, 2025 (Unaudited) and December 31,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F-163</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H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and Member’s Deficit for the nine months ended September 30, 2025 and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F-164</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H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nine months ended September 30, 2025 and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F-165</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H_004">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F-166</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combined financial statements of SunPower Inc., Sunder Energy, LLC and Ambia Energy, LLC.</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k_001">
              <w:r>
                <w:rPr>
                  <w:rStyle w:val="InternetLink"/>
                  <w:rFonts w:ascii="Times New Roman;Times;Serif" w:hAnsi="Times New Roman;Times;Serif"/>
                  <w:b w:val="false"/>
                  <w:i w:val="false"/>
                  <w:caps w:val="false"/>
                  <w:smallCaps w:val="false"/>
                  <w:strike w:val="false"/>
                  <w:dstrike w:val="false"/>
                  <w:sz w:val="20"/>
                  <w:u w:val="none"/>
                  <w:effect w:val="none"/>
                </w:rPr>
                <w:t>Unaudited Pro Forma Combined Statement Of Operations For The Year Ended December 28,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F-177</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k_002">
              <w:r>
                <w:rPr>
                  <w:rStyle w:val="InternetLink"/>
                  <w:rFonts w:ascii="Times New Roman;Times;Serif" w:hAnsi="Times New Roman;Times;Serif"/>
                  <w:b w:val="false"/>
                  <w:i w:val="false"/>
                  <w:caps w:val="false"/>
                  <w:smallCaps w:val="false"/>
                  <w:strike w:val="false"/>
                  <w:dstrike w:val="false"/>
                  <w:sz w:val="20"/>
                  <w:u w:val="none"/>
                  <w:effect w:val="none"/>
                </w:rPr>
                <w:t>Notes to Unaudited Pro Forma Combined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q_001"/>
      <w:bookmarkEnd w:id="2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49"/>
        <w:gridCol w:w="90"/>
        <w:gridCol w:w="170"/>
        <w:gridCol w:w="910"/>
        <w:gridCol w:w="125"/>
        <w:gridCol w:w="90"/>
        <w:gridCol w:w="221"/>
        <w:gridCol w:w="1178"/>
        <w:gridCol w:w="172"/>
      </w:tblGrid>
      <w:tr>
        <w:trPr/>
        <w:tc>
          <w:tcPr>
            <w:tcW w:w="724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center"/>
              <w:rPr>
                <w:b/>
              </w:rPr>
            </w:pPr>
            <w:r>
              <w:rPr>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28,</w:t>
            </w:r>
          </w:p>
        </w:tc>
        <w:tc>
          <w:tcPr>
            <w:tcW w:w="172" w:type="dxa"/>
            <w:tcBorders/>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2" w:type="dxa"/>
            <w:tcBorders/>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Current assets:</w:t>
            </w:r>
          </w:p>
        </w:tc>
        <w:tc>
          <w:tcPr>
            <w:tcW w:w="9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9,488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9,617</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7249" w:type="dxa"/>
            <w:tcBorders/>
            <w:vAlign w:val="center"/>
          </w:tcPr>
          <w:p>
            <w:pPr>
              <w:pStyle w:val="TableContents"/>
              <w:bidi w:val="0"/>
              <w:spacing w:before="0" w:after="283"/>
              <w:jc w:val="both"/>
              <w:rPr/>
            </w:pPr>
            <w:r>
              <w:rPr/>
              <w:t>Trade accounts receivable, net of allowance for credit losses of $5,206 and $5,206 as of March 29, 2026 and December 28, 2025,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80,585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81,946</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Inventories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4,098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4,375</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27,852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tcMar>
              <w:bottom w:w="28" w:type="dxa"/>
            </w:tcMar>
            <w:vAlign w:val="center"/>
          </w:tcPr>
          <w:p>
            <w:pPr>
              <w:pStyle w:val="TableContents"/>
              <w:bidi w:val="0"/>
              <w:spacing w:before="0" w:after="283"/>
              <w:jc w:val="right"/>
              <w:rPr/>
            </w:pPr>
            <w:r>
              <w:rPr/>
              <w:t>16,913</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122,023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112,851</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Restricted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1,134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3,841</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4,890</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Operating lease 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4,552</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Intangible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51,816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50,814</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Goodwill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75,607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62,630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1,624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1,609</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tcMar>
              <w:bottom w:w="28" w:type="dxa"/>
            </w:tcMar>
            <w:vAlign w:val="center"/>
          </w:tcPr>
          <w:p>
            <w:pPr>
              <w:pStyle w:val="TableContents"/>
              <w:bidi w:val="0"/>
              <w:spacing w:before="0" w:after="283"/>
              <w:jc w:val="right"/>
              <w:rPr/>
            </w:pPr>
            <w:r>
              <w:rPr/>
              <w:t>262,086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8" w:type="dxa"/>
            <w:tcBorders>
              <w:bottom w:val="double" w:sz="10" w:space="0" w:color="000000"/>
            </w:tcBorders>
            <w:tcMar>
              <w:bottom w:w="28" w:type="dxa"/>
            </w:tcMar>
            <w:vAlign w:val="center"/>
          </w:tcPr>
          <w:p>
            <w:pPr>
              <w:pStyle w:val="TableContents"/>
              <w:bidi w:val="0"/>
              <w:spacing w:before="0" w:after="283"/>
              <w:jc w:val="right"/>
              <w:rPr/>
            </w:pPr>
            <w:r>
              <w:rPr/>
              <w:t>241,187</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left"/>
              <w:rPr>
                <w:b/>
              </w:rPr>
            </w:pPr>
            <w:r>
              <w:rPr>
                <w:b/>
              </w:rPr>
              <w:t>LIABILITIES AND STOCKHOLDERS’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28,348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78" w:type="dxa"/>
            <w:tcBorders/>
            <w:vAlign w:val="center"/>
          </w:tcPr>
          <w:p>
            <w:pPr>
              <w:pStyle w:val="TableContents"/>
              <w:bidi w:val="0"/>
              <w:spacing w:before="0" w:after="283"/>
              <w:jc w:val="right"/>
              <w:rPr/>
            </w:pPr>
            <w:r>
              <w:rPr/>
              <w:t>26,240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70,006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56,977</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Short-term debt with related parties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21,500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21,500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Short-term debt with third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13,736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Current portion of long-term notes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2,786</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Deferred consideration,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17,102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16,879</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Deferred consideration, current with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5,420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12,634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20,336</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SAFE Agreement with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579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535</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Forward purchase agreement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5,107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3,965</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171,798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tcMar>
              <w:bottom w:w="28" w:type="dxa"/>
            </w:tcMar>
            <w:vAlign w:val="center"/>
          </w:tcPr>
          <w:p>
            <w:pPr>
              <w:pStyle w:val="TableContents"/>
              <w:bidi w:val="0"/>
              <w:spacing w:before="0" w:after="283"/>
              <w:jc w:val="right"/>
              <w:rPr/>
            </w:pPr>
            <w:r>
              <w:rPr/>
              <w:t>154,638</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Warranty provision,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3,059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3,059</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Warrant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3,746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4,361</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Contract liabilities,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794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794</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Notes payable and derivative liabilities, net of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99,860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120,159</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Notes payable and derivative liabilities with related parties, net of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31,921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35,130</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1,693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1,300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Deferred consideration,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3,165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Deferred consideration, noncurrent with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5,420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Other long-term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7,503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323,539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tcMar>
              <w:bottom w:w="28" w:type="dxa"/>
            </w:tcMar>
            <w:vAlign w:val="center"/>
          </w:tcPr>
          <w:p>
            <w:pPr>
              <w:pStyle w:val="TableContents"/>
              <w:bidi w:val="0"/>
              <w:spacing w:before="0" w:after="283"/>
              <w:jc w:val="right"/>
              <w:rPr/>
            </w:pPr>
            <w:r>
              <w:rPr/>
              <w:t>331,331</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Commitments and contingencies (Note 11)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0"/>
              <w:jc w:val="right"/>
              <w:rPr/>
            </w:pPr>
            <w:r>
              <w:rPr/>
              <w:t> </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b/>
              </w:rPr>
            </w:pPr>
            <w:r>
              <w:rPr>
                <w:b/>
              </w:rPr>
              <w:t>Stockholders’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7249" w:type="dxa"/>
            <w:tcBorders/>
            <w:shd w:fill="CCEEFF" w:val="clear"/>
            <w:vAlign w:val="center"/>
          </w:tcPr>
          <w:p>
            <w:pPr>
              <w:pStyle w:val="TableContents"/>
              <w:bidi w:val="0"/>
              <w:spacing w:before="0" w:after="283"/>
              <w:jc w:val="both"/>
              <w:rPr/>
            </w:pPr>
            <w:r>
              <w:rPr/>
              <w:t>Common stock, $0.0001 par value; Authorized 1,000,000,000 shares as of March 29, 2026, and December 28, 2025; issued and outstanding 120,347,463 and 111,334,959 shares as of March 29, 2026, and December 28, 2025,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389,849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366,408</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Accumulated other 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165</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(451,483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tcMar>
              <w:bottom w:w="28" w:type="dxa"/>
            </w:tcMar>
            <w:vAlign w:val="center"/>
          </w:tcPr>
          <w:p>
            <w:pPr>
              <w:pStyle w:val="TableContents"/>
              <w:bidi w:val="0"/>
              <w:spacing w:before="0" w:after="283"/>
              <w:jc w:val="right"/>
              <w:rPr/>
            </w:pPr>
            <w:r>
              <w:rPr/>
              <w:t>(456,733</w:t>
            </w:r>
          </w:p>
        </w:tc>
        <w:tc>
          <w:tcPr>
            <w:tcW w:w="172" w:type="dxa"/>
            <w:tcBorders/>
            <w:vAlign w:val="center"/>
          </w:tcPr>
          <w:p>
            <w:pPr>
              <w:pStyle w:val="TableContents"/>
              <w:bidi w:val="0"/>
              <w:spacing w:before="0" w:after="283"/>
              <w:jc w:val="left"/>
              <w:rPr/>
            </w:pPr>
            <w:r>
              <w:rPr/>
              <w:t>)</w:t>
            </w:r>
          </w:p>
        </w:tc>
      </w:tr>
      <w:tr>
        <w:trPr/>
        <w:tc>
          <w:tcPr>
            <w:tcW w:w="7249" w:type="dxa"/>
            <w:tcBorders/>
            <w:shd w:fill="CCEEFF" w:val="clear"/>
            <w:vAlign w:val="center"/>
          </w:tcPr>
          <w:p>
            <w:pPr>
              <w:pStyle w:val="TableContents"/>
              <w:bidi w:val="0"/>
              <w:spacing w:before="0" w:after="283"/>
              <w:jc w:val="both"/>
              <w:rPr/>
            </w:pPr>
            <w:r>
              <w:rPr/>
              <w:t>Total stockholders’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(61,453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172" w:type="dxa"/>
            <w:tcBorders/>
            <w:shd w:fill="CCEEFF" w:val="clear"/>
            <w:vAlign w:val="center"/>
          </w:tcPr>
          <w:p>
            <w:pPr>
              <w:pStyle w:val="TableContents"/>
              <w:bidi w:val="0"/>
              <w:spacing w:before="0" w:after="283"/>
              <w:jc w:val="left"/>
              <w:rPr/>
            </w:pPr>
            <w:r>
              <w:rPr/>
              <w:t>)</w:t>
            </w:r>
          </w:p>
        </w:tc>
      </w:tr>
      <w:tr>
        <w:trPr/>
        <w:tc>
          <w:tcPr>
            <w:tcW w:w="7249" w:type="dxa"/>
            <w:tcBorders/>
            <w:vAlign w:val="center"/>
          </w:tcPr>
          <w:p>
            <w:pPr>
              <w:pStyle w:val="TableContents"/>
              <w:bidi w:val="0"/>
              <w:spacing w:before="0" w:after="283"/>
              <w:jc w:val="both"/>
              <w:rPr/>
            </w:pPr>
            <w:r>
              <w:rPr/>
              <w:t>Total liabilities and stockholders’ (deficit)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tcMar>
              <w:bottom w:w="28" w:type="dxa"/>
            </w:tcMar>
            <w:vAlign w:val="center"/>
          </w:tcPr>
          <w:p>
            <w:pPr>
              <w:pStyle w:val="TableContents"/>
              <w:bidi w:val="0"/>
              <w:spacing w:before="0" w:after="283"/>
              <w:jc w:val="right"/>
              <w:rPr/>
            </w:pPr>
            <w:r>
              <w:rPr/>
              <w:t>262,086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8" w:type="dxa"/>
            <w:tcBorders>
              <w:bottom w:val="double" w:sz="10" w:space="0" w:color="000000"/>
            </w:tcBorders>
            <w:tcMar>
              <w:bottom w:w="28" w:type="dxa"/>
            </w:tcMar>
            <w:vAlign w:val="center"/>
          </w:tcPr>
          <w:p>
            <w:pPr>
              <w:pStyle w:val="TableContents"/>
              <w:bidi w:val="0"/>
              <w:spacing w:before="0" w:after="283"/>
              <w:jc w:val="right"/>
              <w:rPr/>
            </w:pPr>
            <w:r>
              <w:rPr/>
              <w:t>241,187</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4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accrued interest due to related parties of $2.2 million and $2.6 million as of March 29, 2026, and December 28, 2025,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investor financing deposit with related party of $5.4 million and $2.0 million as of March 29, 2026, and December 28, 2025,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q_002"/>
      <w:bookmarkEnd w:id="23"/>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01"/>
        <w:gridCol w:w="90"/>
        <w:gridCol w:w="170"/>
        <w:gridCol w:w="1250"/>
        <w:gridCol w:w="125"/>
        <w:gridCol w:w="90"/>
        <w:gridCol w:w="170"/>
        <w:gridCol w:w="1250"/>
        <w:gridCol w:w="159"/>
      </w:tblGrid>
      <w:tr>
        <w:trPr/>
        <w:tc>
          <w:tcPr>
            <w:tcW w:w="69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59" w:type="dxa"/>
            <w:tcBorders/>
            <w:vAlign w:val="center"/>
          </w:tcPr>
          <w:p>
            <w:pPr>
              <w:pStyle w:val="TableContents"/>
              <w:bidi w:val="0"/>
              <w:spacing w:before="0" w:after="283"/>
              <w:jc w:val="left"/>
              <w:rPr/>
            </w:pPr>
            <w:r>
              <w:rPr/>
              <w:t> </w:t>
            </w:r>
          </w:p>
        </w:tc>
      </w:tr>
      <w:tr>
        <w:trPr/>
        <w:tc>
          <w:tcPr>
            <w:tcW w:w="69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30,</w:t>
            </w:r>
          </w:p>
        </w:tc>
        <w:tc>
          <w:tcPr>
            <w:tcW w:w="159" w:type="dxa"/>
            <w:tcBorders/>
            <w:vAlign w:val="center"/>
          </w:tcPr>
          <w:p>
            <w:pPr>
              <w:pStyle w:val="TableContents"/>
              <w:bidi w:val="0"/>
              <w:spacing w:before="0" w:after="283"/>
              <w:jc w:val="left"/>
              <w:rPr/>
            </w:pPr>
            <w:r>
              <w:rPr/>
              <w:t> </w:t>
            </w:r>
          </w:p>
        </w:tc>
      </w:tr>
      <w:tr>
        <w:trPr/>
        <w:tc>
          <w:tcPr>
            <w:tcW w:w="69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72,793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78,413</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28,106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51,037</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44,687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27,376</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28,564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7,684</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4,993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8,522</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30,325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14,896</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63,882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31,102</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(19,195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(3,726</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9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(6,924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(6,041</w:t>
            </w:r>
          </w:p>
        </w:tc>
        <w:tc>
          <w:tcPr>
            <w:tcW w:w="159" w:type="dxa"/>
            <w:tcBorders/>
            <w:vAlign w:val="center"/>
          </w:tcPr>
          <w:p>
            <w:pPr>
              <w:pStyle w:val="TableContents"/>
              <w:bidi w:val="0"/>
              <w:spacing w:before="0" w:after="283"/>
              <w:ind w:left="0" w:right="0" w:hanging="180"/>
              <w:jc w:val="left"/>
              <w:rPr/>
            </w:pPr>
            <w:r>
              <w:rPr/>
              <w:t>)</w:t>
            </w:r>
          </w:p>
        </w:tc>
      </w:tr>
      <w:tr>
        <w:trPr/>
        <w:tc>
          <w:tcPr>
            <w:tcW w:w="6901"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non-operating income, net </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30,761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14,576</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Total 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23,837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8,538</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Income from operations before income taxes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4,642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4,812</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Income tax (provision)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5,250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4,812</w:t>
            </w:r>
          </w:p>
        </w:tc>
        <w:tc>
          <w:tcPr>
            <w:tcW w:w="159" w:type="dxa"/>
            <w:tcBorders/>
            <w:vAlign w:val="center"/>
          </w:tcPr>
          <w:p>
            <w:pPr>
              <w:pStyle w:val="TableContents"/>
              <w:bidi w:val="0"/>
              <w:spacing w:before="0" w:after="283"/>
              <w:jc w:val="left"/>
              <w:rPr/>
            </w:pPr>
            <w:r>
              <w:rPr/>
              <w:t> </w:t>
            </w:r>
          </w:p>
        </w:tc>
      </w:tr>
      <w:tr>
        <w:trPr/>
        <w:tc>
          <w:tcPr>
            <w:tcW w:w="6901" w:type="dxa"/>
            <w:tcBorders/>
            <w:shd w:fill="CCEEFF" w:val="clear"/>
            <w:vAlign w:val="center"/>
          </w:tcPr>
          <w:p>
            <w:pPr>
              <w:pStyle w:val="TableContents"/>
              <w:bidi w:val="0"/>
              <w:spacing w:before="0" w:after="283"/>
              <w:jc w:val="left"/>
              <w:rPr/>
            </w:pPr>
            <w:r>
              <w:rPr/>
              <w:t>Other 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Comprehensive income (net of tax)</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5,250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4,812</w:t>
            </w:r>
          </w:p>
        </w:tc>
        <w:tc>
          <w:tcPr>
            <w:tcW w:w="159" w:type="dxa"/>
            <w:tcBorders/>
            <w:vAlign w:val="center"/>
          </w:tcPr>
          <w:p>
            <w:pPr>
              <w:pStyle w:val="TableContents"/>
              <w:bidi w:val="0"/>
              <w:spacing w:before="0" w:after="283"/>
              <w:jc w:val="left"/>
              <w:rPr/>
            </w:pPr>
            <w:r>
              <w:rPr/>
              <w:t> </w:t>
            </w:r>
          </w:p>
        </w:tc>
      </w:tr>
      <w:tr>
        <w:trPr/>
        <w:tc>
          <w:tcPr>
            <w:tcW w:w="6901" w:type="dxa"/>
            <w:tcBorders/>
            <w:shd w:fill="CCEEFF" w:val="clear"/>
            <w:vAlign w:val="center"/>
          </w:tcPr>
          <w:p>
            <w:pPr>
              <w:pStyle w:val="TableContents"/>
              <w:bidi w:val="0"/>
              <w:spacing w:before="0" w:after="283"/>
              <w:jc w:val="left"/>
              <w:rPr/>
            </w:pPr>
            <w:r>
              <w:rPr/>
              <w:t>Net income per share attributable to common stockholders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0.04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0.06</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Weighted-average shares used to compute net income per share attributable to common stockholders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Basic</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124,279,055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80,209,585</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163,787,402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112,302,063</w:t>
            </w:r>
          </w:p>
        </w:tc>
        <w:tc>
          <w:tcPr>
            <w:tcW w:w="15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Cost of revenue with SameDay Solar, a related party, was $0.5 million and $0.2 million in the thirteen weeks ended March 29, 2026 and March 30, 2025, respectively. Refer to </w:t>
            </w:r>
            <w:r>
              <w:rPr>
                <w:rFonts w:ascii="Times New Roman;Times;Serif" w:hAnsi="Times New Roman;Times;Serif"/>
                <w:b/>
                <w:sz w:val="20"/>
              </w:rPr>
              <w:t>Note 17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related party interest expense and amortization of debt issuance costs of $2.3 million and $1.4 million in the thirteen weeks ended March 29, 2026 and March 30, 2025, respectively. </w:t>
            </w:r>
          </w:p>
        </w:tc>
      </w:tr>
    </w:tbl>
    <w:p>
      <w:pPr>
        <w:pStyle w:val="TextBody"/>
        <w:bidi w:val="0"/>
        <w:spacing w:before="0" w:after="0"/>
        <w:ind w:left="0" w:right="0" w:hanging="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75"/>
        <w:gridCol w:w="5105"/>
      </w:tblGrid>
      <w:tr>
        <w:trPr/>
        <w:tc>
          <w:tcPr>
            <w:tcW w:w="27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8"/>
        <w:gridCol w:w="90"/>
        <w:gridCol w:w="375"/>
        <w:gridCol w:w="746"/>
        <w:gridCol w:w="169"/>
        <w:gridCol w:w="169"/>
        <w:gridCol w:w="375"/>
        <w:gridCol w:w="746"/>
        <w:gridCol w:w="137"/>
      </w:tblGrid>
      <w:tr>
        <w:trPr/>
        <w:tc>
          <w:tcPr>
            <w:tcW w:w="73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37" w:type="dxa"/>
            <w:tcBorders/>
            <w:vAlign w:val="center"/>
          </w:tcPr>
          <w:p>
            <w:pPr>
              <w:pStyle w:val="TableContents"/>
              <w:bidi w:val="0"/>
              <w:spacing w:before="0" w:after="283"/>
              <w:jc w:val="left"/>
              <w:rPr/>
            </w:pPr>
            <w:r>
              <w:rPr/>
              <w:t> </w:t>
            </w:r>
          </w:p>
        </w:tc>
      </w:tr>
      <w:tr>
        <w:trPr/>
        <w:tc>
          <w:tcPr>
            <w:tcW w:w="73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29, </w:t>
              <w:br/>
              <w:t>2026</w:t>
            </w:r>
          </w:p>
        </w:tc>
        <w:tc>
          <w:tcPr>
            <w:tcW w:w="16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1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30, </w:t>
              <w:br/>
              <w:t>2025</w:t>
            </w:r>
          </w:p>
        </w:tc>
        <w:tc>
          <w:tcPr>
            <w:tcW w:w="137" w:type="dxa"/>
            <w:tcBorders/>
            <w:vAlign w:val="center"/>
          </w:tcPr>
          <w:p>
            <w:pPr>
              <w:pStyle w:val="TableContents"/>
              <w:bidi w:val="0"/>
              <w:spacing w:before="0" w:after="283"/>
              <w:ind w:left="0" w:right="0" w:hanging="180"/>
              <w:jc w:val="left"/>
              <w:rPr/>
            </w:pPr>
            <w:r>
              <w:rPr/>
              <w:t> </w:t>
            </w:r>
          </w:p>
        </w:tc>
      </w:tr>
      <w:tr>
        <w:trPr/>
        <w:tc>
          <w:tcPr>
            <w:tcW w:w="7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remeasurement of derivative liabilities (</w:t>
            </w:r>
            <w:r>
              <w:rPr>
                <w:rFonts w:ascii="Times New Roman;Times;Serif" w:hAnsi="Times New Roman;Times;Serif"/>
                <w:b/>
                <w:sz w:val="20"/>
              </w:rPr>
              <w:t>Note 9 – Borrowings and Derivative Liabilities</w:t>
            </w: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37" w:type="dxa"/>
            <w:tcBorders/>
            <w:shd w:fill="CCEEFF" w:val="clear"/>
            <w:vAlign w:val="center"/>
          </w:tcPr>
          <w:p>
            <w:pPr>
              <w:pStyle w:val="TableContents"/>
              <w:bidi w:val="0"/>
              <w:spacing w:before="0" w:after="283"/>
              <w:jc w:val="left"/>
              <w:rPr/>
            </w:pPr>
            <w:r>
              <w:rPr/>
              <w:t> </w:t>
            </w:r>
          </w:p>
        </w:tc>
      </w:tr>
      <w:tr>
        <w:trPr/>
        <w:tc>
          <w:tcPr>
            <w:tcW w:w="73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due to change in fair value of forward purchase agreements</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w:t>
            </w:r>
          </w:p>
        </w:tc>
        <w:tc>
          <w:tcPr>
            <w:tcW w:w="16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137" w:type="dxa"/>
            <w:tcBorders/>
            <w:vAlign w:val="center"/>
          </w:tcPr>
          <w:p>
            <w:pPr>
              <w:pStyle w:val="TableContents"/>
              <w:bidi w:val="0"/>
              <w:spacing w:before="0" w:after="283"/>
              <w:ind w:left="0" w:right="0" w:hanging="180"/>
              <w:jc w:val="left"/>
              <w:rPr/>
            </w:pPr>
            <w:r>
              <w:rPr/>
              <w:t> </w:t>
            </w:r>
          </w:p>
        </w:tc>
      </w:tr>
      <w:tr>
        <w:trPr/>
        <w:tc>
          <w:tcPr>
            <w:tcW w:w="73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q_003"/>
      <w:bookmarkEnd w:id="24"/>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335" w:type="dxa"/>
        <w:jc w:val="left"/>
        <w:tblInd w:w="0" w:type="dxa"/>
        <w:tblLayout w:type="fixed"/>
        <w:tblCellMar>
          <w:top w:w="0" w:type="dxa"/>
          <w:left w:w="0" w:type="dxa"/>
          <w:bottom w:w="0" w:type="dxa"/>
          <w:right w:w="0" w:type="dxa"/>
        </w:tblCellMar>
      </w:tblPr>
      <w:tblGrid>
        <w:gridCol w:w="1370"/>
        <w:gridCol w:w="90"/>
        <w:gridCol w:w="90"/>
        <w:gridCol w:w="1250"/>
        <w:gridCol w:w="90"/>
        <w:gridCol w:w="90"/>
        <w:gridCol w:w="328"/>
        <w:gridCol w:w="562"/>
        <w:gridCol w:w="90"/>
        <w:gridCol w:w="90"/>
        <w:gridCol w:w="192"/>
        <w:gridCol w:w="938"/>
        <w:gridCol w:w="90"/>
        <w:gridCol w:w="90"/>
        <w:gridCol w:w="221"/>
        <w:gridCol w:w="1179"/>
        <w:gridCol w:w="125"/>
        <w:gridCol w:w="90"/>
        <w:gridCol w:w="480"/>
        <w:gridCol w:w="1160"/>
        <w:gridCol w:w="90"/>
        <w:gridCol w:w="90"/>
        <w:gridCol w:w="243"/>
        <w:gridCol w:w="1127"/>
        <w:gridCol w:w="17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05"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111,334,959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6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366,408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(456,733</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(90,144</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7.0% senior unsecured convertible notes for shares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1,608,769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as consideration for acquisition of businesses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issuance of shares of common stock for debt commitment fees, capitalized as debt issuance costs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Sunder deferred consideration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29, 2026</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120,347,463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6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389,849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(451,483</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48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(61,453</w:t>
            </w:r>
          </w:p>
        </w:tc>
        <w:tc>
          <w:tcPr>
            <w:tcW w:w="1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0215" w:type="dxa"/>
        <w:jc w:val="left"/>
        <w:tblInd w:w="0" w:type="dxa"/>
        <w:tblLayout w:type="fixed"/>
        <w:tblCellMar>
          <w:top w:w="0" w:type="dxa"/>
          <w:left w:w="0" w:type="dxa"/>
          <w:bottom w:w="0" w:type="dxa"/>
          <w:right w:w="0" w:type="dxa"/>
        </w:tblCellMar>
      </w:tblPr>
      <w:tblGrid>
        <w:gridCol w:w="1370"/>
        <w:gridCol w:w="90"/>
        <w:gridCol w:w="90"/>
        <w:gridCol w:w="1130"/>
        <w:gridCol w:w="90"/>
        <w:gridCol w:w="90"/>
        <w:gridCol w:w="328"/>
        <w:gridCol w:w="562"/>
        <w:gridCol w:w="90"/>
        <w:gridCol w:w="90"/>
        <w:gridCol w:w="192"/>
        <w:gridCol w:w="938"/>
        <w:gridCol w:w="90"/>
        <w:gridCol w:w="90"/>
        <w:gridCol w:w="221"/>
        <w:gridCol w:w="1179"/>
        <w:gridCol w:w="125"/>
        <w:gridCol w:w="90"/>
        <w:gridCol w:w="480"/>
        <w:gridCol w:w="1160"/>
        <w:gridCol w:w="90"/>
        <w:gridCol w:w="90"/>
        <w:gridCol w:w="243"/>
        <w:gridCol w:w="1127"/>
        <w:gridCol w:w="17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85"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73,784,645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6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313,661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(411,379</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(97,539</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80,020,836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314,247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(406,567</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(92,141</w:t>
            </w:r>
          </w:p>
        </w:tc>
        <w:tc>
          <w:tcPr>
            <w:tcW w:w="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q_004"/>
      <w:bookmarkEnd w:id="25"/>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8"/>
        <w:gridCol w:w="90"/>
        <w:gridCol w:w="190"/>
        <w:gridCol w:w="883"/>
        <w:gridCol w:w="138"/>
        <w:gridCol w:w="99"/>
        <w:gridCol w:w="199"/>
        <w:gridCol w:w="924"/>
        <w:gridCol w:w="174"/>
      </w:tblGrid>
      <w:tr>
        <w:trPr/>
        <w:tc>
          <w:tcPr>
            <w:tcW w:w="750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74" w:type="dxa"/>
            <w:tcBorders/>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174" w:type="dxa"/>
            <w:tcBorders/>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073"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3" w:type="dxa"/>
            <w:gridSpan w:val="2"/>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5,250</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4,812</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Adjustments to reconcile net income from operations to net cash used in operating activities: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1,605</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469</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Non-cash lease expense</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504</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288</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Deferred income tax benefit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(608</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3,609</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1,583</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Provision for credit losses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1,087</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Change in fair value of SAFE Agreement – related party</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44</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20</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1,142</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(268</w:t>
            </w:r>
          </w:p>
        </w:tc>
        <w:tc>
          <w:tcPr>
            <w:tcW w:w="174" w:type="dxa"/>
            <w:tcBorders/>
            <w:shd w:fill="CCEEFF" w:val="clear"/>
            <w:vAlign w:val="center"/>
          </w:tcPr>
          <w:p>
            <w:pPr>
              <w:pStyle w:val="TableContents"/>
              <w:bidi w:val="0"/>
              <w:spacing w:before="0" w:after="283"/>
              <w:jc w:val="left"/>
              <w:rPr/>
            </w:pPr>
            <w:r>
              <w:rPr/>
              <w:t>)</w:t>
            </w:r>
          </w:p>
        </w:tc>
      </w:tr>
      <w:tr>
        <w:trPr/>
        <w:tc>
          <w:tcPr>
            <w:tcW w:w="75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(26,608</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(15,127</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Change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(615</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1,092</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Change in fair value of deferred consideration</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(2,943</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Change in fair value of deferred consideration with related party</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(2,307</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Change in fair value of debt obligations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320</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Amortization of debt issuance costs </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3,674</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3,655</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Non-cash expense (income) </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176</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(158</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Changes in operating assets and liabilities, net of business acquisitions: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(223</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2,016</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11,386</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Contract assets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(11,279</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(10,909</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(4,413</w:t>
            </w:r>
          </w:p>
        </w:tc>
        <w:tc>
          <w:tcPr>
            <w:tcW w:w="174" w:type="dxa"/>
            <w:tcBorders/>
            <w:shd w:fill="CCEEFF" w:val="clear"/>
            <w:vAlign w:val="center"/>
          </w:tcPr>
          <w:p>
            <w:pPr>
              <w:pStyle w:val="TableContents"/>
              <w:bidi w:val="0"/>
              <w:spacing w:before="0" w:after="283"/>
              <w:jc w:val="left"/>
              <w:rPr/>
            </w:pPr>
            <w:r>
              <w:rPr/>
              <w:t>)</w:t>
            </w:r>
          </w:p>
        </w:tc>
      </w:tr>
      <w:tr>
        <w:trPr/>
        <w:tc>
          <w:tcPr>
            <w:tcW w:w="7508"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(15</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14</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(1,756</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6,896</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Accrued expenses and other liabilities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9,702</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(5,525</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(12,940</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3,064</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(25,656</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tcMar>
              <w:bottom w:w="28" w:type="dxa"/>
            </w:tcMar>
            <w:vAlign w:val="center"/>
          </w:tcPr>
          <w:p>
            <w:pPr>
              <w:pStyle w:val="TableContents"/>
              <w:bidi w:val="0"/>
              <w:spacing w:before="0" w:after="283"/>
              <w:jc w:val="right"/>
              <w:rPr/>
            </w:pPr>
            <w:r>
              <w:rPr/>
              <w:t>(2,627</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Cash paid for acquisition, net of cash acquired</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553</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tcMar>
              <w:bottom w:w="28" w:type="dxa"/>
            </w:tcMar>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553</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Proceeds from issuance of convertible notes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10,710</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200</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Proceeds from issuance of convertible notes due to related parties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1,300</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Finance lease payments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(656</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(515</w:t>
            </w:r>
          </w:p>
        </w:tc>
        <w:tc>
          <w:tcPr>
            <w:tcW w:w="174" w:type="dxa"/>
            <w:tcBorders/>
            <w:shd w:fill="CCEEFF" w:val="clear"/>
            <w:vAlign w:val="center"/>
          </w:tcPr>
          <w:p>
            <w:pPr>
              <w:pStyle w:val="TableContents"/>
              <w:bidi w:val="0"/>
              <w:spacing w:before="0" w:after="283"/>
              <w:jc w:val="left"/>
              <w:rPr/>
            </w:pPr>
            <w:r>
              <w:rPr/>
              <w:t>)</w:t>
            </w:r>
          </w:p>
        </w:tc>
      </w:tr>
      <w:tr>
        <w:trPr/>
        <w:tc>
          <w:tcPr>
            <w:tcW w:w="7508" w:type="dxa"/>
            <w:tcBorders/>
            <w:vAlign w:val="center"/>
          </w:tcPr>
          <w:p>
            <w:pPr>
              <w:pStyle w:val="TableContents"/>
              <w:bidi w:val="0"/>
              <w:spacing w:before="0" w:after="283"/>
              <w:jc w:val="left"/>
              <w:rPr/>
            </w:pPr>
            <w:r>
              <w:rPr/>
              <w:t>Principal repayment of notes payable</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(1,078</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Proceeds from issuance of common stock</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6,991</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Proceeds from exercise of common stock options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57</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Proceeds from exercise of warrant for common stock</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60</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Investor financing deposit</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5,000</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tcMar>
              <w:bottom w:w="28" w:type="dxa"/>
            </w:tcMar>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Net cash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22,267</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(198</w:t>
            </w:r>
          </w:p>
        </w:tc>
        <w:tc>
          <w:tcPr>
            <w:tcW w:w="174" w:type="dxa"/>
            <w:tcBorders/>
            <w:shd w:fill="CCEEFF" w:val="clear"/>
            <w:vAlign w:val="center"/>
          </w:tcPr>
          <w:p>
            <w:pPr>
              <w:pStyle w:val="TableContents"/>
              <w:bidi w:val="0"/>
              <w:spacing w:before="0" w:after="283"/>
              <w:jc w:val="left"/>
              <w:rPr/>
            </w:pPr>
            <w:r>
              <w:rPr/>
              <w:t>)</w:t>
            </w:r>
          </w:p>
        </w:tc>
      </w:tr>
      <w:tr>
        <w:trPr/>
        <w:tc>
          <w:tcPr>
            <w:tcW w:w="7508" w:type="dxa"/>
            <w:tcBorders/>
            <w:vAlign w:val="center"/>
          </w:tcPr>
          <w:p>
            <w:pPr>
              <w:pStyle w:val="TableContents"/>
              <w:bidi w:val="0"/>
              <w:spacing w:before="0" w:after="283"/>
              <w:jc w:val="left"/>
              <w:rPr/>
            </w:pPr>
            <w:r>
              <w:rPr/>
              <w:t>Net decrease in cash, cash equivalents and restricted cash</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(2,836</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tcMar>
              <w:bottom w:w="28" w:type="dxa"/>
            </w:tcMar>
            <w:vAlign w:val="center"/>
          </w:tcPr>
          <w:p>
            <w:pPr>
              <w:pStyle w:val="TableContents"/>
              <w:bidi w:val="0"/>
              <w:spacing w:before="0" w:after="283"/>
              <w:jc w:val="right"/>
              <w:rPr/>
            </w:pPr>
            <w:r>
              <w:rPr/>
              <w:t>(2,825</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Cash, cash equivalents, and restricted cash at beginning of period</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13,458</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17,219</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Cash, cash equivalents, and restricted cash at end of period</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883" w:type="dxa"/>
            <w:tcBorders>
              <w:bottom w:val="double" w:sz="10" w:space="0" w:color="000000"/>
            </w:tcBorders>
            <w:tcMar>
              <w:bottom w:w="28" w:type="dxa"/>
            </w:tcMar>
            <w:vAlign w:val="center"/>
          </w:tcPr>
          <w:p>
            <w:pPr>
              <w:pStyle w:val="TableContents"/>
              <w:bidi w:val="0"/>
              <w:spacing w:before="0" w:after="283"/>
              <w:jc w:val="right"/>
              <w:rPr/>
            </w:pPr>
            <w:r>
              <w:rPr/>
              <w:t>10,622</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924" w:type="dxa"/>
            <w:tcBorders>
              <w:bottom w:val="double" w:sz="10" w:space="0" w:color="000000"/>
            </w:tcBorders>
            <w:tcMar>
              <w:bottom w:w="28" w:type="dxa"/>
            </w:tcMar>
            <w:vAlign w:val="center"/>
          </w:tcPr>
          <w:p>
            <w:pPr>
              <w:pStyle w:val="TableContents"/>
              <w:bidi w:val="0"/>
              <w:spacing w:before="0" w:after="283"/>
              <w:jc w:val="right"/>
              <w:rPr/>
            </w:pPr>
            <w:r>
              <w:rPr/>
              <w:t>14,394</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b/>
              </w:rPr>
            </w:pPr>
            <w:r>
              <w:rPr>
                <w:b/>
              </w:rPr>
              <w:t>Supplemental disclosures of cash flow information:</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Cash paid during the period for interest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5,263</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1,388</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Cash paid for income taxes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b/>
              </w:rPr>
            </w:pPr>
            <w:r>
              <w:rPr>
                <w:b/>
              </w:rPr>
              <w:t>Supplemental disclosure of noncash financing and investing activities: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Issuance of convertible note in exchange for investor deposit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2,000</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Conversion of 7% unsecured notes for shares of common stock</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2,646</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Issuance of common stock as partial consideration for acquisition</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3,333</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Deferred consideration recognized for acquisition of Cobalt</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6,331</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Tax effect of Cobalt acquisition accounted for as Goodwill</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1,001</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Deferred consideration reclassified to Additional paid-in capital</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8,533</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275"/>
        <w:gridCol w:w="7400"/>
      </w:tblGrid>
      <w:tr>
        <w:trPr/>
        <w:tc>
          <w:tcPr>
            <w:tcW w:w="27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the thirteen weeks ended March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gain on remeasurement of $7.5 million and $3.7 million in the thirteen weeks ended March 29, 2026 and March 30,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amortization expense of $0.9 million and $0.7 million in the thirteen weeks ended March 29, 2026 and March 30,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275"/>
        <w:gridCol w:w="8180"/>
      </w:tblGrid>
      <w:tr>
        <w:trPr/>
        <w:tc>
          <w:tcPr>
            <w:tcW w:w="27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the thirteen weeks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q_005"/>
      <w:bookmarkEnd w:id="26"/>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 References to the Company and SunPower include the same entity under its previous name of Complete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on a 52-to-53-week fiscal year that ends on the Sunday closest to December 31. The Company’s first fiscal quarters for 2026 and 2025 in this report on Form 10-Q ended on March 29, 2026 (“Q1 2026”) and March 30, 2025 (“Q1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28, 2025, the Company completed the acquisitions of Sunder Energy, LLC (“Sunder”) and Ambia Energy LLC (“Ambia”). On February 2, 2026, the Company completed the acquisition of Cobalt Power Systems, Inc. (“Cobalt”). Each of these acquisitions was accounted for as a business combination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loss was $19.2 million in the thirteen weeks ended March 29, 2026. As of March 29, 2026, the Company had an accumulated deficit of $451.5 million, current debt of $38.0 million, and cash and cash equivalents, excluding restricted cash, of $9.5 million. The Company anticipates that operating losses and negative operating cash flows will continue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stockholders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Quarterly Report on Form 10-Q for the quarter ended September 28, 2025 or the amendment required to the Current Report originally filed on September 26, 2025, relating to the Sunder acquisition, within the timeframe required by the SEC. As a result, the Company is not currently eligible to use a registration statement on Form S-3 that would allow it to continuously incorporate by reference its SEC reports into a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condensed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unaudited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these interim unaudited condensed consolidated financial statements reflect all adjustments, consisting of normal recurring adjustments, necessary to present fairly the Company’s financial position as of March 29, 2026, and the results of operations for the thirteen weeks ended March 29, 2026 and March 30, 2025. These interim unaudited condensed consolidated financial statements and related notes should be read in conjunction with the audited consolidated financial statements and related notes for the fiscal year ended December 28, 2025, included in the Company’s Annual Report on Form 10-K filed with the SEC on April 14, 2026. The results of operations for interim periods are not necessarily indicative of the results to be expected for the full year or any other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453" w:type="dxa"/>
        <w:jc w:val="left"/>
        <w:tblInd w:w="0" w:type="dxa"/>
        <w:tblLayout w:type="fixed"/>
        <w:tblCellMar>
          <w:top w:w="0" w:type="dxa"/>
          <w:left w:w="0" w:type="dxa"/>
          <w:bottom w:w="0" w:type="dxa"/>
          <w:right w:w="0" w:type="dxa"/>
        </w:tblCellMar>
      </w:tblPr>
      <w:tblGrid>
        <w:gridCol w:w="4505"/>
        <w:gridCol w:w="90"/>
        <w:gridCol w:w="212"/>
        <w:gridCol w:w="887"/>
        <w:gridCol w:w="90"/>
        <w:gridCol w:w="90"/>
        <w:gridCol w:w="278"/>
        <w:gridCol w:w="1166"/>
        <w:gridCol w:w="135"/>
      </w:tblGrid>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3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br/>
              <w:t>2025</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9,617</w:t>
            </w:r>
          </w:p>
        </w:tc>
        <w:tc>
          <w:tcPr>
            <w:tcW w:w="13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interim unaudited condensed consolidated financial statements requires management to make estimates and assumptions that affect reported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when control of the promised products and services is transferred to the customer and its performance obligations are satisfied. The Company’s performance obligation in its Residential Solar Installation and New Homes Business segments is to design and install a fully functioning solar energy system. The design, delivery of system components, installation, and services facilitating interconnection to the power grid are accounted for as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the amount of consideration the Company expects to be entitled to receive, net of customer incentives such as discounts or rebates, and variable consideration is estimated at each reporting date to the extent it is probable that a significant reversal will not occur. Amounts invoiced and collected in advance of performance are recorded as deferred revenue. The Company’s contracts do not contain significant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Residential Solar Installation and New Homes Business cash and financing arrangements, revenue is generally recognized over time beginning when the system is fully installed, as this is when the customer obtains control of the asset. Revenue is recognized using an input method based on direct installation costs. For New Homes Business lease arrangements, revenue is recognized at a point in time upon customer acceptance of the completed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Dealer segment, the Company earns revenue from contracts for solar installations performed by third-party installers. The Company acts as an agent in these arrangements and recognizes revenue on a net basis at the point in time when substantial completion is achieved. The Company does not provide warranty services related to Dealer contracts. During the thirteen week period ended March 29, 2026, the Company amended customer contracts and under the amended contractual terms, the point at which control transfers to the customer changed from permission to operate (“PTO”) to substantial completion of the installation. As a result, the Company recognized incremental revenue of $12.4 million in the thirteen week period ended March 29, 2026, related to the contract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Incremental costs of obtaining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and December 28, 2025, deferred commissions were $8.1 million and $5.6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 activity as of and for the periods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11" w:type="dxa"/>
        <w:jc w:val="left"/>
        <w:tblInd w:w="0" w:type="dxa"/>
        <w:tblLayout w:type="fixed"/>
        <w:tblCellMar>
          <w:top w:w="0" w:type="dxa"/>
          <w:left w:w="0" w:type="dxa"/>
          <w:bottom w:w="0" w:type="dxa"/>
          <w:right w:w="0" w:type="dxa"/>
        </w:tblCellMar>
      </w:tblPr>
      <w:tblGrid>
        <w:gridCol w:w="5780"/>
        <w:gridCol w:w="90"/>
        <w:gridCol w:w="223"/>
        <w:gridCol w:w="876"/>
        <w:gridCol w:w="159"/>
        <w:gridCol w:w="114"/>
        <w:gridCol w:w="223"/>
        <w:gridCol w:w="876"/>
        <w:gridCol w:w="170"/>
      </w:tblGrid>
      <w:tr>
        <w:trPr/>
        <w:tc>
          <w:tcPr>
            <w:tcW w:w="57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47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7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17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beginning of year</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(1,701</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Provision charged to earnings</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written off, net of recoveries and other adjustments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70"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end of period</w:t>
            </w:r>
          </w:p>
        </w:tc>
        <w:tc>
          <w:tcPr>
            <w:tcW w:w="90" w:type="dxa"/>
            <w:tcBorders/>
            <w:vAlign w:val="center"/>
          </w:tcPr>
          <w:p>
            <w:pPr>
              <w:pStyle w:val="TableContents"/>
              <w:bidi w:val="0"/>
              <w:spacing w:before="0" w:after="283"/>
              <w:jc w:val="left"/>
              <w:rPr/>
            </w:pPr>
            <w:r>
              <w:rPr/>
              <w:t> </w:t>
            </w:r>
          </w:p>
        </w:tc>
        <w:tc>
          <w:tcPr>
            <w:tcW w:w="22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 w:type="dxa"/>
            <w:tcBorders/>
            <w:vAlign w:val="center"/>
          </w:tcPr>
          <w:p>
            <w:pPr>
              <w:pStyle w:val="TableContents"/>
              <w:bidi w:val="0"/>
              <w:spacing w:before="0" w:after="283"/>
              <w:jc w:val="left"/>
              <w:rPr/>
            </w:pPr>
            <w:r>
              <w:rPr/>
              <w:t> </w:t>
            </w:r>
          </w:p>
        </w:tc>
        <w:tc>
          <w:tcPr>
            <w:tcW w:w="22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adopted the guidance in the period ended March 29, 2026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adopted the guidance effective December 29, 2025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Cobalt Power Systems,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(the “Share Purchase Agreement”) with Cobalt and Cobalt’s stockholders (the “Cobalt Stockholders”). The Company, Cobalt and the Cobalt Stockholders completed the closing under the Share Purchase Agreement (the “Cobalt Closing”) on February 2, 2026. At the Cobalt Closing, the Company acquired all of the outstanding stock of Cobalt from the Cobalt Stockholders for: (a) 1.8 million shares (the “Closing Consideration Shares”) of the Company’s common stock and (b) an agreement to issue an additional $3.33 million of shares of the Company’s common stock on each of the 12-month and 18-month anniversaries of the Cobalt Closing (“Post-Closing Consideration Shares).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Based on the analysis of the payments made or to be made in connection with the acquisition of Cobalt under ASC 805, the Company concluded that the $2.0 million of restricted stock units is considered compensation and, therefore, this amount has been excluded from the business combination consideration. Cobalt designs and installs solar systems for residential and commercial clients.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consideration for Cobalt was $9.66 million, which consists of $3.33 million paid at the Cobalt Closing and Post-Closing Consideration Shares valued at $6.33 million. The $3.33 million fair value of the shares of common stock issued at the Cobalt Closing was derived based on the Company’s closing stock price in a 5-day volume-weighted average price (“VWAP”) immediately preceding the Cobalt Closing to determine the number of shares issued. The Post-Closing Consideration Shares are treated as a liability for financial reporting purposes and are reported within Deferred consideration, current and deferred consideration, noncurrent within the Company’s unaudited condensed consolidated balance sheet, and were valued using a Monte Carlo simulation model to capture the variability in the number and value of shares issuable at the 12- and 18-month post-closing dates. Under the terms of the agreement, the deferred obligation represents a fixed dollar amount that will be settled in a variable number of shares determined based on the 5-day VWAP immediately prior to each issuance date, resulting in an inverse relationship between share price and shares issued. The model incorporates key assumptions, including a starting VWAP of $1.69, a risk-free rate of 3.53%, expected volatility of 85.5% derived from peer company analysis and historical data, and a 1.5-year simulation horizon. For each simulated stock price path, the model calculates the resulting share issuances and corresponding payment values, discounts those amounts to present value, and averages the outcomes across simulations to estimate fair value, resulting in a concluded value of approximately $6.33 million as of the valuation date.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20"/>
        <w:gridCol w:w="90"/>
        <w:gridCol w:w="170"/>
        <w:gridCol w:w="590"/>
        <w:gridCol w:w="135"/>
      </w:tblGrid>
      <w:tr>
        <w:trPr/>
        <w:tc>
          <w:tcPr>
            <w:tcW w:w="92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9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shares of the Company’s common stock issued at Cobalt Closing (classified within 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135" w:type="dxa"/>
            <w:tcBorders/>
            <w:shd w:fill="CCEEFF" w:val="clear"/>
            <w:vAlign w:val="center"/>
          </w:tcPr>
          <w:p>
            <w:pPr>
              <w:pStyle w:val="TableContents"/>
              <w:bidi w:val="0"/>
              <w:spacing w:before="0" w:after="283"/>
              <w:jc w:val="left"/>
              <w:rPr/>
            </w:pPr>
            <w:r>
              <w:rPr/>
              <w:t> </w:t>
            </w:r>
          </w:p>
        </w:tc>
      </w:tr>
      <w:tr>
        <w:trPr/>
        <w:tc>
          <w:tcPr>
            <w:tcW w:w="9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Cobalt Consideration Shares (Classified within Deferred consideration, current and noncurrent)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135" w:type="dxa"/>
            <w:tcBorders/>
            <w:vAlign w:val="center"/>
          </w:tcPr>
          <w:p>
            <w:pPr>
              <w:pStyle w:val="TableContents"/>
              <w:bidi w:val="0"/>
              <w:spacing w:before="0" w:after="283"/>
              <w:jc w:val="left"/>
              <w:rPr/>
            </w:pPr>
            <w:r>
              <w:rPr/>
              <w:t> </w:t>
            </w:r>
          </w:p>
        </w:tc>
      </w:tr>
      <w:tr>
        <w:trPr/>
        <w:tc>
          <w:tcPr>
            <w:tcW w:w="9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Cobalt Closing. The purchase price accounting remains open for the valuation of intangibles, certain liabilities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144" w:type="dxa"/>
        <w:jc w:val="left"/>
        <w:tblInd w:w="0" w:type="dxa"/>
        <w:tblLayout w:type="fixed"/>
        <w:tblCellMar>
          <w:top w:w="0" w:type="dxa"/>
          <w:left w:w="0" w:type="dxa"/>
          <w:bottom w:w="0" w:type="dxa"/>
          <w:right w:w="0" w:type="dxa"/>
        </w:tblCellMar>
      </w:tblPr>
      <w:tblGrid>
        <w:gridCol w:w="6320"/>
        <w:gridCol w:w="90"/>
        <w:gridCol w:w="301"/>
        <w:gridCol w:w="1263"/>
        <w:gridCol w:w="170"/>
      </w:tblGrid>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Cobalt Closing</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b/>
              </w:rPr>
            </w:pPr>
            <w:r>
              <w:rPr>
                <w:b/>
              </w:rPr>
              <w:t>Net assets acquired:</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xml:space="preserve">Cash and cash equivalents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3" w:type="dxa"/>
            <w:tcBorders/>
            <w:shd w:fill="CCEEFF" w:val="clear"/>
            <w:vAlign w:val="center"/>
          </w:tcPr>
          <w:p>
            <w:pPr>
              <w:pStyle w:val="TableContents"/>
              <w:bidi w:val="0"/>
              <w:spacing w:before="0" w:after="283"/>
              <w:jc w:val="right"/>
              <w:rPr/>
            </w:pPr>
            <w:r>
              <w:rPr/>
              <w:t>553</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Trade accounts receivable, net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3,642</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xml:space="preserve">Inventories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1,739</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Prepaid expenses and other current assets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30</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xml:space="preserve">Property and equipment, net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485</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Intangible assets, net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3,871</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xml:space="preserve">Operating lease right-of-use assets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1,277</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Accounts payable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(3,864</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 xml:space="preserve">Accrued expenses and other current liabilities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(1,002</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xml:space="preserve">Short-term debt with third parties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(2,706</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both"/>
              <w:rPr/>
            </w:pPr>
            <w:r>
              <w:rPr/>
              <w:t>Other long-term liabilities</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(1,099</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xml:space="preserve">Contract liabilities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(5,238</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Deferred tax liability</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(1,001</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xml:space="preserve">Fair value of the excess of liabilities assumed over assets acquired </w:t>
            </w:r>
          </w:p>
        </w:tc>
        <w:tc>
          <w:tcPr>
            <w:tcW w:w="90"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(3,313</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 xml:space="preserve">Fair value of common stock issued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3,333</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Fair value of Deferred Cobalt Consideration Shares </w:t>
            </w:r>
          </w:p>
        </w:tc>
        <w:tc>
          <w:tcPr>
            <w:tcW w:w="90"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6,331</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xml:space="preserve">Consideration transferred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9,664</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Goodwill recognized </w:t>
            </w:r>
          </w:p>
        </w:tc>
        <w:tc>
          <w:tcPr>
            <w:tcW w:w="90" w:type="dxa"/>
            <w:tcBorders/>
            <w:vAlign w:val="center"/>
          </w:tcPr>
          <w:p>
            <w:pPr>
              <w:pStyle w:val="TableContents"/>
              <w:bidi w:val="0"/>
              <w:spacing w:before="0" w:after="283"/>
              <w:jc w:val="left"/>
              <w:rPr/>
            </w:pPr>
            <w:r>
              <w:rPr/>
              <w:t> </w:t>
            </w:r>
          </w:p>
        </w:tc>
        <w:tc>
          <w:tcPr>
            <w:tcW w:w="301" w:type="dxa"/>
            <w:tcBorders>
              <w:bottom w:val="double" w:sz="10" w:space="0" w:color="000000"/>
            </w:tcBorders>
            <w:tcMar>
              <w:bottom w:w="28" w:type="dxa"/>
            </w:tcMar>
            <w:vAlign w:val="center"/>
          </w:tcPr>
          <w:p>
            <w:pPr>
              <w:pStyle w:val="TableContents"/>
              <w:bidi w:val="0"/>
              <w:spacing w:before="0" w:after="283"/>
              <w:jc w:val="left"/>
              <w:rPr/>
            </w:pPr>
            <w:r>
              <w:rPr/>
              <w:t>$</w:t>
            </w:r>
          </w:p>
        </w:tc>
        <w:tc>
          <w:tcPr>
            <w:tcW w:w="1263" w:type="dxa"/>
            <w:tcBorders>
              <w:bottom w:val="double" w:sz="10" w:space="0" w:color="000000"/>
            </w:tcBorders>
            <w:tcMar>
              <w:bottom w:w="28" w:type="dxa"/>
            </w:tcMar>
            <w:vAlign w:val="center"/>
          </w:tcPr>
          <w:p>
            <w:pPr>
              <w:pStyle w:val="TableContents"/>
              <w:bidi w:val="0"/>
              <w:spacing w:before="0" w:after="283"/>
              <w:jc w:val="right"/>
              <w:rPr/>
            </w:pPr>
            <w:r>
              <w:rPr/>
              <w:t>12,977</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514" w:type="dxa"/>
        <w:jc w:val="left"/>
        <w:tblInd w:w="0" w:type="dxa"/>
        <w:tblLayout w:type="fixed"/>
        <w:tblCellMar>
          <w:top w:w="0" w:type="dxa"/>
          <w:left w:w="0" w:type="dxa"/>
          <w:bottom w:w="0" w:type="dxa"/>
          <w:right w:w="0" w:type="dxa"/>
        </w:tblCellMar>
      </w:tblPr>
      <w:tblGrid>
        <w:gridCol w:w="4565"/>
        <w:gridCol w:w="90"/>
        <w:gridCol w:w="1070"/>
        <w:gridCol w:w="90"/>
        <w:gridCol w:w="349"/>
        <w:gridCol w:w="1215"/>
        <w:gridCol w:w="135"/>
      </w:tblGrid>
      <w:tr>
        <w:trPr/>
        <w:tc>
          <w:tcPr>
            <w:tcW w:w="45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 xml:space="preserve">as of the </w:t>
              <w:br/>
              <w:t>Cobalt Closing</w:t>
            </w:r>
          </w:p>
        </w:tc>
        <w:tc>
          <w:tcPr>
            <w:tcW w:w="13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 months</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13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 name – Cobalt</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3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Building lease intangible asset – favorable lease</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years</w:t>
            </w:r>
          </w:p>
        </w:tc>
        <w:tc>
          <w:tcPr>
            <w:tcW w:w="90" w:type="dxa"/>
            <w:tcBorders/>
            <w:shd w:fill="CCEEFF" w:val="clear"/>
            <w:vAlign w:val="center"/>
          </w:tcPr>
          <w:p>
            <w:pPr>
              <w:pStyle w:val="TableContents"/>
              <w:bidi w:val="0"/>
              <w:spacing w:before="0" w:after="283"/>
              <w:jc w:val="left"/>
              <w:rPr/>
            </w:pPr>
            <w:r>
              <w:rPr/>
              <w:t> </w:t>
            </w:r>
          </w:p>
        </w:tc>
        <w:tc>
          <w:tcPr>
            <w:tcW w:w="3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13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4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backlog was estimated using the excess earnings method, an income-based approach, under which value is determined based on the present value of the cash flows attributable specifically to the backlog after deducting appropriate returns for contributory assets. Projected revenues were based on the contractual backlog existing as of the valuation date, and operating expenses were estimated as a percentage of revenue, with an adjustment to exclude sales and marketing expenses. Based on management’s estimates, substantially all sales and marketing efforts relate to acquiring new customers and are not required to fulfill the existing backlog. Contributory asset charges were applied for the use of working capital, fixed assets, assembled workforce, and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name’s fair value was estimated using the relief-from-royalty method, which measures the present value of avoided royalty payments. The valuation considered qualitative factors such as Cobalt’s long operating history since 2003, strong reputation for affordable and reliable solar solutions, and established market presence with over 2,400 installations. It assumed the trade name supports all revenues and applied a 1.0% royalty rate based on profit-split analysis and market data. The trade name was assigned a 10-year useful life, reflecting expected continued use and brand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building lease was estimated using an income approach, specifically a discounted cash flow model, reflecting the present value of the difference between contractual rent and estimated market rent over the remaining lease term. Key assumptions include a market rent derived from comparable properties, a 2.0% annual rental growth rate, and an 8.50% discount rate consistent with market participant return expectations and leasehold-specific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Cobalt contributed $5.0 million and $0.3 million in revenue and income before income taxes from operations, respectively, for the period from the acquisition date to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Sunder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(“CPP”),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 million shares of the Company’s common stock issued at the Sunder Closing and (ii) subject to approval of such issuances by the Company’s stockholders, (x) 3.3 million shares of the Company’s common stock to be issued on the 12-month anniversary of the Sunder Closing and (y) 3.3 million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six-month anniversary of the date on which the applicable Deferred Sunder Consideration Shares are otherwise issuable. The shares of the Company’s common stock issued and expected to be issued were valued at aggregate of $17.1 million at the Sunder Closing. The common stock issued at the Sunder Closing was valued at $5.7 million and accounted for within Additional paid-in-capital on the Company’s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an amended and restated Seller Note that, following certain payoffs under the prior Seller Note, has an amended principal amount of $7.0 million (the “A&amp;R Seller Note”).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25, 2026, the Company’s stockholders approved the issuance of the Deferred Sunder Consideration Shares, and the Company’s option to pay the Cash in Lieu Amount expired. Accordingly, the value of the Deferred Sunder Consideration Shares became fixed on that date. The fair value of the 6.7 million Deferred Sunder Consideration Shares was $8.5 million as of March 25, 2026.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 all of the substantive contingencies have been resolved and only remaining condition is the passage of time, the obligation met the criteria for equity classification. As such, the Company reclassified the Deferred Sunder Consideration Shares obligation from liability to equity as of March 29, 2026. Pursuant to an Amendment and Agreement dated as of March 5, 2026 between CPP and the Company, the Company agreed to issue all of the Deferred Sunder Consideration Shares following receipt of approval by the Company’s stockholders, and the Deferred Sunder Consideration Shares were subsequently issued on April 8, 2026.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since the sellers joined the Company and represent members of management, they have a level of influence that is not insignificant; therefore, they are related parties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initially paid and remaining payable as of the date of the Sunder Closing is summarized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90"/>
        <w:gridCol w:w="90"/>
        <w:gridCol w:w="287"/>
        <w:gridCol w:w="1203"/>
        <w:gridCol w:w="135"/>
      </w:tblGrid>
      <w:tr>
        <w:trPr/>
        <w:tc>
          <w:tcPr>
            <w:tcW w:w="849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Consideration</w:t>
            </w:r>
          </w:p>
        </w:tc>
        <w:tc>
          <w:tcPr>
            <w:tcW w:w="135" w:type="dxa"/>
            <w:tcBorders/>
            <w:vAlign w:val="center"/>
          </w:tcPr>
          <w:p>
            <w:pPr>
              <w:pStyle w:val="TableContents"/>
              <w:bidi w:val="0"/>
              <w:spacing w:before="0" w:after="283"/>
              <w:ind w:left="0" w:right="0" w:hanging="180"/>
              <w:jc w:val="left"/>
              <w:rPr/>
            </w:pPr>
            <w:r>
              <w:rPr/>
              <w:t> </w:t>
            </w:r>
          </w:p>
        </w:tc>
      </w:tr>
      <w:tr>
        <w:trPr/>
        <w:tc>
          <w:tcPr>
            <w:tcW w:w="8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Paid at Sunder Closing</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20,689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8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Seller note</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35" w:type="dxa"/>
            <w:tcBorders/>
            <w:vAlign w:val="center"/>
          </w:tcPr>
          <w:p>
            <w:pPr>
              <w:pStyle w:val="TableContents"/>
              <w:bidi w:val="0"/>
              <w:spacing w:before="0" w:after="283"/>
              <w:ind w:left="0" w:right="0" w:hanging="180"/>
              <w:jc w:val="left"/>
              <w:rPr/>
            </w:pPr>
            <w:r>
              <w:rPr/>
              <w:t> </w:t>
            </w:r>
          </w:p>
        </w:tc>
      </w:tr>
      <w:tr>
        <w:trPr/>
        <w:tc>
          <w:tcPr>
            <w:tcW w:w="8490" w:type="dxa"/>
            <w:tcBorders/>
            <w:shd w:fill="CCEEFF" w:val="clear"/>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3.3 million shares of the Company’s common stock</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8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 subsequent to Sunder Closing</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Sunder Consideration Shares (fair value of 6.7 million shares of the Company’s common stock at Sunder Closing)</w:t>
            </w:r>
          </w:p>
        </w:tc>
        <w:tc>
          <w:tcPr>
            <w:tcW w:w="90" w:type="dxa"/>
            <w:tcBorders/>
            <w:shd w:fill="CCEEFF" w:val="clear"/>
            <w:vAlign w:val="center"/>
          </w:tcPr>
          <w:p>
            <w:pPr>
              <w:pStyle w:val="TableContents"/>
              <w:bidi w:val="0"/>
              <w:spacing w:before="0" w:after="283"/>
              <w:jc w:val="left"/>
              <w:rPr/>
            </w:pPr>
            <w:r>
              <w:rPr/>
              <w:t> </w:t>
            </w:r>
          </w:p>
        </w:tc>
        <w:tc>
          <w:tcPr>
            <w:tcW w:w="2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8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 at Sunder Closing</w:t>
            </w:r>
          </w:p>
        </w:tc>
        <w:tc>
          <w:tcPr>
            <w:tcW w:w="90" w:type="dxa"/>
            <w:tcBorders/>
            <w:vAlign w:val="center"/>
          </w:tcPr>
          <w:p>
            <w:pPr>
              <w:pStyle w:val="TableContents"/>
              <w:bidi w:val="0"/>
              <w:spacing w:before="0" w:after="283"/>
              <w:jc w:val="left"/>
              <w:rPr/>
            </w:pPr>
            <w:r>
              <w:rPr/>
              <w:t> </w:t>
            </w:r>
          </w:p>
        </w:tc>
        <w:tc>
          <w:tcPr>
            <w:tcW w:w="287"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Seller Note in the original principal amount of $20.0 million, which has been amended by the A&amp;R Seller Note in the principal amount of $7.0 million subsequent to March 29, 2026. Refer to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18 – Subsequent Events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provisional fair value of identifiable assets acquired and liabilities assumed. No measurement period adjustments were recorded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tbl>
      <w:tblPr>
        <w:tblW w:w="5864" w:type="dxa"/>
        <w:jc w:val="left"/>
        <w:tblInd w:w="0" w:type="dxa"/>
        <w:tblLayout w:type="fixed"/>
        <w:tblCellMar>
          <w:top w:w="0" w:type="dxa"/>
          <w:left w:w="0" w:type="dxa"/>
          <w:bottom w:w="28" w:type="dxa"/>
          <w:right w:w="0" w:type="dxa"/>
        </w:tblCellMar>
      </w:tblPr>
      <w:tblGrid>
        <w:gridCol w:w="4355"/>
        <w:gridCol w:w="90"/>
        <w:gridCol w:w="221"/>
        <w:gridCol w:w="1028"/>
        <w:gridCol w:w="170"/>
      </w:tblGrid>
      <w:tr>
        <w:trPr/>
        <w:tc>
          <w:tcPr>
            <w:tcW w:w="4355" w:type="dxa"/>
            <w:tcBorders>
              <w:bottom w:val="single" w:sz="12" w:space="0" w:color="000000"/>
            </w:tcBorders>
            <w:vAlign w:val="center"/>
          </w:tcPr>
          <w:p>
            <w:pPr>
              <w:pStyle w:val="TableContents"/>
              <w:bidi w:val="0"/>
              <w:jc w:val="both"/>
              <w:rPr/>
            </w:pPr>
            <w:r>
              <w:rPr/>
              <w:t xml:space="preserve">  </w:t>
            </w:r>
          </w:p>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w:t>
            </w:r>
            <w:r>
              <w:rPr>
                <w:rFonts w:ascii="Times New Roman;Times;Serif" w:hAnsi="Times New Roman;Times;Serif"/>
                <w:i/>
              </w:rPr>
              <w:t>in thousands</w:t>
            </w: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90" w:type="dxa"/>
            <w:tcBorders/>
            <w:tcMar>
              <w:bottom w:w="0" w:type="dxa"/>
            </w:tcMar>
            <w:vAlign w:val="center"/>
          </w:tcPr>
          <w:p>
            <w:pPr>
              <w:pStyle w:val="TableContents"/>
              <w:bidi w:val="0"/>
              <w:spacing w:before="0" w:after="283"/>
              <w:jc w:val="left"/>
              <w:rPr/>
            </w:pPr>
            <w:r>
              <w:rPr/>
              <w:t> </w:t>
            </w:r>
          </w:p>
        </w:tc>
        <w:tc>
          <w:tcPr>
            <w:tcW w:w="1249" w:type="dxa"/>
            <w:gridSpan w:val="2"/>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9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02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3,039</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9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02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9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02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(11,673</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9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02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w:t>
            </w:r>
          </w:p>
        </w:tc>
        <w:tc>
          <w:tcPr>
            <w:tcW w:w="90" w:type="dxa"/>
            <w:tcBorders/>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vAlign w:val="center"/>
          </w:tcPr>
          <w:p>
            <w:pPr>
              <w:pStyle w:val="TableContents"/>
              <w:bidi w:val="0"/>
              <w:spacing w:before="0" w:after="283"/>
              <w:jc w:val="left"/>
              <w:rPr/>
            </w:pPr>
            <w:r>
              <w:rPr/>
              <w:t> </w:t>
            </w:r>
          </w:p>
        </w:tc>
        <w:tc>
          <w:tcPr>
            <w:tcW w:w="102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90" w:type="dxa"/>
            <w:tcBorders/>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vAlign w:val="center"/>
          </w:tcPr>
          <w:p>
            <w:pPr>
              <w:pStyle w:val="TableContents"/>
              <w:bidi w:val="0"/>
              <w:spacing w:before="0" w:after="283"/>
              <w:jc w:val="left"/>
              <w:rPr/>
            </w:pPr>
            <w:r>
              <w:rPr/>
              <w:t> </w:t>
            </w:r>
          </w:p>
        </w:tc>
        <w:tc>
          <w:tcPr>
            <w:tcW w:w="102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31,822</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and estimated useful lives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804" w:type="dxa"/>
        <w:jc w:val="left"/>
        <w:tblInd w:w="0" w:type="dxa"/>
        <w:tblLayout w:type="fixed"/>
        <w:tblCellMar>
          <w:top w:w="0" w:type="dxa"/>
          <w:left w:w="0" w:type="dxa"/>
          <w:bottom w:w="0" w:type="dxa"/>
          <w:right w:w="0" w:type="dxa"/>
        </w:tblCellMar>
      </w:tblPr>
      <w:tblGrid>
        <w:gridCol w:w="3080"/>
        <w:gridCol w:w="90"/>
        <w:gridCol w:w="1070"/>
        <w:gridCol w:w="90"/>
        <w:gridCol w:w="90"/>
        <w:gridCol w:w="240"/>
        <w:gridCol w:w="1009"/>
        <w:gridCol w:w="135"/>
      </w:tblGrid>
      <w:tr>
        <w:trPr/>
        <w:tc>
          <w:tcPr>
            <w:tcW w:w="30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30,600</w:t>
            </w:r>
          </w:p>
        </w:tc>
        <w:tc>
          <w:tcPr>
            <w:tcW w:w="13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 - Sunder</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6,100</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 - Sunder</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 years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13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in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Ambia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 Ambia is a residential solar energy system installer and operates in various markets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 On March 25, 2026, the Company’s stockholders approved the issuance of the 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780" w:type="dxa"/>
        <w:jc w:val="left"/>
        <w:tblInd w:w="0" w:type="dxa"/>
        <w:tblLayout w:type="fixed"/>
        <w:tblCellMar>
          <w:top w:w="0" w:type="dxa"/>
          <w:left w:w="0" w:type="dxa"/>
          <w:bottom w:w="0" w:type="dxa"/>
          <w:right w:w="0" w:type="dxa"/>
        </w:tblCellMar>
      </w:tblPr>
      <w:tblGrid>
        <w:gridCol w:w="8675"/>
        <w:gridCol w:w="90"/>
        <w:gridCol w:w="170"/>
        <w:gridCol w:w="710"/>
        <w:gridCol w:w="135"/>
      </w:tblGrid>
      <w:tr>
        <w:trPr/>
        <w:tc>
          <w:tcPr>
            <w:tcW w:w="86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Fair value of 10,243,924 shares of the Company’s common stock issued at Ambia Closing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135" w:type="dxa"/>
            <w:tcBorders/>
            <w:shd w:fill="CCEEFF" w:val="clear"/>
            <w:vAlign w:val="center"/>
          </w:tcPr>
          <w:p>
            <w:pPr>
              <w:pStyle w:val="TableContents"/>
              <w:bidi w:val="0"/>
              <w:spacing w:before="0" w:after="283"/>
              <w:jc w:val="left"/>
              <w:rPr/>
            </w:pPr>
            <w:r>
              <w:rPr/>
              <w:t> </w:t>
            </w:r>
          </w:p>
        </w:tc>
      </w:tr>
      <w:tr>
        <w:trPr/>
        <w:tc>
          <w:tcPr>
            <w:tcW w:w="8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Deferred Ambia Consideration Shares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35"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have been no measurement period adjustments since the Ambia Closing. 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449" w:type="dxa"/>
        <w:jc w:val="left"/>
        <w:tblInd w:w="0" w:type="dxa"/>
        <w:tblLayout w:type="fixed"/>
        <w:tblCellMar>
          <w:top w:w="0" w:type="dxa"/>
          <w:left w:w="0" w:type="dxa"/>
          <w:bottom w:w="0" w:type="dxa"/>
          <w:right w:w="0" w:type="dxa"/>
        </w:tblCellMar>
      </w:tblPr>
      <w:tblGrid>
        <w:gridCol w:w="4940"/>
        <w:gridCol w:w="90"/>
        <w:gridCol w:w="240"/>
        <w:gridCol w:w="1009"/>
        <w:gridCol w:w="170"/>
      </w:tblGrid>
      <w:tr>
        <w:trPr/>
        <w:tc>
          <w:tcPr>
            <w:tcW w:w="49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17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1,368</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assets - unbilled receivables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 net</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2,230</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 assets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(2,806</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 noncurrent</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(2,702</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Finance lease liabilities</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common stock issued</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Deferred Ambia Consideration Shares</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9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Ambia Closing,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5864" w:type="dxa"/>
        <w:jc w:val="left"/>
        <w:tblInd w:w="0" w:type="dxa"/>
        <w:tblLayout w:type="fixed"/>
        <w:tblCellMar>
          <w:top w:w="0" w:type="dxa"/>
          <w:left w:w="0" w:type="dxa"/>
          <w:bottom w:w="0" w:type="dxa"/>
          <w:right w:w="0" w:type="dxa"/>
        </w:tblCellMar>
      </w:tblPr>
      <w:tblGrid>
        <w:gridCol w:w="3230"/>
        <w:gridCol w:w="90"/>
        <w:gridCol w:w="1070"/>
        <w:gridCol w:w="90"/>
        <w:gridCol w:w="279"/>
        <w:gridCol w:w="970"/>
        <w:gridCol w:w="135"/>
      </w:tblGrid>
      <w:tr>
        <w:trPr/>
        <w:tc>
          <w:tcPr>
            <w:tcW w:w="32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 - Ambia</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 year</w:t>
            </w:r>
          </w:p>
        </w:tc>
        <w:tc>
          <w:tcPr>
            <w:tcW w:w="90" w:type="dxa"/>
            <w:tcBorders/>
            <w:vAlign w:val="center"/>
          </w:tcPr>
          <w:p>
            <w:pPr>
              <w:pStyle w:val="TableContents"/>
              <w:bidi w:val="0"/>
              <w:spacing w:before="0" w:after="283"/>
              <w:jc w:val="left"/>
              <w:rPr/>
            </w:pPr>
            <w:r>
              <w:rPr/>
              <w:t> </w:t>
            </w:r>
          </w:p>
        </w:tc>
        <w:tc>
          <w:tcPr>
            <w:tcW w:w="279" w:type="dxa"/>
            <w:tcBorders>
              <w:bottom w:val="single" w:sz="12" w:space="0" w:color="000000"/>
            </w:tcBorders>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68"/>
        <w:gridCol w:w="320"/>
        <w:gridCol w:w="800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0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Useful life is based upon customer consumption, expected to occur within one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wherein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 for sales and marketing expenses, upon which management estimates that 100% of Ambia’s sales and marketing expenses are directed at acquiring new customers and are not required to support the backlog; (iv) charges were taken for the use of working capital, fixed assets, workforce and trademarks; and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thirteen week periods presented, as if Sunder and Ambia were acquired on January 1, 2024 and Cobalt was acquired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650"/>
        <w:gridCol w:w="90"/>
        <w:gridCol w:w="187"/>
        <w:gridCol w:w="913"/>
        <w:gridCol w:w="90"/>
        <w:gridCol w:w="90"/>
        <w:gridCol w:w="187"/>
        <w:gridCol w:w="913"/>
        <w:gridCol w:w="135"/>
      </w:tblGrid>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35" w:type="dxa"/>
            <w:tcBorders/>
            <w:vAlign w:val="center"/>
          </w:tcPr>
          <w:p>
            <w:pPr>
              <w:pStyle w:val="TableContents"/>
              <w:bidi w:val="0"/>
              <w:spacing w:before="0" w:after="283"/>
              <w:jc w:val="center"/>
              <w:rPr/>
            </w:pPr>
            <w:r>
              <w:rPr/>
              <w:t> </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135" w:type="dxa"/>
            <w:tcBorders/>
            <w:vAlign w:val="center"/>
          </w:tcPr>
          <w:p>
            <w:pPr>
              <w:pStyle w:val="TableContents"/>
              <w:bidi w:val="0"/>
              <w:spacing w:before="0" w:after="283"/>
              <w:jc w:val="center"/>
              <w:rPr/>
            </w:pPr>
            <w:r>
              <w:rPr/>
              <w:t> </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135" w:type="dxa"/>
            <w:tcBorders/>
            <w:vAlign w:val="center"/>
          </w:tcPr>
          <w:p>
            <w:pPr>
              <w:pStyle w:val="TableContents"/>
              <w:bidi w:val="0"/>
              <w:spacing w:before="0" w:after="283"/>
              <w:jc w:val="center"/>
              <w:rPr/>
            </w:pPr>
            <w:r>
              <w:rPr/>
              <w:t> </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center"/>
              <w:rPr/>
            </w:pPr>
            <w:r>
              <w:rPr/>
              <w:t> </w:t>
            </w:r>
          </w:p>
        </w:tc>
      </w:tr>
      <w:tr>
        <w:trPr/>
        <w:tc>
          <w:tcPr>
            <w:tcW w:w="3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revenue</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101,190</w:t>
            </w:r>
          </w:p>
        </w:tc>
        <w:tc>
          <w:tcPr>
            <w:tcW w:w="13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net income from operations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table below for the Company’s revenue recognized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6703" w:type="dxa"/>
        <w:jc w:val="left"/>
        <w:tblInd w:w="0" w:type="dxa"/>
        <w:tblLayout w:type="fixed"/>
        <w:tblCellMar>
          <w:top w:w="0" w:type="dxa"/>
          <w:left w:w="0" w:type="dxa"/>
          <w:bottom w:w="0" w:type="dxa"/>
          <w:right w:w="0" w:type="dxa"/>
        </w:tblCellMar>
      </w:tblPr>
      <w:tblGrid>
        <w:gridCol w:w="4100"/>
        <w:gridCol w:w="90"/>
        <w:gridCol w:w="212"/>
        <w:gridCol w:w="887"/>
        <w:gridCol w:w="90"/>
        <w:gridCol w:w="90"/>
        <w:gridCol w:w="212"/>
        <w:gridCol w:w="887"/>
        <w:gridCol w:w="135"/>
      </w:tblGrid>
      <w:tr>
        <w:trPr/>
        <w:tc>
          <w:tcPr>
            <w:tcW w:w="4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1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br/>
              <w:t>2025</w:t>
            </w:r>
          </w:p>
        </w:tc>
        <w:tc>
          <w:tcPr>
            <w:tcW w:w="1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 Solar Installation</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Residential Solar Installation</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Homes Business</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15,466</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New Homes Business</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41,909</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Dealer</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Dealer</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78,413</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over time</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51,970</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at a point in time</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was generated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863" w:type="dxa"/>
        <w:jc w:val="left"/>
        <w:tblInd w:w="0" w:type="dxa"/>
        <w:tblLayout w:type="fixed"/>
        <w:tblCellMar>
          <w:top w:w="0" w:type="dxa"/>
          <w:left w:w="0" w:type="dxa"/>
          <w:bottom w:w="0" w:type="dxa"/>
          <w:right w:w="0" w:type="dxa"/>
        </w:tblCellMar>
      </w:tblPr>
      <w:tblGrid>
        <w:gridCol w:w="2915"/>
        <w:gridCol w:w="90"/>
        <w:gridCol w:w="212"/>
        <w:gridCol w:w="887"/>
        <w:gridCol w:w="90"/>
        <w:gridCol w:w="90"/>
        <w:gridCol w:w="278"/>
        <w:gridCol w:w="1166"/>
        <w:gridCol w:w="135"/>
      </w:tblGrid>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3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3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current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20,336</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noncurrent</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contract liabilities</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21,130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recognized in the current period from contract liabilities as of December 28, 2025 was $18.5 million in the thirteen week period ended March 29,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5060"/>
        <w:gridCol w:w="90"/>
        <w:gridCol w:w="175"/>
        <w:gridCol w:w="609"/>
        <w:gridCol w:w="90"/>
        <w:gridCol w:w="90"/>
        <w:gridCol w:w="289"/>
        <w:gridCol w:w="495"/>
        <w:gridCol w:w="90"/>
        <w:gridCol w:w="90"/>
        <w:gridCol w:w="170"/>
        <w:gridCol w:w="830"/>
        <w:gridCol w:w="90"/>
        <w:gridCol w:w="90"/>
        <w:gridCol w:w="170"/>
        <w:gridCol w:w="830"/>
        <w:gridCol w:w="135"/>
      </w:tblGrid>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10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Cobalt Consideration Shares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110,044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489" w:type="dxa"/>
        <w:jc w:val="left"/>
        <w:tblInd w:w="0" w:type="dxa"/>
        <w:tblLayout w:type="fixed"/>
        <w:tblCellMar>
          <w:top w:w="0" w:type="dxa"/>
          <w:left w:w="0" w:type="dxa"/>
          <w:bottom w:w="0" w:type="dxa"/>
          <w:right w:w="0" w:type="dxa"/>
        </w:tblCellMar>
      </w:tblPr>
      <w:tblGrid>
        <w:gridCol w:w="5060"/>
        <w:gridCol w:w="90"/>
        <w:gridCol w:w="170"/>
        <w:gridCol w:w="710"/>
        <w:gridCol w:w="90"/>
        <w:gridCol w:w="90"/>
        <w:gridCol w:w="289"/>
        <w:gridCol w:w="495"/>
        <w:gridCol w:w="90"/>
        <w:gridCol w:w="90"/>
        <w:gridCol w:w="170"/>
        <w:gridCol w:w="830"/>
        <w:gridCol w:w="90"/>
        <w:gridCol w:w="90"/>
        <w:gridCol w:w="170"/>
        <w:gridCol w:w="830"/>
        <w:gridCol w:w="135"/>
      </w:tblGrid>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Sunder Consideration Shares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132,089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“November 2025 Note” and “January 2026 Note”) all of which are defined in </w:t>
            </w:r>
            <w:r>
              <w:rPr>
                <w:rFonts w:ascii="Times New Roman;Times;Serif" w:hAnsi="Times New Roman;Times;Serif"/>
                <w:b/>
                <w:sz w:val="20"/>
              </w:rPr>
              <w:t>Note 9 – Borrowings and Derivative Liabilities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1055" w:type="dxa"/>
        <w:jc w:val="left"/>
        <w:tblInd w:w="0" w:type="dxa"/>
        <w:tblLayout w:type="fixed"/>
        <w:tblCellMar>
          <w:top w:w="0" w:type="dxa"/>
          <w:left w:w="0" w:type="dxa"/>
          <w:bottom w:w="0" w:type="dxa"/>
          <w:right w:w="0" w:type="dxa"/>
        </w:tblCellMar>
      </w:tblPr>
      <w:tblGrid>
        <w:gridCol w:w="1385"/>
        <w:gridCol w:w="90"/>
        <w:gridCol w:w="195"/>
        <w:gridCol w:w="905"/>
        <w:gridCol w:w="125"/>
        <w:gridCol w:w="90"/>
        <w:gridCol w:w="241"/>
        <w:gridCol w:w="1009"/>
        <w:gridCol w:w="90"/>
        <w:gridCol w:w="90"/>
        <w:gridCol w:w="269"/>
        <w:gridCol w:w="936"/>
        <w:gridCol w:w="90"/>
        <w:gridCol w:w="90"/>
        <w:gridCol w:w="370"/>
        <w:gridCol w:w="895"/>
        <w:gridCol w:w="90"/>
        <w:gridCol w:w="90"/>
        <w:gridCol w:w="212"/>
        <w:gridCol w:w="738"/>
        <w:gridCol w:w="125"/>
        <w:gridCol w:w="90"/>
        <w:gridCol w:w="287"/>
        <w:gridCol w:w="1203"/>
        <w:gridCol w:w="125"/>
        <w:gridCol w:w="90"/>
        <w:gridCol w:w="170"/>
        <w:gridCol w:w="830"/>
        <w:gridCol w:w="135"/>
      </w:tblGrid>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30"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3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Convertible</w:t>
              <w:br/>
              <w:t>debt at fair</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Deferred</w:t>
              <w:br/>
              <w:t>Consideration</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28, 2025</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19,338</w:t>
            </w:r>
          </w:p>
        </w:tc>
        <w:tc>
          <w:tcPr>
            <w:tcW w:w="13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(26,608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bottom w:val="single" w:sz="12" w:space="0" w:color="000000"/>
            </w:tcBorders>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(28,255</w:t>
            </w:r>
          </w:p>
        </w:tc>
        <w:tc>
          <w:tcPr>
            <w:tcW w:w="1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29, 2026</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1"/>
        <w:gridCol w:w="90"/>
        <w:gridCol w:w="195"/>
        <w:gridCol w:w="905"/>
        <w:gridCol w:w="125"/>
        <w:gridCol w:w="90"/>
        <w:gridCol w:w="269"/>
        <w:gridCol w:w="936"/>
        <w:gridCol w:w="125"/>
        <w:gridCol w:w="90"/>
        <w:gridCol w:w="370"/>
        <w:gridCol w:w="895"/>
        <w:gridCol w:w="90"/>
        <w:gridCol w:w="90"/>
        <w:gridCol w:w="212"/>
        <w:gridCol w:w="738"/>
        <w:gridCol w:w="90"/>
        <w:gridCol w:w="90"/>
        <w:gridCol w:w="170"/>
        <w:gridCol w:w="830"/>
        <w:gridCol w:w="144"/>
      </w:tblGrid>
      <w:tr>
        <w:trPr/>
        <w:tc>
          <w:tcPr>
            <w:tcW w:w="36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10"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144" w:type="dxa"/>
            <w:tcBorders/>
            <w:vAlign w:val="center"/>
          </w:tcPr>
          <w:p>
            <w:pPr>
              <w:pStyle w:val="TableContents"/>
              <w:bidi w:val="0"/>
              <w:spacing w:before="0" w:after="283"/>
              <w:jc w:val="left"/>
              <w:rPr/>
            </w:pPr>
            <w:r>
              <w:rPr/>
              <w:t> </w:t>
            </w:r>
          </w:p>
        </w:tc>
      </w:tr>
      <w:tr>
        <w:trPr/>
        <w:tc>
          <w:tcPr>
            <w:tcW w:w="366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44" w:type="dxa"/>
            <w:tcBorders/>
            <w:vAlign w:val="center"/>
          </w:tcPr>
          <w:p>
            <w:pPr>
              <w:pStyle w:val="TableContents"/>
              <w:bidi w:val="0"/>
              <w:spacing w:before="0" w:after="283"/>
              <w:ind w:left="0" w:right="0" w:hanging="180"/>
              <w:jc w:val="left"/>
              <w:rPr/>
            </w:pPr>
            <w:r>
              <w:rPr/>
              <w:t> </w:t>
            </w:r>
          </w:p>
        </w:tc>
      </w:tr>
      <w:tr>
        <w:trPr/>
        <w:tc>
          <w:tcPr>
            <w:tcW w:w="36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101,699</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6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44" w:type="dxa"/>
            <w:tcBorders/>
            <w:vAlign w:val="center"/>
          </w:tcPr>
          <w:p>
            <w:pPr>
              <w:pStyle w:val="TableContents"/>
              <w:bidi w:val="0"/>
              <w:spacing w:before="0" w:after="283"/>
              <w:ind w:left="0" w:right="0" w:hanging="180"/>
              <w:jc w:val="left"/>
              <w:rPr/>
            </w:pPr>
            <w:r>
              <w:rPr/>
              <w:t> </w:t>
            </w:r>
          </w:p>
        </w:tc>
      </w:tr>
      <w:tr>
        <w:trPr/>
        <w:tc>
          <w:tcPr>
            <w:tcW w:w="36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6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69" w:type="dxa"/>
            <w:tcBorders>
              <w:bottom w:val="single" w:sz="12" w:space="0" w:color="000000"/>
            </w:tcBorders>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(14,887</w:t>
            </w:r>
          </w:p>
        </w:tc>
        <w:tc>
          <w:tcPr>
            <w:tcW w:w="144"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6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30, 2025</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86,812</w:t>
            </w:r>
          </w:p>
        </w:tc>
        <w:tc>
          <w:tcPr>
            <w:tcW w:w="14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issuance, changes in the fair value of the derivative liabilities, liability classified warrants, forward purchase agreements and SAFEs are recorded within Other non-operating income, net in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(refer to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March 29, 2026 and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March 29, 2026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7"/>
        <w:gridCol w:w="90"/>
        <w:gridCol w:w="170"/>
        <w:gridCol w:w="710"/>
        <w:gridCol w:w="245"/>
        <w:gridCol w:w="90"/>
        <w:gridCol w:w="170"/>
        <w:gridCol w:w="710"/>
        <w:gridCol w:w="245"/>
        <w:gridCol w:w="90"/>
        <w:gridCol w:w="226"/>
        <w:gridCol w:w="949"/>
        <w:gridCol w:w="245"/>
        <w:gridCol w:w="90"/>
        <w:gridCol w:w="174"/>
        <w:gridCol w:w="731"/>
        <w:gridCol w:w="245"/>
        <w:gridCol w:w="90"/>
        <w:gridCol w:w="200"/>
        <w:gridCol w:w="832"/>
        <w:gridCol w:w="286"/>
        <w:gridCol w:w="104"/>
        <w:gridCol w:w="200"/>
        <w:gridCol w:w="832"/>
        <w:gridCol w:w="294"/>
      </w:tblGrid>
      <w:tr>
        <w:trPr/>
        <w:tc>
          <w:tcPr>
            <w:tcW w:w="21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45" w:type="dxa"/>
            <w:gridSpan w:val="14"/>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12.0% Senior Unsecured Convertible Notes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94" w:type="dxa"/>
            <w:tcBorders/>
            <w:vAlign w:val="center"/>
          </w:tcPr>
          <w:p>
            <w:pPr>
              <w:pStyle w:val="TableContents"/>
              <w:bidi w:val="0"/>
              <w:spacing w:before="0" w:after="283"/>
              <w:jc w:val="left"/>
              <w:rPr/>
            </w:pPr>
            <w:r>
              <w:rPr/>
              <w:t> </w:t>
            </w:r>
          </w:p>
        </w:tc>
      </w:tr>
      <w:tr>
        <w:trPr/>
        <w:tc>
          <w:tcPr>
            <w:tcW w:w="21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w:t>
              <w:br/>
              <w:t>2024</w:t>
              <w:br/>
              <w:t>Notes</w:t>
            </w:r>
            <w:r>
              <w:rPr>
                <w:rFonts w:ascii="Times New Roman;Times;Serif" w:hAnsi="Times New Roman;Times;Serif"/>
                <w:b/>
                <w:position w:val="7"/>
                <w:sz w:val="16"/>
                <w:sz w:val="20"/>
              </w:rPr>
              <w:t>(1)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November</w:t>
              <w:br/>
              <w:t xml:space="preserve">2025 </w:t>
              <w:br/>
              <w:t>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w:t>
              <w:br/>
              <w:t xml:space="preserve">2026 </w:t>
              <w:br/>
              <w:t>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86"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94" w:type="dxa"/>
            <w:tcBorders/>
            <w:vAlign w:val="center"/>
          </w:tcPr>
          <w:p>
            <w:pPr>
              <w:pStyle w:val="TableContents"/>
              <w:bidi w:val="0"/>
              <w:spacing w:before="0" w:after="283"/>
              <w:jc w:val="left"/>
              <w:rPr/>
            </w:pPr>
            <w:r>
              <w:rPr/>
              <w:t> </w:t>
            </w:r>
          </w:p>
        </w:tc>
      </w:tr>
      <w:tr>
        <w:trPr/>
        <w:tc>
          <w:tcPr>
            <w:tcW w:w="2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86"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94" w:type="dxa"/>
            <w:tcBorders/>
            <w:vAlign w:val="center"/>
          </w:tcPr>
          <w:p>
            <w:pPr>
              <w:pStyle w:val="TableContents"/>
              <w:bidi w:val="0"/>
              <w:spacing w:before="0" w:after="283"/>
              <w:jc w:val="left"/>
              <w:rPr/>
            </w:pPr>
            <w:r>
              <w:rPr/>
              <w:t> </w:t>
            </w:r>
          </w:p>
        </w:tc>
      </w:tr>
      <w:tr>
        <w:trPr/>
        <w:tc>
          <w:tcPr>
            <w:tcW w:w="2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86"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94" w:type="dxa"/>
            <w:tcBorders/>
            <w:shd w:fill="CCEEFF" w:val="clear"/>
            <w:vAlign w:val="center"/>
          </w:tcPr>
          <w:p>
            <w:pPr>
              <w:pStyle w:val="TableContents"/>
              <w:bidi w:val="0"/>
              <w:spacing w:before="0" w:after="283"/>
              <w:jc w:val="left"/>
              <w:rPr/>
            </w:pPr>
            <w:r>
              <w:rPr/>
              <w:t> </w:t>
            </w:r>
          </w:p>
        </w:tc>
      </w:tr>
      <w:tr>
        <w:trPr/>
        <w:tc>
          <w:tcPr>
            <w:tcW w:w="2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86"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94" w:type="dxa"/>
            <w:tcBorders/>
            <w:vAlign w:val="center"/>
          </w:tcPr>
          <w:p>
            <w:pPr>
              <w:pStyle w:val="TableContents"/>
              <w:bidi w:val="0"/>
              <w:spacing w:before="0" w:after="283"/>
              <w:jc w:val="left"/>
              <w:rPr/>
            </w:pPr>
            <w:r>
              <w:rPr/>
              <w:t> </w:t>
            </w:r>
          </w:p>
        </w:tc>
      </w:tr>
      <w:tr>
        <w:trPr/>
        <w:tc>
          <w:tcPr>
            <w:tcW w:w="2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8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9871" w:type="dxa"/>
        <w:jc w:val="left"/>
        <w:tblInd w:w="0" w:type="dxa"/>
        <w:tblLayout w:type="fixed"/>
        <w:tblCellMar>
          <w:top w:w="0" w:type="dxa"/>
          <w:left w:w="0" w:type="dxa"/>
          <w:bottom w:w="0" w:type="dxa"/>
          <w:right w:w="0" w:type="dxa"/>
        </w:tblCellMar>
      </w:tblPr>
      <w:tblGrid>
        <w:gridCol w:w="2225"/>
        <w:gridCol w:w="90"/>
        <w:gridCol w:w="229"/>
        <w:gridCol w:w="959"/>
        <w:gridCol w:w="331"/>
        <w:gridCol w:w="121"/>
        <w:gridCol w:w="229"/>
        <w:gridCol w:w="959"/>
        <w:gridCol w:w="331"/>
        <w:gridCol w:w="121"/>
        <w:gridCol w:w="229"/>
        <w:gridCol w:w="959"/>
        <w:gridCol w:w="245"/>
        <w:gridCol w:w="90"/>
        <w:gridCol w:w="200"/>
        <w:gridCol w:w="835"/>
        <w:gridCol w:w="288"/>
        <w:gridCol w:w="105"/>
        <w:gridCol w:w="200"/>
        <w:gridCol w:w="835"/>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8"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12.0% Senior Unsecured Convertible Notes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9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July </w:t>
              <w:br/>
              <w:t>2024</w:t>
              <w:br/>
              <w:t>Notes</w:t>
            </w:r>
            <w:r>
              <w:rPr>
                <w:rFonts w:ascii="Times New Roman;Times;Serif" w:hAnsi="Times New Roman;Times;Serif"/>
                <w:b/>
                <w:position w:val="7"/>
                <w:sz w:val="16"/>
                <w:sz w:val="20"/>
              </w:rPr>
              <w:t>(1)</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November</w:t>
              <w:br/>
              <w:t>2025</w:t>
              <w:br/>
              <w:t>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8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8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33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33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88"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9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8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w:t>
            </w:r>
          </w:p>
        </w:tc>
        <w:tc>
          <w:tcPr>
            <w:tcW w:w="3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w:t>
            </w:r>
          </w:p>
        </w:tc>
        <w:tc>
          <w:tcPr>
            <w:tcW w:w="3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8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conversion option is derived based upon the above assumptions plus a make-whole provision which is based upon changes in the Company’s stock price and the conversion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 Million Note and 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$1.9 Million Note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issued on January 27, 2026 in connection with the Standby Equity Purchase Agreement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and the March 2026 Bridge Note (as defined in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issued on March 6, 2026. The $1.9 Million Note and March 2026 Bridge Note were measured at fair value on a recurring basis and classified as a Level 3 liability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each obligation using a Monte Carlo simulation model, which captures the economic characteristics of the instrument, including its variable conversion price feature that is dependent on future market prices of the Company’s common stock. The Company utilized a “Bond plus Option” approach, where the value of upside plus amortization was determined in a simulation and the value related to principal repayment was calculated as a single payment of principal at maturity. The Company simulated its stock price from the valuation date to maturity date, at a daily step.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$1.9 Million Note, on each of the simulated paths, the Company (i) tested for an amortization trigger as applicable; and (ii) assumed that the maturity date will not be extended. Once the payoffs for all simulation paths were determined according to above, they were discounted back to the valuation date at the risk-free rate in case the $1.9 Million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March 2026 Bridge Note, on each of the simulated paths, the Company determined the maximum payoff on each installment date based on conversion price. Once the payoffs for all simulation paths were determined according to above, they were discounted back to the valuation date at the risk-free rate in case the March 2026 Bridge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obligations was each calculated as the average present value across all simulation paths plus present value of debt component. The model was calibrated to transaction proceeds by varying credit risk-adjusted rate in the model. The change in yields between the valuation dates was applied to the credit risk-adjusted rate to account for market changes. Thus, these obligations are classified within Level 3 of the fair value hierarchy as the fair values are based upon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for the simulation include stock price, simulation period and volatility of the Company’s common stock and were as follows as of March 29, 2026:</w:t>
      </w:r>
    </w:p>
    <w:p>
      <w:pPr>
        <w:pStyle w:val="TextBody"/>
        <w:bidi w:val="0"/>
        <w:spacing w:before="0" w:after="0"/>
        <w:ind w:left="0" w:right="0" w:hanging="0"/>
        <w:jc w:val="both"/>
        <w:rPr>
          <w:caps w:val="false"/>
          <w:smallCaps w:val="false"/>
        </w:rPr>
      </w:pPr>
      <w:r>
        <w:rPr>
          <w:caps w:val="false"/>
          <w:smallCaps w:val="false"/>
        </w:rPr>
        <w:t> </w:t>
      </w:r>
    </w:p>
    <w:tbl>
      <w:tblPr>
        <w:tblW w:w="5558" w:type="dxa"/>
        <w:jc w:val="left"/>
        <w:tblInd w:w="0" w:type="dxa"/>
        <w:tblLayout w:type="fixed"/>
        <w:tblCellMar>
          <w:top w:w="0" w:type="dxa"/>
          <w:left w:w="0" w:type="dxa"/>
          <w:bottom w:w="0" w:type="dxa"/>
          <w:right w:w="0" w:type="dxa"/>
        </w:tblCellMar>
      </w:tblPr>
      <w:tblGrid>
        <w:gridCol w:w="2315"/>
        <w:gridCol w:w="90"/>
        <w:gridCol w:w="203"/>
        <w:gridCol w:w="1046"/>
        <w:gridCol w:w="245"/>
        <w:gridCol w:w="90"/>
        <w:gridCol w:w="208"/>
        <w:gridCol w:w="1071"/>
        <w:gridCol w:w="290"/>
      </w:tblGrid>
      <w:tr>
        <w:trPr/>
        <w:tc>
          <w:tcPr>
            <w:tcW w:w="23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$1.9 Million</w:t>
              <w:br/>
              <w:t>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2026</w:t>
              <w:br/>
              <w:t>Bridge Note</w:t>
            </w:r>
          </w:p>
        </w:tc>
        <w:tc>
          <w:tcPr>
            <w:tcW w:w="29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VWAP stock price</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90"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Simulation period</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0.83 years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0.94 years</w:t>
            </w:r>
          </w:p>
        </w:tc>
        <w:tc>
          <w:tcPr>
            <w:tcW w:w="29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risk-adjusted rate</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reflects a probability-weighted assessment of settlement outcomes, including conversion into equity versus cash repayment scenarios, and captures the optionality inherent in the instrument. Changes in these assumptions, particularly stock price volatility, credit spread, and the likelihood of conversion, can result in significant fluctuations in the estimated fair value. Changes in fair value are recognized in operating results within “Other non-operating income, net,” in the Company’s unaudited condensed consolidated statements of operations and comprehensive income, and no separate interest expense is recorded, as the fair value measurement incorporates the economic cost of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618" w:type="dxa"/>
        <w:jc w:val="left"/>
        <w:tblInd w:w="0" w:type="dxa"/>
        <w:tblLayout w:type="fixed"/>
        <w:tblCellMar>
          <w:top w:w="0" w:type="dxa"/>
          <w:left w:w="0" w:type="dxa"/>
          <w:bottom w:w="0" w:type="dxa"/>
          <w:right w:w="0" w:type="dxa"/>
        </w:tblCellMar>
      </w:tblPr>
      <w:tblGrid>
        <w:gridCol w:w="2360"/>
        <w:gridCol w:w="90"/>
        <w:gridCol w:w="178"/>
        <w:gridCol w:w="921"/>
        <w:gridCol w:w="245"/>
        <w:gridCol w:w="90"/>
        <w:gridCol w:w="322"/>
        <w:gridCol w:w="1122"/>
        <w:gridCol w:w="290"/>
      </w:tblGrid>
      <w:tr>
        <w:trPr/>
        <w:tc>
          <w:tcPr>
            <w:tcW w:w="23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8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9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9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9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term</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 years</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290" w:type="dxa"/>
            <w:tcBorders/>
            <w:shd w:fill="CCEEFF"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9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price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90" w:type="dxa"/>
            <w:tcBorders/>
            <w:shd w:fill="CCEEFF"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volatility</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268.3</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dividend yield</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March 29, 2026 and December 28, 2025.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(“FPA”)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5123" w:type="dxa"/>
        <w:jc w:val="left"/>
        <w:tblInd w:w="0" w:type="dxa"/>
        <w:tblLayout w:type="fixed"/>
        <w:tblCellMar>
          <w:top w:w="0" w:type="dxa"/>
          <w:left w:w="0" w:type="dxa"/>
          <w:bottom w:w="0" w:type="dxa"/>
          <w:right w:w="0" w:type="dxa"/>
        </w:tblCellMar>
      </w:tblPr>
      <w:tblGrid>
        <w:gridCol w:w="1865"/>
        <w:gridCol w:w="90"/>
        <w:gridCol w:w="178"/>
        <w:gridCol w:w="921"/>
        <w:gridCol w:w="245"/>
        <w:gridCol w:w="90"/>
        <w:gridCol w:w="382"/>
        <w:gridCol w:w="1062"/>
        <w:gridCol w:w="290"/>
      </w:tblGrid>
      <w:tr>
        <w:trPr/>
        <w:tc>
          <w:tcPr>
            <w:tcW w:w="18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VWAP stock price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Simulation period</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 years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March 29, 2026 and December 28, 2025.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March 29, 2026 and December 28, 2025.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Ambia consideration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deferred consideration shares using a Turnbull–Wakeman closed-form approximation for arithmetic average-rate options, with Black-Scholes values used as an upper bound. The valuation as of March 29, 2026, was based on a stock price of $1.25 and key assumptions including expected volatility of approximately 52% to 72%, risk-free rates of approximately 3.74% to 3.76%, zero dividend yield, and defined averaging periods over the contractual terms. The resulting fair values reflect per-unit option values of approximately $0.26 to $0.38 corresponding to total estimated value of $13.9 million. The fair value of the deferred consideration shares as of December 28, 2025 of $16.9 million was estimated using the Company’s closing share price for its common stock of $1.61 at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was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 not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tables set forth the Company’s financial liabilities that are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529" w:type="dxa"/>
        <w:jc w:val="left"/>
        <w:tblInd w:w="0" w:type="dxa"/>
        <w:tblLayout w:type="fixed"/>
        <w:tblCellMar>
          <w:top w:w="0" w:type="dxa"/>
          <w:left w:w="0" w:type="dxa"/>
          <w:bottom w:w="0" w:type="dxa"/>
          <w:right w:w="0" w:type="dxa"/>
        </w:tblCellMar>
      </w:tblPr>
      <w:tblGrid>
        <w:gridCol w:w="4280"/>
        <w:gridCol w:w="90"/>
        <w:gridCol w:w="170"/>
        <w:gridCol w:w="830"/>
        <w:gridCol w:w="90"/>
        <w:gridCol w:w="90"/>
        <w:gridCol w:w="246"/>
        <w:gridCol w:w="1139"/>
        <w:gridCol w:w="125"/>
        <w:gridCol w:w="90"/>
        <w:gridCol w:w="189"/>
        <w:gridCol w:w="791"/>
        <w:gridCol w:w="90"/>
        <w:gridCol w:w="90"/>
        <w:gridCol w:w="184"/>
        <w:gridCol w:w="900"/>
        <w:gridCol w:w="135"/>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2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26,724</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17,086</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4,494</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(37,851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45,830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7,461</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53,291</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18,793</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140,816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(85,157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125,314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529" w:type="dxa"/>
        <w:jc w:val="left"/>
        <w:tblInd w:w="0" w:type="dxa"/>
        <w:tblLayout w:type="fixed"/>
        <w:tblCellMar>
          <w:top w:w="0" w:type="dxa"/>
          <w:left w:w="0" w:type="dxa"/>
          <w:bottom w:w="0" w:type="dxa"/>
          <w:right w:w="0" w:type="dxa"/>
        </w:tblCellMar>
      </w:tblPr>
      <w:tblGrid>
        <w:gridCol w:w="4280"/>
        <w:gridCol w:w="90"/>
        <w:gridCol w:w="170"/>
        <w:gridCol w:w="830"/>
        <w:gridCol w:w="90"/>
        <w:gridCol w:w="90"/>
        <w:gridCol w:w="246"/>
        <w:gridCol w:w="1139"/>
        <w:gridCol w:w="125"/>
        <w:gridCol w:w="90"/>
        <w:gridCol w:w="189"/>
        <w:gridCol w:w="791"/>
        <w:gridCol w:w="90"/>
        <w:gridCol w:w="90"/>
        <w:gridCol w:w="184"/>
        <w:gridCol w:w="900"/>
        <w:gridCol w:w="135"/>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2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33,165</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21,204</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54,369</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5,641</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(42,211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59,425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68,305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24,227</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(88,528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154,902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$9.6 million and $10.8 million as of March 29, 2026, and December 28, 2025,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73" w:type="dxa"/>
        <w:jc w:val="left"/>
        <w:tblInd w:w="0" w:type="dxa"/>
        <w:tblLayout w:type="fixed"/>
        <w:tblCellMar>
          <w:top w:w="0" w:type="dxa"/>
          <w:left w:w="0" w:type="dxa"/>
          <w:bottom w:w="0" w:type="dxa"/>
          <w:right w:w="0" w:type="dxa"/>
        </w:tblCellMar>
      </w:tblPr>
      <w:tblGrid>
        <w:gridCol w:w="4625"/>
        <w:gridCol w:w="90"/>
        <w:gridCol w:w="212"/>
        <w:gridCol w:w="887"/>
        <w:gridCol w:w="90"/>
        <w:gridCol w:w="90"/>
        <w:gridCol w:w="278"/>
        <w:gridCol w:w="1166"/>
        <w:gridCol w:w="135"/>
      </w:tblGrid>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3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3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Costs to obtain contracts and costs to fulfill contracts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7,361</w:t>
            </w:r>
          </w:p>
        </w:tc>
        <w:tc>
          <w:tcPr>
            <w:tcW w:w="13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9,552</w:t>
            </w:r>
          </w:p>
        </w:tc>
        <w:tc>
          <w:tcPr>
            <w:tcW w:w="13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16,913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783" w:type="dxa"/>
        <w:jc w:val="left"/>
        <w:tblInd w:w="0" w:type="dxa"/>
        <w:tblLayout w:type="fixed"/>
        <w:tblCellMar>
          <w:top w:w="0" w:type="dxa"/>
          <w:left w:w="0" w:type="dxa"/>
          <w:bottom w:w="0" w:type="dxa"/>
          <w:right w:w="0" w:type="dxa"/>
        </w:tblCellMar>
      </w:tblPr>
      <w:tblGrid>
        <w:gridCol w:w="4835"/>
        <w:gridCol w:w="90"/>
        <w:gridCol w:w="212"/>
        <w:gridCol w:w="887"/>
        <w:gridCol w:w="90"/>
        <w:gridCol w:w="90"/>
        <w:gridCol w:w="278"/>
        <w:gridCol w:w="1166"/>
        <w:gridCol w:w="135"/>
      </w:tblGrid>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compensation and benefits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7,202</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settlements</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rebates and credits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7,564</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financing fees</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financing deposits with related parties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6,301</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19,194</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56,977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$2.2 million and $2.6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Goodwill and Other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the Company completed the acquisition of Cobalt and assigned provisional goodwill of $9.3 million to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March 29, 2026 and December 28, 2025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4250"/>
        <w:gridCol w:w="90"/>
        <w:gridCol w:w="237"/>
        <w:gridCol w:w="997"/>
        <w:gridCol w:w="90"/>
        <w:gridCol w:w="90"/>
        <w:gridCol w:w="244"/>
        <w:gridCol w:w="1020"/>
        <w:gridCol w:w="90"/>
        <w:gridCol w:w="90"/>
        <w:gridCol w:w="170"/>
        <w:gridCol w:w="710"/>
        <w:gridCol w:w="90"/>
        <w:gridCol w:w="90"/>
        <w:gridCol w:w="170"/>
        <w:gridCol w:w="710"/>
        <w:gridCol w:w="135"/>
      </w:tblGrid>
      <w:tr>
        <w:trPr/>
        <w:tc>
          <w:tcPr>
            <w:tcW w:w="4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Residential </w:t>
              <w:br/>
              <w:t xml:space="preserve">Solar </w:t>
              <w:br/>
              <w:t>Installation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Balance as of December 28, 2025</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Goodwill</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30,808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62,630</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Accumulated impairment losses</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30,808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62,630</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Measurement period adjustments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Goodwill acquired in business combinations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12,977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12,977</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Balance as of March 29, 2026</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30,808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12,977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75,607</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Accumulated impairment losses</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97" w:type="dxa"/>
            <w:tcBorders>
              <w:bottom w:val="double" w:sz="10" w:space="0" w:color="000000"/>
            </w:tcBorders>
            <w:shd w:fill="CCEEFF" w:val="clear"/>
            <w:tcMar>
              <w:bottom w:w="28" w:type="dxa"/>
            </w:tcMar>
            <w:vAlign w:val="center"/>
          </w:tcPr>
          <w:p>
            <w:pPr>
              <w:pStyle w:val="TableContents"/>
              <w:bidi w:val="0"/>
              <w:spacing w:before="0" w:after="283"/>
              <w:jc w:val="right"/>
              <w:rPr/>
            </w:pPr>
            <w:r>
              <w:rPr/>
              <w:t>30,808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pPr>
            <w:r>
              <w:rPr/>
              <w:t>12,977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75,607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March 29, 2026 and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13" w:type="dxa"/>
        <w:jc w:val="left"/>
        <w:tblInd w:w="0" w:type="dxa"/>
        <w:tblLayout w:type="fixed"/>
        <w:tblCellMar>
          <w:top w:w="0" w:type="dxa"/>
          <w:left w:w="0" w:type="dxa"/>
          <w:bottom w:w="28" w:type="dxa"/>
          <w:right w:w="0" w:type="dxa"/>
        </w:tblCellMar>
      </w:tblPr>
      <w:tblGrid>
        <w:gridCol w:w="2750"/>
        <w:gridCol w:w="90"/>
        <w:gridCol w:w="180"/>
        <w:gridCol w:w="754"/>
        <w:gridCol w:w="90"/>
        <w:gridCol w:w="90"/>
        <w:gridCol w:w="285"/>
        <w:gridCol w:w="1115"/>
        <w:gridCol w:w="125"/>
        <w:gridCol w:w="90"/>
        <w:gridCol w:w="195"/>
        <w:gridCol w:w="814"/>
        <w:gridCol w:w="135"/>
      </w:tblGrid>
      <w:tr>
        <w:trPr/>
        <w:tc>
          <w:tcPr>
            <w:tcW w:w="275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March 29, 2026</w:t>
            </w:r>
          </w:p>
        </w:tc>
        <w:tc>
          <w:tcPr>
            <w:tcW w:w="9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30,152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90" w:type="dxa"/>
            <w:tcBorders/>
            <w:tcMar>
              <w:bottom w:w="0" w:type="dxa"/>
            </w:tcMar>
            <w:vAlign w:val="center"/>
          </w:tcPr>
          <w:p>
            <w:pPr>
              <w:pStyle w:val="TableContents"/>
              <w:bidi w:val="0"/>
              <w:spacing w:before="0" w:after="283"/>
              <w:jc w:val="left"/>
              <w:rPr/>
            </w:pPr>
            <w:r>
              <w:rPr/>
              <w:t> </w:t>
            </w:r>
          </w:p>
        </w:tc>
        <w:tc>
          <w:tcPr>
            <w:tcW w:w="180" w:type="dxa"/>
            <w:tcBorders/>
            <w:tcMar>
              <w:bottom w:w="0" w:type="dxa"/>
            </w:tcMar>
            <w:vAlign w:val="center"/>
          </w:tcPr>
          <w:p>
            <w:pPr>
              <w:pStyle w:val="TableContents"/>
              <w:bidi w:val="0"/>
              <w:spacing w:before="0" w:after="283"/>
              <w:jc w:val="left"/>
              <w:rPr/>
            </w:pPr>
            <w:r>
              <w:rPr/>
              <w:t> </w:t>
            </w:r>
          </w:p>
        </w:tc>
        <w:tc>
          <w:tcPr>
            <w:tcW w:w="75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95" w:type="dxa"/>
            <w:tcBorders/>
            <w:tcMar>
              <w:bottom w:w="0" w:type="dxa"/>
            </w:tcMar>
            <w:vAlign w:val="center"/>
          </w:tcPr>
          <w:p>
            <w:pPr>
              <w:pStyle w:val="TableContents"/>
              <w:bidi w:val="0"/>
              <w:spacing w:before="0" w:after="283"/>
              <w:jc w:val="left"/>
              <w:rPr/>
            </w:pPr>
            <w:r>
              <w:rPr/>
              <w:t> </w:t>
            </w:r>
          </w:p>
        </w:tc>
        <w:tc>
          <w:tcPr>
            <w:tcW w:w="81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18,043</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 intangible asset</w:t>
            </w:r>
          </w:p>
        </w:tc>
        <w:tc>
          <w:tcPr>
            <w:tcW w:w="90" w:type="dxa"/>
            <w:tcBorders/>
            <w:tcMar>
              <w:bottom w:w="0" w:type="dxa"/>
            </w:tcMar>
            <w:vAlign w:val="center"/>
          </w:tcPr>
          <w:p>
            <w:pPr>
              <w:pStyle w:val="TableContents"/>
              <w:bidi w:val="0"/>
              <w:spacing w:before="0" w:after="283"/>
              <w:jc w:val="left"/>
              <w:rPr/>
            </w:pPr>
            <w:r>
              <w:rPr/>
              <w:t> </w:t>
            </w:r>
          </w:p>
        </w:tc>
        <w:tc>
          <w:tcPr>
            <w:tcW w:w="180" w:type="dxa"/>
            <w:tcBorders>
              <w:bottom w:val="single" w:sz="12" w:space="0" w:color="000000"/>
            </w:tcBorders>
            <w:vAlign w:val="center"/>
          </w:tcPr>
          <w:p>
            <w:pPr>
              <w:pStyle w:val="TableContents"/>
              <w:bidi w:val="0"/>
              <w:spacing w:before="0" w:after="283"/>
              <w:jc w:val="left"/>
              <w:rPr/>
            </w:pPr>
            <w:r>
              <w:rPr/>
              <w:t> </w:t>
            </w:r>
          </w:p>
        </w:tc>
        <w:tc>
          <w:tcPr>
            <w:tcW w:w="754"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vAlign w:val="center"/>
          </w:tcPr>
          <w:p>
            <w:pPr>
              <w:pStyle w:val="TableContents"/>
              <w:bidi w:val="0"/>
              <w:spacing w:before="0" w:after="283"/>
              <w:jc w:val="left"/>
              <w:rPr/>
            </w:pPr>
            <w:r>
              <w:rPr/>
              <w:t> </w:t>
            </w:r>
          </w:p>
        </w:tc>
        <w:tc>
          <w:tcPr>
            <w:tcW w:w="814"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5"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(9,749</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51,816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713" w:type="dxa"/>
        <w:jc w:val="left"/>
        <w:tblInd w:w="0" w:type="dxa"/>
        <w:tblLayout w:type="fixed"/>
        <w:tblCellMar>
          <w:top w:w="0" w:type="dxa"/>
          <w:left w:w="0" w:type="dxa"/>
          <w:bottom w:w="28" w:type="dxa"/>
          <w:right w:w="0" w:type="dxa"/>
        </w:tblCellMar>
      </w:tblPr>
      <w:tblGrid>
        <w:gridCol w:w="2750"/>
        <w:gridCol w:w="90"/>
        <w:gridCol w:w="180"/>
        <w:gridCol w:w="754"/>
        <w:gridCol w:w="90"/>
        <w:gridCol w:w="90"/>
        <w:gridCol w:w="285"/>
        <w:gridCol w:w="1115"/>
        <w:gridCol w:w="125"/>
        <w:gridCol w:w="90"/>
        <w:gridCol w:w="195"/>
        <w:gridCol w:w="814"/>
        <w:gridCol w:w="135"/>
      </w:tblGrid>
      <w:tr>
        <w:trPr/>
        <w:tc>
          <w:tcPr>
            <w:tcW w:w="275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December 28, 2025</w:t>
            </w:r>
          </w:p>
        </w:tc>
        <w:tc>
          <w:tcPr>
            <w:tcW w:w="9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90" w:type="dxa"/>
            <w:tcBorders/>
            <w:tcMar>
              <w:bottom w:w="0" w:type="dxa"/>
            </w:tcMar>
            <w:vAlign w:val="center"/>
          </w:tcPr>
          <w:p>
            <w:pPr>
              <w:pStyle w:val="TableContents"/>
              <w:bidi w:val="0"/>
              <w:spacing w:before="0" w:after="283"/>
              <w:jc w:val="left"/>
              <w:rPr/>
            </w:pPr>
            <w:r>
              <w:rPr/>
              <w:t> </w:t>
            </w:r>
          </w:p>
        </w:tc>
        <w:tc>
          <w:tcPr>
            <w:tcW w:w="180" w:type="dxa"/>
            <w:tcBorders/>
            <w:tcMar>
              <w:bottom w:w="0" w:type="dxa"/>
            </w:tcMar>
            <w:vAlign w:val="center"/>
          </w:tcPr>
          <w:p>
            <w:pPr>
              <w:pStyle w:val="TableContents"/>
              <w:bidi w:val="0"/>
              <w:spacing w:before="0" w:after="283"/>
              <w:jc w:val="left"/>
              <w:rPr/>
            </w:pPr>
            <w:r>
              <w:rPr/>
              <w:t> </w:t>
            </w:r>
          </w:p>
        </w:tc>
        <w:tc>
          <w:tcPr>
            <w:tcW w:w="75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95" w:type="dxa"/>
            <w:tcBorders/>
            <w:tcMar>
              <w:bottom w:w="0" w:type="dxa"/>
            </w:tcMar>
            <w:vAlign w:val="center"/>
          </w:tcPr>
          <w:p>
            <w:pPr>
              <w:pStyle w:val="TableContents"/>
              <w:bidi w:val="0"/>
              <w:spacing w:before="0" w:after="283"/>
              <w:jc w:val="left"/>
              <w:rPr/>
            </w:pPr>
            <w:r>
              <w:rPr/>
              <w:t> </w:t>
            </w:r>
          </w:p>
        </w:tc>
        <w:tc>
          <w:tcPr>
            <w:tcW w:w="81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16,687</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bottom w:val="single" w:sz="12" w:space="0" w:color="000000"/>
            </w:tcBorders>
            <w:shd w:fill="CCEEFF" w:val="clear"/>
            <w:vAlign w:val="center"/>
          </w:tcPr>
          <w:p>
            <w:pPr>
              <w:pStyle w:val="TableContents"/>
              <w:bidi w:val="0"/>
              <w:spacing w:before="0" w:after="283"/>
              <w:jc w:val="left"/>
              <w:rPr/>
            </w:pPr>
            <w:r>
              <w:rPr/>
              <w:t> </w:t>
            </w:r>
          </w:p>
        </w:tc>
        <w:tc>
          <w:tcPr>
            <w:tcW w:w="75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CCEEFF" w:val="clear"/>
            <w:vAlign w:val="center"/>
          </w:tcPr>
          <w:p>
            <w:pPr>
              <w:pStyle w:val="TableContents"/>
              <w:bidi w:val="0"/>
              <w:spacing w:before="0" w:after="283"/>
              <w:jc w:val="left"/>
              <w:rPr/>
            </w:pPr>
            <w:r>
              <w:rPr/>
              <w:t> </w:t>
            </w:r>
          </w:p>
        </w:tc>
        <w:tc>
          <w:tcPr>
            <w:tcW w:w="81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tcMar>
              <w:bottom w:w="0" w:type="dxa"/>
            </w:tcMar>
            <w:vAlign w:val="center"/>
          </w:tcPr>
          <w:p>
            <w:pPr>
              <w:pStyle w:val="TableContents"/>
              <w:bidi w:val="0"/>
              <w:spacing w:before="0" w:after="283"/>
              <w:jc w:val="left"/>
              <w:rPr/>
            </w:pPr>
            <w:r>
              <w:rPr/>
              <w:t> </w:t>
            </w:r>
          </w:p>
        </w:tc>
        <w:tc>
          <w:tcPr>
            <w:tcW w:w="18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5"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95"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4"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50,814</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$2.9 million and $0.7 million in the thirteen week periods ended March 29, 2026 and March 30, 2025, respectively. Amortization expense for developed technology is classified in cost of revenues and all other amortization expense is classified in general and administrative expenses on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SAFE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Rodgers Massey Freedom and Free Markets Charitable Trust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$0.6 million and $0.5 million as of March 29, 2026 and December 28, 2025, respectively. Refer to </w:t>
      </w:r>
      <w:r>
        <w:rPr>
          <w:rFonts w:ascii="Times New Roman;Times;Serif" w:hAnsi="Times New Roman;Times;Serif"/>
          <w:b/>
          <w:i w:val="false"/>
          <w:caps w:val="false"/>
          <w:smallCaps w:val="false"/>
          <w:sz w:val="20"/>
        </w:rPr>
        <w:t xml:space="preserve">Note 5 – Fair Value Measurements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SAFE was converted and exchanged into $1.0 million principal amount of the Company’s 10.0% convertible secured notes due 2029.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3"/>
        <w:gridCol w:w="90"/>
        <w:gridCol w:w="182"/>
        <w:gridCol w:w="893"/>
        <w:gridCol w:w="125"/>
        <w:gridCol w:w="90"/>
        <w:gridCol w:w="242"/>
        <w:gridCol w:w="1187"/>
        <w:gridCol w:w="173"/>
      </w:tblGrid>
      <w:tr>
        <w:trPr/>
        <w:tc>
          <w:tcPr>
            <w:tcW w:w="722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1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3" w:type="dxa"/>
            <w:tcBorders/>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3" w:type="dxa"/>
            <w:tcBorders/>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3" w:type="dxa"/>
            <w:tcBorders/>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(including current portion of long-term debt):</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shd w:fill="CCEEFF" w:val="cle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Cobalt Loan</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2,706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Total Short-term debt with third parties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13,736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and current portion of long-term debt</w:t>
            </w:r>
          </w:p>
        </w:tc>
        <w:tc>
          <w:tcPr>
            <w:tcW w:w="9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with related parties: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Note – related party</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Loan with related party</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with related parties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Long-term debt: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12.0% senior unsecured convertible notes and related derivative liabilities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32,969</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 related parties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 – related party</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 derivative liability</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32,219</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derivative liability – related party</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derivative liability – related party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12.0% senior unsecured convertible notes and derivative liabilities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79,487</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7.0% senior unsecured convertible notes and derivative liabilities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 related parties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 – related parties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 derivative liability</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43,800</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 derivative liability</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7.0% senior unsecured convertible notes and derivative liabilities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78,588</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notes payable and derivative liabilities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current portion</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senior unsecured convertible notes payable and derivative liabilities, net of current portion</w:t>
            </w:r>
          </w:p>
        </w:tc>
        <w:tc>
          <w:tcPr>
            <w:tcW w:w="9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sheet classification of long-term debt</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net of current portion</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120,159</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with related parties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35,130</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 including net of current portion</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Short-term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(“YA”). Pursuant to the SEPA, YA agreed to advance up to $20.0 million (the “Pre-Paid Advances”) to the Company in the form of convertible promissory notes (each “Promissory Note”), subject to the terms and conditions of the SEPA. Each Promissory Note bears interest at 0% per annum, which increases to 18% per annum upon the occurrence and continuance of an Event of Default (as defined in the Promissory Notes) for so long as such event remains uncured. Each tranche is funded at a 10% discount to its principal amount. The Promissory Notes are initially convertible into 540.5405 shares of the Company’s common stock per $1,000 principal amount,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also provides the Company the right, subject to certain conditions, to require YA to purchase up to $25.0 million of the Company’s common stock (“Commitment Amount”) through January 27,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SEPA, the Company paid YA total fees of $0.4 million consisting of $0.05 million of cash and 175,000 shares of the Company’s common stock, with a fair value of $0.3 million, as a due diligence, structuring and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the Company under the SEPA the Commitment Amount in full. The Company may terminate the SEPA at any time upon five trading days’ prior written notice to YA, provided that there are no outstanding advance notices under which the Company is yet to issue shares of its common stock, there are no amounts outstanding under the Promissory Notes, and provided that the Company has paid all amounts owed to YA pursuant to the SEPA. The Company and YA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and the Company received net proceeds of $1.71 million after the contractual discount. The $1.9 Million Note matures on January 27, 2027, which may be extended at YA’s option. The Company’s rights for further Pre-Paid Advances under the SEPA terminated pursuant to the terms of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for the $1.9 Million Note. Accordingly, the $1.9 Million Note is recorded at fair value upon issuance and are subsequently remeasured at fair value at each reporting date, with changes in fair value recognized 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$1.9 Million Note. The $1.9 Million Note is classified as a Level 3 liability within the fair value hierarchy established by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due to the use of significant unobservable inputs in the valuation.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 description of the inputs and assumptions used in the valuation of the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$1.9 Million Note was recorded at its estimated fair value of $1.7 million on the issuance date. As of March 29, 2026, the $1.9 Million Note had a fair value of $1.5 million. The change in the fair value of the $1.9 Million Note was included in “Other non-operating income, net” within the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purchase agreement (“Purchase Agreement”) with YA pursuant to which the Company issued a convertible debenture in the principal amount of $10.0 million (the “March 2026 Bridge Note” and collectively with the $1.9 Million Note, the “Yorkville Notes”). The Company received net proceeds of $9.0 million at issuance, after deducting fees payable under the Purchase Agreement. The March 2026 Bridge Note matures on March 6, 2027, unless extended at YA’s option. The March 2026 Bridge Note bears interest at 0% per annum; however, upon the occurrence and continuance of an event of default, the interest rate increases to 18%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March 2026 Bridge Note. As a result, the March 2026 Bridge Note is carried at fair value, with changes in fair value recognized in earnings within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the March 2026 Bridge Note. The March 2026 Bridge Note is classified as a Level 3 liability within the fair value hierarchy established by ASC 820 due to the use of significant unobservable inputs in the valuation. See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additional information regarding the valuation of the March 2026 Bridge Note, including key assumptions and valuation methodologies.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March 2026 Bridge Note was recorded at its estimated fair value of $9.0 million on the issuance date. As of March 29, 2026, the March 2026 Bridge Note had a fair value of $9.5 million. The change in the fair value of the March 2026 Bridge Note was included in “Other non-operating income, net” within the Company’s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March 2026 Bridge Note required installment payments on May 6, 2026, June 6, 2026, July 6, 2026, August 6, 2026, and September 6, 2026 (each, an “Installment Date”). On each Installment Date, the Company was required to pay an amount equal to (i) $2.0 million of principal, (ii) a payment premium of $0.06 million, and (iii) any accrued and unpaid interest (collectively, the “Installment Amount”). The Company may satisfy each Installment Amount, at its option, (a) in cash, (b) by submitting an advance notice pursuant to the SEPA, or (c) through a combination of cash and such advance notice. On April 21, 2026, the Company and YA agreed to amend the Installment Dates in connection with a $5.0 million prepayment of the March 2026 Bridge Note. As amended, on each of May 5, 2026, June 5, 2026, July 5, 2026 and August 5, 2026, the Company is required to pay an amount equal to (i) $1.25 million of principal, (ii) a payment premium of $0.0375 million, and (iii) any accrued and unpaid interest.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CPP (“Seller Note”) in connection with the Company’s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was initially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providing that if the terms of the SEPA would restrict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CPP agreed that the interest rate applicable to the Seller Note will increase to 10.0% per annum if the principal amount of the Seller Note remains outstanding after May 15, 2026. As an inducement to CPP’s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CPP pursuant to the Sunder MIPA. On April 8, 2026, the Company issued the remaining 6.7 million shares of the Company’s common stock due under the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the A&amp;R Seller Note with a revised principal amount of $7.0 million.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$0.4 million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loan with a principal balance of $1.5 million owed to the Rodgers Revocable Trust, a related party. This loan has an annual interest rate equal to the greater of 7.75% or Prime plus 4.5%.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$0.1 million in each of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Cobalt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Cobalt, the Company assumed a loan (“Cobalt Loan”). Cobalt originally entered into the loan on July 1, 2024, with Santa Cruz County Bank. The principal amount of the Cobalt Loan was $3.0 million and has a final maturity on June 5, 2034. The Cobalt Loan is secured by all of Cobalt’s business assets pursuant to a blanket lien as well as additional collateral, including limited guarantees secured with a third deed of trust on certain real estate properties and other assets of the former owners of Cobalt. The interest rate on the Cobalt loan is Prime plus 2.75%.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Cobalt Loan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12.0% Senior Unsecured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issued $46.0 million of senior unsecured convertible notes (“July 2024 Notes”) consisting of $28.0 million in cash proceeds. The remaining $18.0 million of the July 2024 Notes arose from an exchange of debt accounted for as a troubled debt restructuring (“Debt Exchange”). Refer to the Company’s Annual Report on Form 10-K for the fiscal year ended December 28, 2025 for details regarding $18.0 million of debt arising from the Debt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proceeds of $28.0 million included $18.0 million from the Rodgers Revocable Trust, a related party and $10.0 million of the debt exchanged was issued to Carlyle, also a related party. Carlyle was no longer deemed a related party to the Company subsequent to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March 29. 2026. Coupon interest, default interest and failure to file interest on the $18.0 million Debt Exchange were capitalized as part of the July 2024 Notes. Accordingly, the effective interest rate on the $18.0 million arising from the Debt Exchange is nil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893" w:type="dxa"/>
        <w:jc w:val="left"/>
        <w:tblInd w:w="0" w:type="dxa"/>
        <w:tblLayout w:type="fixed"/>
        <w:tblCellMar>
          <w:top w:w="0" w:type="dxa"/>
          <w:left w:w="0" w:type="dxa"/>
          <w:bottom w:w="0" w:type="dxa"/>
          <w:right w:w="0" w:type="dxa"/>
        </w:tblCellMar>
      </w:tblPr>
      <w:tblGrid>
        <w:gridCol w:w="3875"/>
        <w:gridCol w:w="90"/>
        <w:gridCol w:w="195"/>
        <w:gridCol w:w="904"/>
        <w:gridCol w:w="125"/>
        <w:gridCol w:w="90"/>
        <w:gridCol w:w="256"/>
        <w:gridCol w:w="1188"/>
        <w:gridCol w:w="170"/>
      </w:tblGrid>
      <w:tr>
        <w:trPr/>
        <w:tc>
          <w:tcPr>
            <w:tcW w:w="38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principal amount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55,566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56,801</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2024 Notes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capitalized coupon interest of $7.5 million and $8.6 million as of March 29, 2026 and December 28, 2025, respectively, and capitalized contingent interest of $2.0 million and $2.2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$1.3 million and $1.1 million, respectively, with coupon interest expense of $0.8 million in each period, and debt discount and issuance costs of $0.5 million and $0.3 million in the thirteen week periods ended March 29, 2026 and March 30, 2025, respectively. Of the coupon interest expense, related party interest expense was $0.5 million in each period. Related party amortization expense was $0.3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803" w:type="dxa"/>
        <w:jc w:val="left"/>
        <w:tblInd w:w="0" w:type="dxa"/>
        <w:tblLayout w:type="fixed"/>
        <w:tblCellMar>
          <w:top w:w="0" w:type="dxa"/>
          <w:left w:w="0" w:type="dxa"/>
          <w:bottom w:w="0" w:type="dxa"/>
          <w:right w:w="0" w:type="dxa"/>
        </w:tblCellMar>
      </w:tblPr>
      <w:tblGrid>
        <w:gridCol w:w="3785"/>
        <w:gridCol w:w="90"/>
        <w:gridCol w:w="223"/>
        <w:gridCol w:w="876"/>
        <w:gridCol w:w="125"/>
        <w:gridCol w:w="90"/>
        <w:gridCol w:w="293"/>
        <w:gridCol w:w="1151"/>
        <w:gridCol w:w="170"/>
      </w:tblGrid>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principal amount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2025 Note</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week period ended March 29, 2026, the total interest expense was $0.2 million with coupon interest expense $0.15 million and debt discount and issuance costs of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418" w:type="dxa"/>
        <w:jc w:val="left"/>
        <w:tblInd w:w="0" w:type="dxa"/>
        <w:tblLayout w:type="fixed"/>
        <w:tblCellMar>
          <w:top w:w="0" w:type="dxa"/>
          <w:left w:w="0" w:type="dxa"/>
          <w:bottom w:w="0" w:type="dxa"/>
          <w:right w:w="0" w:type="dxa"/>
        </w:tblCellMar>
      </w:tblPr>
      <w:tblGrid>
        <w:gridCol w:w="4400"/>
        <w:gridCol w:w="90"/>
        <w:gridCol w:w="223"/>
        <w:gridCol w:w="876"/>
        <w:gridCol w:w="125"/>
        <w:gridCol w:w="90"/>
        <w:gridCol w:w="293"/>
        <w:gridCol w:w="1151"/>
        <w:gridCol w:w="170"/>
      </w:tblGrid>
      <w:tr>
        <w:trPr/>
        <w:tc>
          <w:tcPr>
            <w:tcW w:w="4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principal amount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7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November 2025 Note</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less than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January 2026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 The January 2026 Note has an effective interest rate of 61%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January 2026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489" w:type="dxa"/>
        <w:jc w:val="left"/>
        <w:tblInd w:w="0" w:type="dxa"/>
        <w:tblLayout w:type="fixed"/>
        <w:tblCellMar>
          <w:top w:w="0" w:type="dxa"/>
          <w:left w:w="0" w:type="dxa"/>
          <w:bottom w:w="0" w:type="dxa"/>
          <w:right w:w="0" w:type="dxa"/>
        </w:tblCellMar>
      </w:tblPr>
      <w:tblGrid>
        <w:gridCol w:w="4130"/>
        <w:gridCol w:w="90"/>
        <w:gridCol w:w="223"/>
        <w:gridCol w:w="876"/>
        <w:gridCol w:w="170"/>
      </w:tblGrid>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29,</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both"/>
              <w:rPr/>
            </w:pPr>
            <w:r>
              <w:rPr/>
              <w:t>January 2026 Note principal amount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3,300</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both"/>
              <w:rPr/>
            </w:pPr>
            <w:r>
              <w:rPr/>
              <w:t>Less Unamortized debt discount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tcMar>
              <w:bottom w:w="28" w:type="dxa"/>
            </w:tcMar>
            <w:vAlign w:val="center"/>
          </w:tcPr>
          <w:p>
            <w:pPr>
              <w:pStyle w:val="TableContents"/>
              <w:bidi w:val="0"/>
              <w:spacing w:before="0" w:after="283"/>
              <w:jc w:val="right"/>
              <w:rPr/>
            </w:pPr>
            <w:r>
              <w:rPr/>
              <w:t>(2,262</w:t>
            </w:r>
          </w:p>
        </w:tc>
        <w:tc>
          <w:tcPr>
            <w:tcW w:w="170" w:type="dxa"/>
            <w:tcBorders/>
            <w:vAlign w:val="center"/>
          </w:tcPr>
          <w:p>
            <w:pPr>
              <w:pStyle w:val="TableContents"/>
              <w:bidi w:val="0"/>
              <w:spacing w:before="0" w:after="283"/>
              <w:jc w:val="left"/>
              <w:rPr/>
            </w:pPr>
            <w:r>
              <w:rPr/>
              <w:t>)</w:t>
            </w:r>
          </w:p>
        </w:tc>
      </w:tr>
      <w:tr>
        <w:trPr/>
        <w:tc>
          <w:tcPr>
            <w:tcW w:w="4130" w:type="dxa"/>
            <w:tcBorders/>
            <w:shd w:fill="CCEEFF" w:val="clear"/>
            <w:vAlign w:val="center"/>
          </w:tcPr>
          <w:p>
            <w:pPr>
              <w:pStyle w:val="TableContents"/>
              <w:bidi w:val="0"/>
              <w:spacing w:before="0" w:after="283"/>
              <w:jc w:val="both"/>
              <w:rPr/>
            </w:pPr>
            <w:r>
              <w:rPr/>
              <w:t>Net carrying amount of January 2026 Note</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pPr>
            <w:r>
              <w:rPr/>
              <w:t>1,038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were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As the $66.8 million of notes were issued with a debt discount in excess of the principal amount, the initial net carrying amount of the September 2024 Notes was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thirteen week period ended March 29, 2025 $2.8 million of the September 2024 Notes were converted into 1.6 million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4490"/>
        <w:gridCol w:w="90"/>
        <w:gridCol w:w="195"/>
        <w:gridCol w:w="904"/>
        <w:gridCol w:w="125"/>
        <w:gridCol w:w="90"/>
        <w:gridCol w:w="256"/>
        <w:gridCol w:w="1188"/>
        <w:gridCol w:w="170"/>
      </w:tblGrid>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17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$5.9 million and $5.0 million with coupon interest expense of $1.1 million and $1.4 million, respectively, and debt discount and issuance costs of $4.8 million and $3.6 million, respectively. Of the coupon interest expense, related party interest expense was $0.2 million and $0.1 million in the thirteen week periods ended March 29, 2026 and March 30, 2025, respectively. Related party amortization expense was $0.5 million and $0.5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$3.6 million debt discount and issuance costs in connection with the September 2025 Notes. The debt issuance costs include an estimate of the value of a warrant issued in the second quarter of fiscal 2026 to the entity that arranged the financing. The effective interest rate on the September 2025 Notes approximated 78% as of March 29, 2026.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4490"/>
        <w:gridCol w:w="90"/>
        <w:gridCol w:w="195"/>
        <w:gridCol w:w="904"/>
        <w:gridCol w:w="125"/>
        <w:gridCol w:w="90"/>
        <w:gridCol w:w="256"/>
        <w:gridCol w:w="1188"/>
        <w:gridCol w:w="170"/>
      </w:tblGrid>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17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total interest expense was $0.6 million with coupon interest expense of $0.4 million and debt discount and issuance costs of $0.2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separately- and privately- negotiated exchange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xml:space="preserve">”) with certain holders of the 7.0% Notes to repurchase $21.25 million aggregate principal amount of outstanding 7.0% Notes in exchange for (i) an aggregate of 18.8 million shares of the Company’s common stock and (ii) approximately $0.5 of accrued interest payable under the exchanged 7.0% Notes.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Principal payments due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contingent interest in connection with the July 2024 Notes, is as follows:</w:t>
      </w:r>
    </w:p>
    <w:p>
      <w:pPr>
        <w:pStyle w:val="TextBody"/>
        <w:bidi w:val="0"/>
        <w:spacing w:before="0" w:after="0"/>
        <w:ind w:left="0" w:right="0" w:hanging="0"/>
        <w:jc w:val="left"/>
        <w:rPr>
          <w:caps w:val="false"/>
          <w:smallCaps w:val="false"/>
        </w:rPr>
      </w:pPr>
      <w:r>
        <w:rPr>
          <w:caps w:val="false"/>
          <w:smallCaps w:val="false"/>
        </w:rPr>
        <w:t> </w:t>
      </w:r>
    </w:p>
    <w:tbl>
      <w:tblPr>
        <w:tblW w:w="3675" w:type="dxa"/>
        <w:jc w:val="left"/>
        <w:tblInd w:w="0" w:type="dxa"/>
        <w:tblLayout w:type="fixed"/>
        <w:tblCellMar>
          <w:top w:w="0" w:type="dxa"/>
          <w:left w:w="0" w:type="dxa"/>
          <w:bottom w:w="0" w:type="dxa"/>
          <w:right w:w="0" w:type="dxa"/>
        </w:tblCellMar>
      </w:tblPr>
      <w:tblGrid>
        <w:gridCol w:w="2450"/>
        <w:gridCol w:w="90"/>
        <w:gridCol w:w="170"/>
        <w:gridCol w:w="830"/>
        <w:gridCol w:w="135"/>
      </w:tblGrid>
      <w:tr>
        <w:trPr/>
        <w:tc>
          <w:tcPr>
            <w:tcW w:w="2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w:t>
              <w:br/>
              <w:t>payment</w:t>
            </w:r>
          </w:p>
        </w:tc>
        <w:tc>
          <w:tcPr>
            <w:tcW w:w="13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Fiscal year ending</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Remainder of fiscal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35,284</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141,894</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184,468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2"/>
        <w:gridCol w:w="90"/>
        <w:gridCol w:w="211"/>
        <w:gridCol w:w="881"/>
        <w:gridCol w:w="149"/>
        <w:gridCol w:w="107"/>
        <w:gridCol w:w="211"/>
        <w:gridCol w:w="881"/>
        <w:gridCol w:w="173"/>
      </w:tblGrid>
      <w:tr>
        <w:trPr/>
        <w:tc>
          <w:tcPr>
            <w:tcW w:w="75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73" w:type="dxa"/>
            <w:tcBorders/>
            <w:vAlign w:val="center"/>
          </w:tcPr>
          <w:p>
            <w:pPr>
              <w:pStyle w:val="TableContents"/>
              <w:bidi w:val="0"/>
              <w:spacing w:before="0" w:after="283"/>
              <w:jc w:val="left"/>
              <w:rPr/>
            </w:pPr>
            <w:r>
              <w:rPr/>
              <w:t> </w:t>
            </w:r>
          </w:p>
        </w:tc>
      </w:tr>
      <w:tr>
        <w:trPr/>
        <w:tc>
          <w:tcPr>
            <w:tcW w:w="75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2" w:type="dxa"/>
            <w:gridSpan w:val="2"/>
            <w:tcBorders/>
            <w:vAlign w:val="center"/>
          </w:tcPr>
          <w:p>
            <w:pPr>
              <w:pStyle w:val="TableContents"/>
              <w:bidi w:val="0"/>
              <w:spacing w:before="0" w:after="283"/>
              <w:jc w:val="center"/>
              <w:rPr>
                <w:b/>
              </w:rPr>
            </w:pPr>
            <w:r>
              <w:rPr>
                <w:b/>
              </w:rPr>
              <w:t>March 29,</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92" w:type="dxa"/>
            <w:gridSpan w:val="2"/>
            <w:tcBorders/>
            <w:vAlign w:val="center"/>
          </w:tcPr>
          <w:p>
            <w:pPr>
              <w:pStyle w:val="TableContents"/>
              <w:bidi w:val="0"/>
              <w:spacing w:before="0" w:after="283"/>
              <w:jc w:val="center"/>
              <w:rPr>
                <w:b/>
              </w:rPr>
            </w:pPr>
            <w:r>
              <w:rPr>
                <w:b/>
              </w:rPr>
              <w:t>March 30,</w:t>
            </w:r>
          </w:p>
        </w:tc>
        <w:tc>
          <w:tcPr>
            <w:tcW w:w="173" w:type="dxa"/>
            <w:tcBorders/>
            <w:vAlign w:val="center"/>
          </w:tcPr>
          <w:p>
            <w:pPr>
              <w:pStyle w:val="TableContents"/>
              <w:bidi w:val="0"/>
              <w:spacing w:before="0" w:after="283"/>
              <w:jc w:val="left"/>
              <w:rPr/>
            </w:pPr>
            <w:r>
              <w:rPr/>
              <w:t> </w:t>
            </w:r>
          </w:p>
        </w:tc>
      </w:tr>
      <w:tr>
        <w:trPr/>
        <w:tc>
          <w:tcPr>
            <w:tcW w:w="75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3" w:type="dxa"/>
            <w:tcBorders/>
            <w:vAlign w:val="center"/>
          </w:tcPr>
          <w:p>
            <w:pPr>
              <w:pStyle w:val="TableContents"/>
              <w:bidi w:val="0"/>
              <w:spacing w:before="0" w:after="283"/>
              <w:jc w:val="left"/>
              <w:rPr/>
            </w:pPr>
            <w:r>
              <w:rPr/>
              <w:t> </w:t>
            </w:r>
          </w:p>
        </w:tc>
      </w:tr>
      <w:tr>
        <w:trPr/>
        <w:tc>
          <w:tcPr>
            <w:tcW w:w="750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on remeasurement of derivative liabilities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26,608</w:t>
            </w:r>
          </w:p>
        </w:tc>
        <w:tc>
          <w:tcPr>
            <w:tcW w:w="14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15,127</w:t>
            </w:r>
          </w:p>
        </w:tc>
        <w:tc>
          <w:tcPr>
            <w:tcW w:w="173" w:type="dxa"/>
            <w:tcBorders/>
            <w:shd w:fill="CCEEFF" w:val="clear"/>
            <w:vAlign w:val="center"/>
          </w:tcPr>
          <w:p>
            <w:pPr>
              <w:pStyle w:val="TableContents"/>
              <w:bidi w:val="0"/>
              <w:spacing w:before="0" w:after="283"/>
              <w:jc w:val="left"/>
              <w:rPr/>
            </w:pPr>
            <w:r>
              <w:rPr/>
              <w:t> </w:t>
            </w:r>
          </w:p>
        </w:tc>
      </w:tr>
      <w:tr>
        <w:trPr/>
        <w:tc>
          <w:tcPr>
            <w:tcW w:w="75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(1,142</w:t>
            </w:r>
          </w:p>
        </w:tc>
        <w:tc>
          <w:tcPr>
            <w:tcW w:w="149"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269</w:t>
            </w:r>
          </w:p>
        </w:tc>
        <w:tc>
          <w:tcPr>
            <w:tcW w:w="173" w:type="dxa"/>
            <w:tcBorders/>
            <w:vAlign w:val="center"/>
          </w:tcPr>
          <w:p>
            <w:pPr>
              <w:pStyle w:val="TableContents"/>
              <w:bidi w:val="0"/>
              <w:spacing w:before="0" w:after="283"/>
              <w:jc w:val="left"/>
              <w:rPr/>
            </w:pPr>
            <w:r>
              <w:rPr/>
              <w:t> </w:t>
            </w:r>
          </w:p>
        </w:tc>
      </w:tr>
      <w:tr>
        <w:trPr/>
        <w:tc>
          <w:tcPr>
            <w:tcW w:w="7502" w:type="dxa"/>
            <w:tcBorders/>
            <w:shd w:fill="CCEEFF" w:val="clear"/>
            <w:vAlign w:val="center"/>
          </w:tcPr>
          <w:p>
            <w:pPr>
              <w:pStyle w:val="TableContents"/>
              <w:bidi w:val="0"/>
              <w:spacing w:before="0" w:after="283"/>
              <w:jc w:val="both"/>
              <w:rPr/>
            </w:pPr>
            <w:r>
              <w:rPr/>
              <w:t>Change in fair value of SAFE Agreement with related party</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(44</w:t>
            </w:r>
          </w:p>
        </w:tc>
        <w:tc>
          <w:tcPr>
            <w:tcW w:w="149"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(20</w:t>
            </w:r>
          </w:p>
        </w:tc>
        <w:tc>
          <w:tcPr>
            <w:tcW w:w="173" w:type="dxa"/>
            <w:tcBorders/>
            <w:shd w:fill="CCEEFF" w:val="clear"/>
            <w:vAlign w:val="center"/>
          </w:tcPr>
          <w:p>
            <w:pPr>
              <w:pStyle w:val="TableContents"/>
              <w:bidi w:val="0"/>
              <w:spacing w:before="0" w:after="283"/>
              <w:jc w:val="left"/>
              <w:rPr/>
            </w:pPr>
            <w:r>
              <w:rPr/>
              <w:t>)</w:t>
            </w:r>
          </w:p>
        </w:tc>
      </w:tr>
      <w:tr>
        <w:trPr/>
        <w:tc>
          <w:tcPr>
            <w:tcW w:w="7502" w:type="dxa"/>
            <w:tcBorders/>
            <w:vAlign w:val="center"/>
          </w:tcPr>
          <w:p>
            <w:pPr>
              <w:pStyle w:val="TableContents"/>
              <w:bidi w:val="0"/>
              <w:spacing w:before="0" w:after="283"/>
              <w:jc w:val="both"/>
              <w:rPr/>
            </w:pPr>
            <w:r>
              <w:rPr/>
              <w:t>Change in fair value of FACT public, private placement and working capital warrants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615</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(1,092</w:t>
            </w:r>
          </w:p>
        </w:tc>
        <w:tc>
          <w:tcPr>
            <w:tcW w:w="173" w:type="dxa"/>
            <w:tcBorders/>
            <w:vAlign w:val="center"/>
          </w:tcPr>
          <w:p>
            <w:pPr>
              <w:pStyle w:val="TableContents"/>
              <w:bidi w:val="0"/>
              <w:spacing w:before="0" w:after="283"/>
              <w:jc w:val="left"/>
              <w:rPr/>
            </w:pPr>
            <w:r>
              <w:rPr/>
              <w:t>)</w:t>
            </w:r>
          </w:p>
        </w:tc>
      </w:tr>
      <w:tr>
        <w:trPr/>
        <w:tc>
          <w:tcPr>
            <w:tcW w:w="7502" w:type="dxa"/>
            <w:tcBorders/>
            <w:shd w:fill="CCEEFF" w:val="clear"/>
            <w:vAlign w:val="center"/>
          </w:tcPr>
          <w:p>
            <w:pPr>
              <w:pStyle w:val="TableContents"/>
              <w:bidi w:val="0"/>
              <w:spacing w:before="0" w:after="283"/>
              <w:jc w:val="both"/>
              <w:rPr/>
            </w:pPr>
            <w:r>
              <w:rPr/>
              <w:t>Change in fair value of Notes valued at fair value</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(320</w:t>
            </w:r>
          </w:p>
        </w:tc>
        <w:tc>
          <w:tcPr>
            <w:tcW w:w="149"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7502" w:type="dxa"/>
            <w:tcBorders/>
            <w:vAlign w:val="center"/>
          </w:tcPr>
          <w:p>
            <w:pPr>
              <w:pStyle w:val="TableContents"/>
              <w:bidi w:val="0"/>
              <w:spacing w:before="0" w:after="283"/>
              <w:jc w:val="both"/>
              <w:rPr/>
            </w:pPr>
            <w:r>
              <w:rPr/>
              <w:t>Change in fair value of Deferred Sunder Consideration with related party</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2,306</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7502" w:type="dxa"/>
            <w:tcBorders/>
            <w:shd w:fill="CCEEFF" w:val="clear"/>
            <w:vAlign w:val="center"/>
          </w:tcPr>
          <w:p>
            <w:pPr>
              <w:pStyle w:val="TableContents"/>
              <w:bidi w:val="0"/>
              <w:spacing w:before="0" w:after="283"/>
              <w:jc w:val="both"/>
              <w:rPr/>
            </w:pPr>
            <w:r>
              <w:rPr/>
              <w:t>Change in fair value of Deferred Ambia Consideration</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2,943</w:t>
            </w:r>
          </w:p>
        </w:tc>
        <w:tc>
          <w:tcPr>
            <w:tcW w:w="14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75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net</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tcMar>
              <w:bottom w:w="28" w:type="dxa"/>
            </w:tcMar>
            <w:vAlign w:val="center"/>
          </w:tcPr>
          <w:p>
            <w:pPr>
              <w:pStyle w:val="TableContents"/>
              <w:bidi w:val="0"/>
              <w:spacing w:before="0" w:after="283"/>
              <w:jc w:val="right"/>
              <w:rPr/>
            </w:pPr>
            <w:r>
              <w:rPr/>
              <w:t>(205</w:t>
            </w:r>
          </w:p>
        </w:tc>
        <w:tc>
          <w:tcPr>
            <w:tcW w:w="149"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tcMar>
              <w:bottom w:w="28" w:type="dxa"/>
            </w:tcMar>
            <w:vAlign w:val="center"/>
          </w:tcPr>
          <w:p>
            <w:pPr>
              <w:pStyle w:val="TableContents"/>
              <w:bidi w:val="0"/>
              <w:spacing w:before="0" w:after="283"/>
              <w:jc w:val="right"/>
              <w:rPr/>
            </w:pPr>
            <w:r>
              <w:rPr/>
              <w:t>292</w:t>
            </w:r>
          </w:p>
        </w:tc>
        <w:tc>
          <w:tcPr>
            <w:tcW w:w="173" w:type="dxa"/>
            <w:tcBorders/>
            <w:vAlign w:val="center"/>
          </w:tcPr>
          <w:p>
            <w:pPr>
              <w:pStyle w:val="TableContents"/>
              <w:bidi w:val="0"/>
              <w:spacing w:before="0" w:after="283"/>
              <w:jc w:val="left"/>
              <w:rPr/>
            </w:pPr>
            <w:r>
              <w:rPr/>
              <w:t> </w:t>
            </w:r>
          </w:p>
        </w:tc>
      </w:tr>
      <w:tr>
        <w:trPr/>
        <w:tc>
          <w:tcPr>
            <w:tcW w:w="7502" w:type="dxa"/>
            <w:tcBorders/>
            <w:shd w:fill="CCEEFF" w:val="clear"/>
            <w:vAlign w:val="center"/>
          </w:tcPr>
          <w:p>
            <w:pPr>
              <w:pStyle w:val="TableContents"/>
              <w:bidi w:val="0"/>
              <w:spacing w:before="0" w:after="283"/>
              <w:jc w:val="both"/>
              <w:rPr/>
            </w:pPr>
            <w:r>
              <w:rPr/>
              <w:t>Total Other non-operating income, net</w:t>
            </w:r>
          </w:p>
        </w:tc>
        <w:tc>
          <w:tcPr>
            <w:tcW w:w="9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1" w:type="dxa"/>
            <w:tcBorders>
              <w:bottom w:val="double" w:sz="10" w:space="0" w:color="000000"/>
            </w:tcBorders>
            <w:shd w:fill="CCEEFF" w:val="clear"/>
            <w:tcMar>
              <w:bottom w:w="28" w:type="dxa"/>
            </w:tcMar>
            <w:vAlign w:val="center"/>
          </w:tcPr>
          <w:p>
            <w:pPr>
              <w:pStyle w:val="TableContents"/>
              <w:bidi w:val="0"/>
              <w:spacing w:before="0" w:after="283"/>
              <w:jc w:val="right"/>
              <w:rPr/>
            </w:pPr>
            <w:r>
              <w:rPr/>
              <w:t>30,761</w:t>
            </w:r>
          </w:p>
        </w:tc>
        <w:tc>
          <w:tcPr>
            <w:tcW w:w="14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1" w:type="dxa"/>
            <w:tcBorders>
              <w:bottom w:val="double" w:sz="10" w:space="0" w:color="000000"/>
            </w:tcBorders>
            <w:shd w:fill="CCEEFF" w:val="clear"/>
            <w:tcMar>
              <w:bottom w:w="28" w:type="dxa"/>
            </w:tcMar>
            <w:vAlign w:val="center"/>
          </w:tcPr>
          <w:p>
            <w:pPr>
              <w:pStyle w:val="TableContents"/>
              <w:bidi w:val="0"/>
              <w:spacing w:before="0" w:after="283"/>
              <w:jc w:val="right"/>
              <w:rPr/>
            </w:pPr>
            <w:r>
              <w:rPr/>
              <w:t>14,576</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$7.5 million and $3.7 million on the change in the fair value of derivative liabilities with related parties in the thirteen weeks ended March 29, 2026 and March 30, 2025, respectively. Refer to </w:t>
            </w:r>
            <w:r>
              <w:rPr>
                <w:rFonts w:ascii="Times New Roman;Times;Serif" w:hAnsi="Times New Roman;Times;Serif"/>
                <w:b/>
                <w:sz w:val="20"/>
              </w:rPr>
              <w:t>Note 9 – Borrowings and Derivative Liabilities</w:t>
            </w:r>
            <w:r>
              <w:rPr>
                <w:rFonts w:ascii="Times New Roman;Times;Serif" w:hAnsi="Times New Roman;Times;Serif"/>
                <w:sz w:val="20"/>
              </w:rPr>
              <w:t xml:space="preserve"> for details.</w:t>
            </w:r>
          </w:p>
        </w:tc>
      </w:tr>
    </w:tbl>
    <w:p>
      <w:pPr>
        <w:pStyle w:val="TextBody"/>
        <w:bidi w:val="0"/>
        <w:spacing w:before="0" w:after="0"/>
        <w:ind w:left="360" w:right="0" w:hanging="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290"/>
        <w:gridCol w:w="863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income of $0.1 million due to related parties for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290"/>
        <w:gridCol w:w="836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8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$0.1 million income due to related parties in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4"/>
        <w:gridCol w:w="90"/>
        <w:gridCol w:w="237"/>
        <w:gridCol w:w="828"/>
        <w:gridCol w:w="123"/>
        <w:gridCol w:w="123"/>
        <w:gridCol w:w="237"/>
        <w:gridCol w:w="828"/>
        <w:gridCol w:w="175"/>
      </w:tblGrid>
      <w:tr>
        <w:trPr/>
        <w:tc>
          <w:tcPr>
            <w:tcW w:w="75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75" w:type="dxa"/>
            <w:tcBorders/>
            <w:vAlign w:val="center"/>
          </w:tcPr>
          <w:p>
            <w:pPr>
              <w:pStyle w:val="TableContents"/>
              <w:bidi w:val="0"/>
              <w:spacing w:before="0" w:after="283"/>
              <w:jc w:val="left"/>
              <w:rPr/>
            </w:pPr>
            <w:r>
              <w:rPr/>
              <w:t> </w:t>
            </w:r>
          </w:p>
        </w:tc>
      </w:tr>
      <w:tr>
        <w:trPr/>
        <w:tc>
          <w:tcPr>
            <w:tcW w:w="75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5" w:type="dxa"/>
            <w:gridSpan w:val="2"/>
            <w:tcBorders/>
            <w:vAlign w:val="center"/>
          </w:tcPr>
          <w:p>
            <w:pPr>
              <w:pStyle w:val="TableContents"/>
              <w:bidi w:val="0"/>
              <w:spacing w:before="0" w:after="283"/>
              <w:jc w:val="center"/>
              <w:rPr>
                <w:b/>
              </w:rPr>
            </w:pPr>
            <w:r>
              <w:rPr>
                <w:b/>
              </w:rPr>
              <w:t>March 29,</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065" w:type="dxa"/>
            <w:gridSpan w:val="2"/>
            <w:tcBorders/>
            <w:vAlign w:val="center"/>
          </w:tcPr>
          <w:p>
            <w:pPr>
              <w:pStyle w:val="TableContents"/>
              <w:bidi w:val="0"/>
              <w:spacing w:before="0" w:after="283"/>
              <w:jc w:val="center"/>
              <w:rPr>
                <w:b/>
              </w:rPr>
            </w:pPr>
            <w:r>
              <w:rPr>
                <w:b/>
              </w:rPr>
              <w:t>March 30,</w:t>
            </w:r>
          </w:p>
        </w:tc>
        <w:tc>
          <w:tcPr>
            <w:tcW w:w="175" w:type="dxa"/>
            <w:tcBorders/>
            <w:vAlign w:val="center"/>
          </w:tcPr>
          <w:p>
            <w:pPr>
              <w:pStyle w:val="TableContents"/>
              <w:bidi w:val="0"/>
              <w:spacing w:before="0" w:after="283"/>
              <w:jc w:val="left"/>
              <w:rPr/>
            </w:pPr>
            <w:r>
              <w:rPr/>
              <w:t> </w:t>
            </w:r>
          </w:p>
        </w:tc>
      </w:tr>
      <w:tr>
        <w:trPr/>
        <w:tc>
          <w:tcPr>
            <w:tcW w:w="75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0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pPr>
            <w:r>
              <w:rPr/>
              <w:t>Warranty provision, beginning of period</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4,653</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5,968</w:t>
            </w:r>
          </w:p>
        </w:tc>
        <w:tc>
          <w:tcPr>
            <w:tcW w:w="175" w:type="dxa"/>
            <w:tcBorders/>
            <w:shd w:fill="CCEEFF" w:val="clear"/>
            <w:vAlign w:val="center"/>
          </w:tcPr>
          <w:p>
            <w:pPr>
              <w:pStyle w:val="TableContents"/>
              <w:bidi w:val="0"/>
              <w:spacing w:before="0" w:after="283"/>
              <w:jc w:val="left"/>
              <w:rPr/>
            </w:pPr>
            <w:r>
              <w:rPr/>
              <w:t> </w:t>
            </w:r>
          </w:p>
        </w:tc>
      </w:tr>
      <w:tr>
        <w:trPr/>
        <w:tc>
          <w:tcPr>
            <w:tcW w:w="7564" w:type="dxa"/>
            <w:tcBorders/>
            <w:vAlign w:val="center"/>
          </w:tcPr>
          <w:p>
            <w:pPr>
              <w:pStyle w:val="TableContents"/>
              <w:bidi w:val="0"/>
              <w:spacing w:before="0" w:after="283"/>
              <w:jc w:val="left"/>
              <w:rPr/>
            </w:pPr>
            <w:r>
              <w:rPr/>
              <w:t>Accruals for new warranties issued</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236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526</w:t>
            </w:r>
          </w:p>
        </w:tc>
        <w:tc>
          <w:tcPr>
            <w:tcW w:w="175" w:type="dxa"/>
            <w:tcBorders/>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pPr>
            <w:r>
              <w:rPr/>
              <w:t>Settlements and other</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175" w:type="dxa"/>
            <w:tcBorders/>
            <w:shd w:fill="CCEEFF" w:val="clear"/>
            <w:vAlign w:val="center"/>
          </w:tcPr>
          <w:p>
            <w:pPr>
              <w:pStyle w:val="TableContents"/>
              <w:bidi w:val="0"/>
              <w:spacing w:before="0" w:after="283"/>
              <w:jc w:val="left"/>
              <w:rPr/>
            </w:pPr>
            <w:r>
              <w:rPr/>
              <w:t>)</w:t>
            </w:r>
          </w:p>
        </w:tc>
      </w:tr>
      <w:tr>
        <w:trPr/>
        <w:tc>
          <w:tcPr>
            <w:tcW w:w="7564" w:type="dxa"/>
            <w:tcBorders/>
            <w:vAlign w:val="center"/>
          </w:tcPr>
          <w:p>
            <w:pPr>
              <w:pStyle w:val="TableContents"/>
              <w:bidi w:val="0"/>
              <w:spacing w:before="0" w:after="283"/>
              <w:jc w:val="left"/>
              <w:rPr/>
            </w:pPr>
            <w:r>
              <w:rPr/>
              <w:t>Warranty provision, end of period</w:t>
            </w:r>
          </w:p>
        </w:tc>
        <w:tc>
          <w:tcPr>
            <w:tcW w:w="90"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828" w:type="dxa"/>
            <w:tcBorders>
              <w:bottom w:val="double" w:sz="10" w:space="0" w:color="000000"/>
            </w:tcBorders>
            <w:tcMar>
              <w:bottom w:w="28" w:type="dxa"/>
            </w:tcMar>
            <w:vAlign w:val="center"/>
          </w:tcPr>
          <w:p>
            <w:pPr>
              <w:pStyle w:val="TableContents"/>
              <w:bidi w:val="0"/>
              <w:spacing w:before="0" w:after="283"/>
              <w:jc w:val="right"/>
              <w:rPr/>
            </w:pPr>
            <w:r>
              <w:rPr/>
              <w:t>4,889</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828" w:type="dxa"/>
            <w:tcBorders>
              <w:bottom w:val="double" w:sz="10" w:space="0" w:color="000000"/>
            </w:tcBorders>
            <w:tcMar>
              <w:bottom w:w="28" w:type="dxa"/>
            </w:tcMar>
            <w:vAlign w:val="center"/>
          </w:tcPr>
          <w:p>
            <w:pPr>
              <w:pStyle w:val="TableContents"/>
              <w:bidi w:val="0"/>
              <w:spacing w:before="0" w:after="283"/>
              <w:jc w:val="right"/>
              <w:rPr/>
            </w:pPr>
            <w:r>
              <w:rPr/>
              <w:t>6,456</w:t>
            </w:r>
          </w:p>
        </w:tc>
        <w:tc>
          <w:tcPr>
            <w:tcW w:w="175" w:type="dxa"/>
            <w:tcBorders/>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pPr>
            <w:r>
              <w:rPr/>
              <w:t>Balance sheet classification</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7564" w:type="dxa"/>
            <w:tcBorders/>
            <w:vAlign w:val="center"/>
          </w:tcPr>
          <w:p>
            <w:pPr>
              <w:pStyle w:val="TableContents"/>
              <w:bidi w:val="0"/>
              <w:spacing w:before="0" w:after="283"/>
              <w:jc w:val="left"/>
              <w:rPr/>
            </w:pPr>
            <w:r>
              <w:rPr/>
              <w:t>Accrued warranty current (Classified in Accrued expenses and other current liabilities)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1,830</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3,019</w:t>
            </w:r>
          </w:p>
        </w:tc>
        <w:tc>
          <w:tcPr>
            <w:tcW w:w="175" w:type="dxa"/>
            <w:tcBorders/>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pPr>
            <w:r>
              <w:rPr/>
              <w:t>Warranty provision, noncurrent</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center"/>
          </w:tcPr>
          <w:p>
            <w:pPr>
              <w:pStyle w:val="TableContents"/>
              <w:bidi w:val="0"/>
              <w:spacing w:before="0" w:after="283"/>
              <w:jc w:val="right"/>
              <w:rPr/>
            </w:pPr>
            <w:r>
              <w:rPr/>
              <w:t>3,059</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center"/>
          </w:tcPr>
          <w:p>
            <w:pPr>
              <w:pStyle w:val="TableContents"/>
              <w:bidi w:val="0"/>
              <w:spacing w:before="0" w:after="283"/>
              <w:jc w:val="right"/>
              <w:rPr/>
            </w:pPr>
            <w:r>
              <w:rPr/>
              <w:t>3,437</w:t>
            </w:r>
          </w:p>
        </w:tc>
        <w:tc>
          <w:tcPr>
            <w:tcW w:w="175" w:type="dxa"/>
            <w:tcBorders/>
            <w:shd w:fill="CCEEFF" w:val="clear"/>
            <w:vAlign w:val="center"/>
          </w:tcPr>
          <w:p>
            <w:pPr>
              <w:pStyle w:val="TableContents"/>
              <w:bidi w:val="0"/>
              <w:spacing w:before="0" w:after="283"/>
              <w:jc w:val="left"/>
              <w:rPr/>
            </w:pPr>
            <w:r>
              <w:rPr/>
              <w:t> </w:t>
            </w:r>
          </w:p>
        </w:tc>
      </w:tr>
      <w:tr>
        <w:trPr/>
        <w:tc>
          <w:tcPr>
            <w:tcW w:w="7564" w:type="dxa"/>
            <w:tcBorders/>
            <w:vAlign w:val="center"/>
          </w:tcPr>
          <w:p>
            <w:pPr>
              <w:pStyle w:val="TableContents"/>
              <w:bidi w:val="0"/>
              <w:spacing w:before="0" w:after="283"/>
              <w:jc w:val="left"/>
              <w:rPr/>
            </w:pPr>
            <w:r>
              <w:rPr/>
              <w:t>Total warranty liability</w:t>
            </w:r>
          </w:p>
        </w:tc>
        <w:tc>
          <w:tcPr>
            <w:tcW w:w="90"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828" w:type="dxa"/>
            <w:tcBorders>
              <w:bottom w:val="double" w:sz="10" w:space="0" w:color="000000"/>
            </w:tcBorders>
            <w:tcMar>
              <w:bottom w:w="28" w:type="dxa"/>
            </w:tcMar>
            <w:vAlign w:val="center"/>
          </w:tcPr>
          <w:p>
            <w:pPr>
              <w:pStyle w:val="TableContents"/>
              <w:bidi w:val="0"/>
              <w:spacing w:before="0" w:after="283"/>
              <w:jc w:val="right"/>
              <w:rPr/>
            </w:pPr>
            <w:r>
              <w:rPr/>
              <w:t>4,889</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828" w:type="dxa"/>
            <w:tcBorders>
              <w:bottom w:val="double" w:sz="10" w:space="0" w:color="000000"/>
            </w:tcBorders>
            <w:tcMar>
              <w:bottom w:w="28" w:type="dxa"/>
            </w:tcMar>
            <w:vAlign w:val="center"/>
          </w:tcPr>
          <w:p>
            <w:pPr>
              <w:pStyle w:val="TableContents"/>
              <w:bidi w:val="0"/>
              <w:spacing w:before="0" w:after="283"/>
              <w:jc w:val="right"/>
              <w:rPr/>
            </w:pPr>
            <w:r>
              <w:rPr/>
              <w:t>6,456</w:t>
            </w:r>
          </w:p>
        </w:tc>
        <w:tc>
          <w:tcPr>
            <w:tcW w:w="1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recorded within accrued expenses and other current liabilities on its consolidated balance sheets as of March 29, 2026, and December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heard argument regarding the Company’s partial motion to dismiss on February 12, 2026. On April 8, 2026, the Court granted-in-part and denied-in-part the Company’s partial motion to dismiss. The Court denied the Company’s motion as to the breach of contract claim and granted the motion as to fraudulent inducement, tortious interference, and injunctive relief. The Court dismissed the tortious interference and injunctive relief claims with prejudice but granted SolarPark’s leave to amend its fraudulent inducement claim. On April 28, 2026, SolarPark filed a notice stating that it did not intend to amend its complaint to refile a fraudulent inducement claim. SolarPark now intends to proceed only on the surviving claims (misappropriation of trade secrets and breach of contract). On April 29, 2026, the Court set a case management conference for June 4, 2026, and a deadline for filing a joint case management statement by May 28, 2026. The Company intends to answer the complaint and file counterclaims.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(collectively, the “Fundraise Provision”).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$1.1 million and $3.5 million of outstanding letters of credit as of March 29, 2026 and December 28, 2025, respectively.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$1.1 million and $3.8 million at each of March 29, 2026 and December 28,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expense for interim periods is computed using an estimated annual effective tax rate applied to year-to-date ordinary income or loss, adjusted for the tax effects of discrete items recognized in the period in which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benefit of $0.6 million and nil in the thirteen week periods ended March 29, 2026, and March 30,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10.4% and nil for the thirteen week periods ended March 29, 2026, and March 30, 2025, respectively. The effective tax rate for the thirteen week period ended March 29, 2026 differs from the U.S. statutory rate of 21.0% primarily because of permanent differences due to fair value adjustments and the valuation allowance against most of the deferred tax assets. The effective tax rate for the thirteen week period ended March 30, 2025 differs from the U.S. statutory rate of 21.0% primarily because of permanent differences due to fair value adjustments, share-based compensation related to stock options, non-deductible meals and entertainment, and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history of net operating losses, the Company has provided a full valuation allowance against its deferred tax assets. During the thirteen week period ended March 29, 2026, the Company recorded a $0.8 million decrease in its valuation allowance primarily related to recognition of deferred tax liabilities in connection with the Cobalt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thirteen week periods ended March 29, 2026 and March 30, 2025, the Company had no unrecognized tax benefits. The Company recognizes interest and penalties related to unrecognized tax benefits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Common Stock and 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March 29, 2026. No preferred stock has been issued and none are outstanding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 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Company issued an aggregate of 4.6 million shares of the Company’s common stock for total proceeds of $7.0 million. As of March 29, 2026, the Company has issued an aggregate of 11.5 million shares of the Company’s common stock for total proceeds of $20.4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489" w:type="dxa"/>
        <w:jc w:val="left"/>
        <w:tblInd w:w="0" w:type="dxa"/>
        <w:tblLayout w:type="fixed"/>
        <w:tblCellMar>
          <w:top w:w="0" w:type="dxa"/>
          <w:left w:w="0" w:type="dxa"/>
          <w:bottom w:w="0" w:type="dxa"/>
          <w:right w:w="0" w:type="dxa"/>
        </w:tblCellMar>
      </w:tblPr>
      <w:tblGrid>
        <w:gridCol w:w="5300"/>
        <w:gridCol w:w="90"/>
        <w:gridCol w:w="90"/>
        <w:gridCol w:w="1250"/>
        <w:gridCol w:w="90"/>
        <w:gridCol w:w="90"/>
        <w:gridCol w:w="97"/>
        <w:gridCol w:w="1347"/>
        <w:gridCol w:w="135"/>
      </w:tblGrid>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96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Common stock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 stock purchase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issued and outstanding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19,164,660</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authorized for future issuance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82,635,442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82,460,428</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purchase price consideration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4,973,840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11,640,506</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shares reserved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155,827,049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163,183,801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97"/>
        <w:gridCol w:w="90"/>
        <w:gridCol w:w="94"/>
        <w:gridCol w:w="1193"/>
        <w:gridCol w:w="94"/>
        <w:gridCol w:w="94"/>
        <w:gridCol w:w="94"/>
        <w:gridCol w:w="1193"/>
        <w:gridCol w:w="90"/>
        <w:gridCol w:w="90"/>
        <w:gridCol w:w="210"/>
        <w:gridCol w:w="734"/>
        <w:gridCol w:w="90"/>
        <w:gridCol w:w="90"/>
        <w:gridCol w:w="1510"/>
        <w:gridCol w:w="142"/>
      </w:tblGrid>
      <w:tr>
        <w:trPr/>
        <w:tc>
          <w:tcPr>
            <w:tcW w:w="439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6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Potential shares of common</w:t>
              <w:br/>
              <w:t>stock as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29,</w:t>
              <w:br/>
              <w:t xml:space="preserve">2026 </w:t>
            </w:r>
            <w:r>
              <w:rPr>
                <w:rFonts w:ascii="Times New Roman;Times;Serif" w:hAnsi="Times New Roman;Times;Serif"/>
                <w:b/>
                <w:position w:val="7"/>
                <w:sz w:val="16"/>
                <w:sz w:val="20"/>
              </w:rPr>
              <w:t>(1)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142"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Liability classified warrants</w:t>
            </w:r>
          </w:p>
        </w:tc>
        <w:tc>
          <w:tcPr>
            <w:tcW w:w="90" w:type="dxa"/>
            <w:tcBorders/>
            <w:vAlign w:val="center"/>
          </w:tcPr>
          <w:p>
            <w:pPr>
              <w:pStyle w:val="TableContents"/>
              <w:bidi w:val="0"/>
              <w:spacing w:before="0" w:after="283"/>
              <w:jc w:val="left"/>
              <w:rPr/>
            </w:pPr>
            <w:r>
              <w:rPr/>
              <w:t> </w:t>
            </w:r>
          </w:p>
        </w:tc>
        <w:tc>
          <w:tcPr>
            <w:tcW w:w="1287" w:type="dxa"/>
            <w:gridSpan w:val="2"/>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142"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142"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liability classified warrants</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 classified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pPr>
            <w:r>
              <w:rPr/>
              <w:t> </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Warrants (converted to common stock warrants)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2026</w:t>
            </w:r>
          </w:p>
        </w:tc>
        <w:tc>
          <w:tcPr>
            <w:tcW w:w="142" w:type="dxa"/>
            <w:tcBorders/>
            <w:vAlign w:val="center"/>
          </w:tcPr>
          <w:p>
            <w:pPr>
              <w:pStyle w:val="TableContents"/>
              <w:bidi w:val="0"/>
              <w:spacing w:before="0" w:after="283"/>
              <w:ind w:left="0" w:right="0" w:hanging="180"/>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 Warrants (converted to common stock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2026</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C-1 Warrants (converted to common stock warrants)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2030</w:t>
            </w:r>
          </w:p>
        </w:tc>
        <w:tc>
          <w:tcPr>
            <w:tcW w:w="142" w:type="dxa"/>
            <w:tcBorders/>
            <w:vAlign w:val="center"/>
          </w:tcPr>
          <w:p>
            <w:pPr>
              <w:pStyle w:val="TableContents"/>
              <w:bidi w:val="0"/>
              <w:spacing w:before="0" w:after="283"/>
              <w:ind w:left="0" w:right="0" w:hanging="180"/>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142" w:type="dxa"/>
            <w:tcBorders/>
            <w:vAlign w:val="center"/>
          </w:tcPr>
          <w:p>
            <w:pPr>
              <w:pStyle w:val="TableContents"/>
              <w:bidi w:val="0"/>
              <w:spacing w:before="0" w:after="283"/>
              <w:ind w:left="0" w:right="0" w:hanging="180"/>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Promissory Note Common Stock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2031</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2023 Common Stock Warrants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2028</w:t>
            </w:r>
          </w:p>
        </w:tc>
        <w:tc>
          <w:tcPr>
            <w:tcW w:w="142" w:type="dxa"/>
            <w:tcBorders/>
            <w:vAlign w:val="center"/>
          </w:tcPr>
          <w:p>
            <w:pPr>
              <w:pStyle w:val="TableContents"/>
              <w:bidi w:val="0"/>
              <w:spacing w:before="0" w:after="283"/>
              <w:ind w:left="0" w:right="0" w:hanging="180"/>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Warrants Issued in 2023 (“Merger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18, 2033</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Cantor Warrant</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c>
          <w:tcPr>
            <w:tcW w:w="142"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equity classified warrants</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potential shares of common stock</w:t>
            </w:r>
          </w:p>
        </w:tc>
        <w:tc>
          <w:tcPr>
            <w:tcW w:w="90" w:type="dxa"/>
            <w:tcBorders/>
            <w:vAlign w:val="center"/>
          </w:tcPr>
          <w:p>
            <w:pPr>
              <w:pStyle w:val="TableContents"/>
              <w:bidi w:val="0"/>
              <w:spacing w:before="0" w:after="283"/>
              <w:jc w:val="left"/>
              <w:rPr/>
            </w:pPr>
            <w:r>
              <w:rPr/>
              <w:t> </w:t>
            </w:r>
          </w:p>
        </w:tc>
        <w:tc>
          <w:tcPr>
            <w:tcW w:w="94" w:type="dxa"/>
            <w:tcBorders>
              <w:bottom w:val="double" w:sz="10" w:space="0" w:color="000000"/>
            </w:tcBorders>
            <w:tcMar>
              <w:bottom w:w="28" w:type="dxa"/>
            </w:tcMar>
            <w:vAlign w:val="center"/>
          </w:tcPr>
          <w:p>
            <w:pPr>
              <w:pStyle w:val="TableContents"/>
              <w:bidi w:val="0"/>
              <w:spacing w:before="0" w:after="283"/>
              <w:jc w:val="left"/>
              <w:rPr/>
            </w:pPr>
            <w:r>
              <w:rPr/>
              <w:t> </w:t>
            </w:r>
          </w:p>
        </w:tc>
        <w:tc>
          <w:tcPr>
            <w:tcW w:w="11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bottom w:val="double" w:sz="10" w:space="0" w:color="000000"/>
            </w:tcBorders>
            <w:tcMar>
              <w:bottom w:w="28" w:type="dxa"/>
            </w:tcMar>
            <w:vAlign w:val="center"/>
          </w:tcPr>
          <w:p>
            <w:pPr>
              <w:pStyle w:val="TableContents"/>
              <w:bidi w:val="0"/>
              <w:spacing w:before="0" w:after="283"/>
              <w:jc w:val="left"/>
              <w:rPr/>
            </w:pPr>
            <w:r>
              <w:rPr/>
              <w:t> </w:t>
            </w:r>
          </w:p>
        </w:tc>
        <w:tc>
          <w:tcPr>
            <w:tcW w:w="11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which was not issued as of March 29, 2026.</w:t>
            </w:r>
          </w:p>
        </w:tc>
      </w:tr>
      <w:tr>
        <w:trPr/>
        <w:tc>
          <w:tcPr>
            <w:tcW w:w="266" w:type="dxa"/>
            <w:tcBorders/>
            <w:vAlign w:val="center"/>
          </w:tcPr>
          <w:p>
            <w:pPr>
              <w:pStyle w:val="TableContents"/>
              <w:bidi w:val="0"/>
              <w:spacing w:before="0" w:after="283"/>
              <w:jc w:val="left"/>
              <w:rPr/>
            </w:pPr>
            <w:r>
              <w:rPr/>
              <w:t> </w:t>
            </w:r>
          </w:p>
        </w:tc>
        <w:tc>
          <w:tcPr>
            <w:tcW w:w="9939"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10028" w:type="dxa"/>
        <w:jc w:val="left"/>
        <w:tblInd w:w="0" w:type="dxa"/>
        <w:tblLayout w:type="fixed"/>
        <w:tblCellMar>
          <w:top w:w="0" w:type="dxa"/>
          <w:left w:w="0" w:type="dxa"/>
          <w:bottom w:w="0" w:type="dxa"/>
          <w:right w:w="0" w:type="dxa"/>
        </w:tblCellMar>
      </w:tblPr>
      <w:tblGrid>
        <w:gridCol w:w="4580"/>
        <w:gridCol w:w="90"/>
        <w:gridCol w:w="94"/>
        <w:gridCol w:w="1065"/>
        <w:gridCol w:w="90"/>
        <w:gridCol w:w="90"/>
        <w:gridCol w:w="272"/>
        <w:gridCol w:w="753"/>
        <w:gridCol w:w="90"/>
        <w:gridCol w:w="90"/>
        <w:gridCol w:w="205"/>
        <w:gridCol w:w="1075"/>
        <w:gridCol w:w="90"/>
        <w:gridCol w:w="90"/>
        <w:gridCol w:w="272"/>
        <w:gridCol w:w="947"/>
        <w:gridCol w:w="135"/>
      </w:tblGrid>
      <w:tr>
        <w:trPr/>
        <w:tc>
          <w:tcPr>
            <w:tcW w:w="45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both"/>
              <w:rPr/>
            </w:pPr>
            <w:r>
              <w:rPr/>
              <w:t>Outstanding—December 28, 2025</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4,930,300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947" w:type="dxa"/>
            <w:tcBorders/>
            <w:shd w:fill="CCEEFF" w:val="clear"/>
            <w:vAlign w:val="center"/>
          </w:tcPr>
          <w:p>
            <w:pPr>
              <w:pStyle w:val="TableContents"/>
              <w:bidi w:val="0"/>
              <w:spacing w:before="0" w:after="283"/>
              <w:jc w:val="right"/>
              <w:rPr/>
            </w:pPr>
            <w:r>
              <w:rPr/>
              <w:t>1,903</w:t>
            </w:r>
          </w:p>
        </w:tc>
        <w:tc>
          <w:tcPr>
            <w:tcW w:w="13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both"/>
              <w:rPr/>
            </w:pPr>
            <w:r>
              <w:rPr/>
              <w:t>Options exercised</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both"/>
              <w:rPr/>
            </w:pPr>
            <w:r>
              <w:rPr/>
              <w:t>Outstanding—March 29, 2026</w:t>
            </w:r>
          </w:p>
        </w:tc>
        <w:tc>
          <w:tcPr>
            <w:tcW w:w="9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1,376</w:t>
            </w:r>
          </w:p>
        </w:tc>
        <w:tc>
          <w:tcPr>
            <w:tcW w:w="13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both"/>
              <w:rPr/>
            </w:pPr>
            <w:r>
              <w:rPr/>
              <w:t>Vested and expected to vest — March 29, 2026</w:t>
            </w:r>
          </w:p>
        </w:tc>
        <w:tc>
          <w:tcPr>
            <w:tcW w:w="90" w:type="dxa"/>
            <w:tcBorders/>
            <w:vAlign w:val="center"/>
          </w:tcPr>
          <w:p>
            <w:pPr>
              <w:pStyle w:val="TableContents"/>
              <w:bidi w:val="0"/>
              <w:spacing w:before="0" w:after="283"/>
              <w:jc w:val="left"/>
              <w:rPr/>
            </w:pPr>
            <w:r>
              <w:rPr/>
              <w:t> </w:t>
            </w:r>
          </w:p>
        </w:tc>
        <w:tc>
          <w:tcPr>
            <w:tcW w:w="9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tcMar>
              <w:bottom w:w="28" w:type="dxa"/>
            </w:tcMar>
            <w:vAlign w:val="center"/>
          </w:tcPr>
          <w:p>
            <w:pPr>
              <w:pStyle w:val="TableContents"/>
              <w:bidi w:val="0"/>
              <w:spacing w:before="0" w:after="283"/>
              <w:jc w:val="right"/>
              <w:rPr/>
            </w:pPr>
            <w:r>
              <w:rPr/>
              <w:t>4,930,300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4.62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5.74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1,376</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both"/>
              <w:rPr/>
            </w:pPr>
            <w:r>
              <w:rPr/>
              <w:t>Vested and exercisable — March 29, 2026</w:t>
            </w:r>
          </w:p>
        </w:tc>
        <w:tc>
          <w:tcPr>
            <w:tcW w:w="9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shd w:fill="CCEEFF" w:val="clear"/>
            <w:tcMar>
              <w:bottom w:w="28" w:type="dxa"/>
            </w:tcMar>
            <w:vAlign w:val="center"/>
          </w:tcPr>
          <w:p>
            <w:pPr>
              <w:pStyle w:val="TableContents"/>
              <w:bidi w:val="0"/>
              <w:spacing w:before="0" w:after="283"/>
              <w:jc w:val="right"/>
              <w:rPr/>
            </w:pPr>
            <w:r>
              <w:rPr/>
              <w:t>1,781,378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5.39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472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in the thirteen week periods ended March 29, 2026, and March 30, 2025 were $1.3 million and $3.8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6049" w:type="dxa"/>
        <w:jc w:val="left"/>
        <w:tblInd w:w="0" w:type="dxa"/>
        <w:tblLayout w:type="fixed"/>
        <w:tblCellMar>
          <w:top w:w="0" w:type="dxa"/>
          <w:left w:w="0" w:type="dxa"/>
          <w:bottom w:w="0" w:type="dxa"/>
          <w:right w:w="0" w:type="dxa"/>
        </w:tblCellMar>
      </w:tblPr>
      <w:tblGrid>
        <w:gridCol w:w="3125"/>
        <w:gridCol w:w="90"/>
        <w:gridCol w:w="90"/>
        <w:gridCol w:w="1130"/>
        <w:gridCol w:w="125"/>
        <w:gridCol w:w="90"/>
        <w:gridCol w:w="335"/>
        <w:gridCol w:w="929"/>
        <w:gridCol w:w="135"/>
      </w:tblGrid>
      <w:tr>
        <w:trPr/>
        <w:tc>
          <w:tcPr>
            <w:tcW w:w="3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RSUs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 xml:space="preserve">Average </w:t>
              <w:br/>
              <w:t xml:space="preserve">Grant Date </w:t>
              <w:br/>
              <w:t>Fair Value</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14,234,360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and released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Cancelled or forfeited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March 29, 2026</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13,369,260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in the thirteen week periods ended March 29, 2026 and March 30, 2025 were $1.5 million and $0.5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there was a total of $0.9 million and $21.3 million of unrecognized stock-based compensation costs related to service-based options and RSUs, respectively. Such compensation cost is expected to be recognized over a weighted-average period of approximately 2.3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29" w:type="dxa"/>
        <w:jc w:val="left"/>
        <w:tblInd w:w="0" w:type="dxa"/>
        <w:tblLayout w:type="fixed"/>
        <w:tblCellMar>
          <w:top w:w="0" w:type="dxa"/>
          <w:left w:w="0" w:type="dxa"/>
          <w:bottom w:w="0" w:type="dxa"/>
          <w:right w:w="0" w:type="dxa"/>
        </w:tblCellMar>
      </w:tblPr>
      <w:tblGrid>
        <w:gridCol w:w="3920"/>
        <w:gridCol w:w="90"/>
        <w:gridCol w:w="268"/>
        <w:gridCol w:w="933"/>
        <w:gridCol w:w="142"/>
        <w:gridCol w:w="142"/>
        <w:gridCol w:w="321"/>
        <w:gridCol w:w="778"/>
        <w:gridCol w:w="135"/>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135"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90" w:type="dxa"/>
            <w:tcBorders/>
            <w:shd w:fill="CCEEFF" w:val="clear"/>
            <w:vAlign w:val="center"/>
          </w:tcPr>
          <w:p>
            <w:pPr>
              <w:pStyle w:val="TableContents"/>
              <w:bidi w:val="0"/>
              <w:spacing w:before="0" w:after="283"/>
              <w:jc w:val="left"/>
              <w:rPr/>
            </w:pPr>
            <w:r>
              <w:rPr/>
              <w:t> </w:t>
            </w:r>
          </w:p>
        </w:tc>
        <w:tc>
          <w:tcPr>
            <w:tcW w:w="2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stock-based compensation expense</w:t>
            </w:r>
          </w:p>
        </w:tc>
        <w:tc>
          <w:tcPr>
            <w:tcW w:w="90" w:type="dxa"/>
            <w:tcBorders/>
            <w:vAlign w:val="center"/>
          </w:tcPr>
          <w:p>
            <w:pPr>
              <w:pStyle w:val="TableContents"/>
              <w:bidi w:val="0"/>
              <w:spacing w:before="0" w:after="283"/>
              <w:jc w:val="left"/>
              <w:rPr/>
            </w:pPr>
            <w:r>
              <w:rPr/>
              <w:t> </w:t>
            </w:r>
          </w:p>
        </w:tc>
        <w:tc>
          <w:tcPr>
            <w:tcW w:w="26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2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Basic and Diluted Net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income per share. No dividends were declared or paid in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the Company’s basic and diluted net income per share attributable to common stockholders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9650" w:type="dxa"/>
        <w:jc w:val="left"/>
        <w:tblInd w:w="0" w:type="dxa"/>
        <w:tblLayout w:type="fixed"/>
        <w:tblCellMar>
          <w:top w:w="0" w:type="dxa"/>
          <w:left w:w="0" w:type="dxa"/>
          <w:bottom w:w="0" w:type="dxa"/>
          <w:right w:w="0" w:type="dxa"/>
        </w:tblCellMar>
      </w:tblPr>
      <w:tblGrid>
        <w:gridCol w:w="6335"/>
        <w:gridCol w:w="90"/>
        <w:gridCol w:w="170"/>
        <w:gridCol w:w="1250"/>
        <w:gridCol w:w="125"/>
        <w:gridCol w:w="90"/>
        <w:gridCol w:w="170"/>
        <w:gridCol w:w="1250"/>
        <w:gridCol w:w="170"/>
      </w:tblGrid>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30,</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b/>
              </w:rPr>
            </w:pPr>
            <w:r>
              <w:rPr>
                <w:b/>
              </w:rPr>
              <w:t>Numerator for basic income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Net income - basic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4,812</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b/>
              </w:rPr>
            </w:pPr>
            <w:r>
              <w:rPr>
                <w:b/>
              </w:rPr>
              <w:t>Numerator for diluted income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(4,882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July 2024 Notes derivative liability and interest expense, net of tax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(3,138</w:t>
            </w:r>
          </w:p>
        </w:tc>
        <w:tc>
          <w:tcPr>
            <w:tcW w:w="170" w:type="dxa"/>
            <w:tcBorders/>
            <w:vAlign w:val="center"/>
          </w:tcPr>
          <w:p>
            <w:pPr>
              <w:pStyle w:val="TableContents"/>
              <w:bidi w:val="0"/>
              <w:spacing w:before="0" w:after="283"/>
              <w:jc w:val="left"/>
              <w:rPr/>
            </w:pPr>
            <w:r>
              <w:rPr/>
              <w:t>)</w:t>
            </w:r>
          </w:p>
        </w:tc>
      </w:tr>
      <w:tr>
        <w:trPr/>
        <w:tc>
          <w:tcPr>
            <w:tcW w:w="6335" w:type="dxa"/>
            <w:tcBorders/>
            <w:shd w:fill="CCEEFF" w:val="clear"/>
            <w:vAlign w:val="center"/>
          </w:tcPr>
          <w:p>
            <w:pPr>
              <w:pStyle w:val="TableContents"/>
              <w:bidi w:val="0"/>
              <w:spacing w:before="0" w:after="283"/>
              <w:jc w:val="both"/>
              <w:rPr/>
            </w:pPr>
            <w:r>
              <w:rPr/>
              <w:t>Third SAFE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Net income -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319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1,694</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b/>
              </w:rPr>
            </w:pPr>
            <w:r>
              <w:rPr>
                <w:b/>
              </w:rPr>
              <w:t>Denominator: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Weighted average shares: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Denominator for basic income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124,279,055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80,209,585</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Effect of dilutive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16,912,704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July 2024 Notes derivative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27,364,717</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Third SAFE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2,750,000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2,750,000</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Stock options and RSUs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14,705,403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1,489,794</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Warrants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166,460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487,794</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Deferred consideration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4,973,840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Denominator for diluted income per share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163,787,462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112,302,063</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b/>
              </w:rPr>
            </w:pPr>
            <w:r>
              <w:rPr>
                <w:b/>
              </w:rPr>
              <w:t>Net income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Net income - basic</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0.06</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Net income–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calculation of  the weighted average shares outstanding is inclusive of 234,610 warrants with an insignificant exercise price (which assumes that the warrants were outstanding as of the beginning of the period or the date of the grant, whichever is earlier) for the thirteen week period ended March 29,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615" w:type="dxa"/>
        <w:jc w:val="left"/>
        <w:tblInd w:w="0" w:type="dxa"/>
        <w:tblLayout w:type="fixed"/>
        <w:tblCellMar>
          <w:top w:w="0" w:type="dxa"/>
          <w:left w:w="0" w:type="dxa"/>
          <w:bottom w:w="0" w:type="dxa"/>
          <w:right w:w="0" w:type="dxa"/>
        </w:tblCellMar>
      </w:tblPr>
      <w:tblGrid>
        <w:gridCol w:w="6770"/>
        <w:gridCol w:w="90"/>
        <w:gridCol w:w="90"/>
        <w:gridCol w:w="1130"/>
        <w:gridCol w:w="90"/>
        <w:gridCol w:w="90"/>
        <w:gridCol w:w="90"/>
        <w:gridCol w:w="1130"/>
        <w:gridCol w:w="135"/>
      </w:tblGrid>
      <w:tr>
        <w:trPr/>
        <w:tc>
          <w:tcPr>
            <w:tcW w:w="67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3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30,</w:t>
              <w:br/>
              <w:t>2025</w:t>
            </w:r>
          </w:p>
        </w:tc>
        <w:tc>
          <w:tcPr>
            <w:tcW w:w="135" w:type="dxa"/>
            <w:tcBorders/>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65,722,738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37,333,318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770" w:type="dxa"/>
            <w:tcBorders/>
            <w:vAlign w:val="center"/>
          </w:tcPr>
          <w:p>
            <w:pPr>
              <w:pStyle w:val="TableContents"/>
              <w:bidi w:val="0"/>
              <w:spacing w:before="0" w:after="283"/>
              <w:jc w:val="left"/>
              <w:rPr/>
            </w:pPr>
            <w:r>
              <w:rPr/>
              <w:t>Total potential common shares excluded from diluted net loss per share</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65,722,738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37,333,318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by segment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90"/>
        <w:gridCol w:w="90"/>
        <w:gridCol w:w="211"/>
        <w:gridCol w:w="979"/>
        <w:gridCol w:w="125"/>
        <w:gridCol w:w="90"/>
        <w:gridCol w:w="177"/>
        <w:gridCol w:w="743"/>
        <w:gridCol w:w="125"/>
        <w:gridCol w:w="90"/>
        <w:gridCol w:w="170"/>
        <w:gridCol w:w="710"/>
        <w:gridCol w:w="90"/>
        <w:gridCol w:w="90"/>
        <w:gridCol w:w="170"/>
        <w:gridCol w:w="785"/>
        <w:gridCol w:w="170"/>
      </w:tblGrid>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70" w:type="dxa"/>
            <w:tcBorders/>
            <w:vAlign w:val="center"/>
          </w:tcPr>
          <w:p>
            <w:pPr>
              <w:pStyle w:val="TableContents"/>
              <w:bidi w:val="0"/>
              <w:spacing w:before="0" w:after="283"/>
              <w:jc w:val="left"/>
              <w:rPr/>
            </w:pPr>
            <w:r>
              <w:rPr/>
              <w:t> </w:t>
            </w:r>
          </w:p>
        </w:tc>
      </w:tr>
      <w:tr>
        <w:trPr/>
        <w:tc>
          <w:tcPr>
            <w:tcW w:w="53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 thousands)</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New </w:t>
              <w:br/>
              <w:t xml:space="preserve">Homes </w:t>
              <w:br/>
              <w:t>Business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revenues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operating income (loss)</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(19,195</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of segment income (loss) from operations before income taxes: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Unallocated amounts: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(6,924</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income, net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 before taxes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275"/>
        <w:gridCol w:w="9665"/>
      </w:tblGrid>
      <w:tr>
        <w:trPr/>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29, 2026 was as follows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28" w:type="dxa"/>
          <w:right w:w="0" w:type="dxa"/>
        </w:tblCellMar>
      </w:tblPr>
      <w:tblGrid>
        <w:gridCol w:w="4145"/>
        <w:gridCol w:w="90"/>
        <w:gridCol w:w="389"/>
        <w:gridCol w:w="801"/>
        <w:gridCol w:w="90"/>
        <w:gridCol w:w="90"/>
        <w:gridCol w:w="300"/>
        <w:gridCol w:w="620"/>
        <w:gridCol w:w="90"/>
        <w:gridCol w:w="90"/>
        <w:gridCol w:w="237"/>
        <w:gridCol w:w="488"/>
        <w:gridCol w:w="90"/>
        <w:gridCol w:w="90"/>
        <w:gridCol w:w="192"/>
        <w:gridCol w:w="398"/>
        <w:gridCol w:w="135"/>
      </w:tblGrid>
      <w:tr>
        <w:trPr/>
        <w:tc>
          <w:tcPr>
            <w:tcW w:w="4145" w:type="dxa"/>
            <w:tcBorders>
              <w:bottom w:val="single" w:sz="1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90" w:type="dxa"/>
            <w:tcBorders/>
            <w:tcMar>
              <w:bottom w:w="0" w:type="dxa"/>
            </w:tcMar>
            <w:vAlign w:val="center"/>
          </w:tcPr>
          <w:p>
            <w:pPr>
              <w:pStyle w:val="TableContents"/>
              <w:bidi w:val="0"/>
              <w:spacing w:before="0" w:after="283"/>
              <w:jc w:val="left"/>
              <w:rPr/>
            </w:pPr>
            <w:r>
              <w:rPr/>
              <w:t> </w:t>
            </w:r>
          </w:p>
        </w:tc>
        <w:tc>
          <w:tcPr>
            <w:tcW w:w="389" w:type="dxa"/>
            <w:tcBorders>
              <w:bottom w:val="single" w:sz="12" w:space="0" w:color="000000"/>
            </w:tcBorders>
            <w:vAlign w:val="center"/>
          </w:tcPr>
          <w:p>
            <w:pPr>
              <w:pStyle w:val="TableContents"/>
              <w:bidi w:val="0"/>
              <w:spacing w:before="0" w:after="283"/>
              <w:jc w:val="left"/>
              <w:rPr/>
            </w:pPr>
            <w:r>
              <w:rPr/>
              <w:t> </w:t>
            </w:r>
          </w:p>
        </w:tc>
        <w:tc>
          <w:tcPr>
            <w:tcW w:w="80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7" w:type="dxa"/>
            <w:tcBorders>
              <w:bottom w:val="single" w:sz="12" w:space="0" w:color="000000"/>
            </w:tcBorders>
            <w:vAlign w:val="center"/>
          </w:tcPr>
          <w:p>
            <w:pPr>
              <w:pStyle w:val="TableContents"/>
              <w:bidi w:val="0"/>
              <w:spacing w:before="0" w:after="283"/>
              <w:jc w:val="left"/>
              <w:rPr/>
            </w:pPr>
            <w:r>
              <w:rPr/>
              <w:t> </w:t>
            </w:r>
          </w:p>
        </w:tc>
        <w:tc>
          <w:tcPr>
            <w:tcW w:w="48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2" w:type="dxa"/>
            <w:tcBorders>
              <w:bottom w:val="single" w:sz="12" w:space="0" w:color="000000"/>
            </w:tcBorders>
            <w:vAlign w:val="center"/>
          </w:tcPr>
          <w:p>
            <w:pPr>
              <w:pStyle w:val="TableContents"/>
              <w:bidi w:val="0"/>
              <w:spacing w:before="0" w:after="283"/>
              <w:jc w:val="left"/>
              <w:rPr/>
            </w:pPr>
            <w:r>
              <w:rPr/>
              <w:t> </w:t>
            </w:r>
          </w:p>
        </w:tc>
        <w:tc>
          <w:tcPr>
            <w:tcW w:w="39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9"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1"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5"/>
        <w:gridCol w:w="90"/>
        <w:gridCol w:w="211"/>
        <w:gridCol w:w="979"/>
        <w:gridCol w:w="131"/>
        <w:gridCol w:w="94"/>
        <w:gridCol w:w="183"/>
        <w:gridCol w:w="757"/>
        <w:gridCol w:w="94"/>
        <w:gridCol w:w="94"/>
        <w:gridCol w:w="267"/>
        <w:gridCol w:w="458"/>
        <w:gridCol w:w="94"/>
        <w:gridCol w:w="94"/>
        <w:gridCol w:w="178"/>
        <w:gridCol w:w="749"/>
        <w:gridCol w:w="177"/>
      </w:tblGrid>
      <w:tr>
        <w:trPr/>
        <w:tc>
          <w:tcPr>
            <w:tcW w:w="5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Thirteen Weeks Ended March 30, 2025</w:t>
            </w:r>
          </w:p>
        </w:tc>
        <w:tc>
          <w:tcPr>
            <w:tcW w:w="177" w:type="dxa"/>
            <w:tcBorders/>
            <w:vAlign w:val="center"/>
          </w:tcPr>
          <w:p>
            <w:pPr>
              <w:pStyle w:val="TableContents"/>
              <w:bidi w:val="0"/>
              <w:spacing w:before="0" w:after="283"/>
              <w:jc w:val="left"/>
              <w:rPr/>
            </w:pPr>
            <w:r>
              <w:rPr/>
              <w:t> </w:t>
            </w:r>
          </w:p>
        </w:tc>
      </w:tr>
      <w:tr>
        <w:trPr/>
        <w:tc>
          <w:tcPr>
            <w:tcW w:w="5555"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w:t>
              <w:br/>
              <w:t xml:space="preserve">Homes </w:t>
              <w:br/>
              <w:t>Business</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7"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Operating revenues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36,504</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41,909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78,413</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22,615</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28,422</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6,667</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1,017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8,522</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10,440</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center"/>
          </w:tcPr>
          <w:p>
            <w:pPr>
              <w:pStyle w:val="TableContents"/>
              <w:bidi w:val="0"/>
              <w:spacing w:before="0" w:after="283"/>
              <w:jc w:val="right"/>
              <w:rPr/>
            </w:pPr>
            <w:r>
              <w:rPr/>
              <w:t>4,456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Segment operating income (loss)</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tcMar>
              <w:bottom w:w="28" w:type="dxa"/>
            </w:tcMar>
            <w:vAlign w:val="center"/>
          </w:tcPr>
          <w:p>
            <w:pPr>
              <w:pStyle w:val="TableContents"/>
              <w:bidi w:val="0"/>
              <w:spacing w:before="0" w:after="283"/>
              <w:jc w:val="right"/>
              <w:rPr/>
            </w:pPr>
            <w:r>
              <w:rPr/>
              <w:t>(11,740</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tcMar>
              <w:bottom w:w="28" w:type="dxa"/>
            </w:tcMar>
            <w:vAlign w:val="center"/>
          </w:tcPr>
          <w:p>
            <w:pPr>
              <w:pStyle w:val="TableContents"/>
              <w:bidi w:val="0"/>
              <w:spacing w:before="0" w:after="283"/>
              <w:jc w:val="right"/>
              <w:rPr/>
            </w:pPr>
            <w:r>
              <w:rPr/>
              <w:t>8,014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458" w:type="dxa"/>
            <w:tcBorders>
              <w:bottom w:val="single" w:sz="12" w:space="0" w:color="000000"/>
            </w:tcBorders>
            <w:tcMar>
              <w:bottom w:w="28" w:type="dxa"/>
            </w:tcMar>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tcMar>
              <w:bottom w:w="28" w:type="dxa"/>
            </w:tcMar>
            <w:vAlign w:val="center"/>
          </w:tcPr>
          <w:p>
            <w:pPr>
              <w:pStyle w:val="TableContents"/>
              <w:bidi w:val="0"/>
              <w:spacing w:before="0" w:after="283"/>
              <w:jc w:val="right"/>
              <w:rPr/>
            </w:pPr>
            <w:r>
              <w:rPr/>
              <w:t>(3,726</w:t>
            </w:r>
          </w:p>
        </w:tc>
        <w:tc>
          <w:tcPr>
            <w:tcW w:w="177" w:type="dxa"/>
            <w:tcBorders/>
            <w:vAlign w:val="center"/>
          </w:tcPr>
          <w:p>
            <w:pPr>
              <w:pStyle w:val="TableContents"/>
              <w:bidi w:val="0"/>
              <w:spacing w:before="0" w:after="283"/>
              <w:jc w:val="left"/>
              <w:rPr/>
            </w:pPr>
            <w:r>
              <w:rPr/>
              <w:t>)</w:t>
            </w:r>
          </w:p>
        </w:tc>
      </w:tr>
      <w:tr>
        <w:trPr/>
        <w:tc>
          <w:tcPr>
            <w:tcW w:w="55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ind w:left="0" w:right="0" w:hanging="180"/>
              <w:jc w:val="left"/>
              <w:rPr/>
            </w:pPr>
            <w:r>
              <w:rPr/>
              <w:t> </w:t>
            </w:r>
          </w:p>
        </w:tc>
      </w:tr>
      <w:tr>
        <w:trPr/>
        <w:tc>
          <w:tcPr>
            <w:tcW w:w="5555" w:type="dxa"/>
            <w:tcBorders/>
            <w:vAlign w:val="center"/>
          </w:tcPr>
          <w:p>
            <w:pPr>
              <w:pStyle w:val="TableContents"/>
              <w:bidi w:val="0"/>
              <w:spacing w:before="0" w:after="283"/>
              <w:jc w:val="left"/>
              <w:rPr>
                <w:i/>
              </w:rPr>
            </w:pPr>
            <w:r>
              <w:rPr>
                <w:i/>
              </w:rPr>
              <w:t>Reconciliation of segment income (loss) from operations before income taxes: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ind w:left="0" w:right="0" w:hanging="180"/>
              <w:jc w:val="left"/>
              <w:rPr/>
            </w:pPr>
            <w:r>
              <w:rPr/>
              <w:t> </w:t>
            </w:r>
          </w:p>
        </w:tc>
      </w:tr>
      <w:tr>
        <w:trPr/>
        <w:tc>
          <w:tcPr>
            <w:tcW w:w="5555" w:type="dxa"/>
            <w:tcBorders/>
            <w:shd w:fill="CCEEFF" w:val="clear"/>
            <w:vAlign w:val="center"/>
          </w:tcPr>
          <w:p>
            <w:pPr>
              <w:pStyle w:val="TableContents"/>
              <w:bidi w:val="0"/>
              <w:spacing w:before="0" w:after="283"/>
              <w:jc w:val="left"/>
              <w:rPr/>
            </w:pPr>
            <w:r>
              <w:rPr/>
              <w:t>Unallocated amounts: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(6,041</w:t>
            </w:r>
          </w:p>
        </w:tc>
        <w:tc>
          <w:tcPr>
            <w:tcW w:w="177" w:type="dxa"/>
            <w:tcBorders/>
            <w:vAlign w:val="center"/>
          </w:tcPr>
          <w:p>
            <w:pPr>
              <w:pStyle w:val="TableContents"/>
              <w:bidi w:val="0"/>
              <w:spacing w:before="0" w:after="283"/>
              <w:jc w:val="left"/>
              <w:rPr/>
            </w:pPr>
            <w:r>
              <w:rPr/>
              <w:t>)</w:t>
            </w:r>
          </w:p>
        </w:tc>
      </w:tr>
      <w:tr>
        <w:trPr/>
        <w:tc>
          <w:tcPr>
            <w:tcW w:w="555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Other non-operating income, net</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tcMar>
              <w:bottom w:w="28" w:type="dxa"/>
            </w:tcMar>
            <w:vAlign w:val="center"/>
          </w:tcPr>
          <w:p>
            <w:pPr>
              <w:pStyle w:val="TableContents"/>
              <w:bidi w:val="0"/>
              <w:spacing w:before="0" w:after="283"/>
              <w:jc w:val="right"/>
              <w:rPr/>
            </w:pPr>
            <w:r>
              <w:rPr/>
              <w:t>14,576</w:t>
            </w:r>
          </w:p>
        </w:tc>
        <w:tc>
          <w:tcPr>
            <w:tcW w:w="177" w:type="dxa"/>
            <w:tcBorders/>
            <w:vAlign w:val="center"/>
          </w:tcPr>
          <w:p>
            <w:pPr>
              <w:pStyle w:val="TableContents"/>
              <w:bidi w:val="0"/>
              <w:spacing w:before="0" w:after="283"/>
              <w:ind w:left="0" w:right="0" w:hanging="180"/>
              <w:jc w:val="left"/>
              <w:rPr/>
            </w:pPr>
            <w:r>
              <w:rPr/>
              <w:t> </w:t>
            </w:r>
          </w:p>
        </w:tc>
      </w:tr>
      <w:tr>
        <w:trPr/>
        <w:tc>
          <w:tcPr>
            <w:tcW w:w="5555" w:type="dxa"/>
            <w:tcBorders/>
            <w:shd w:fill="CCEEFF" w:val="clear"/>
            <w:vAlign w:val="center"/>
          </w:tcPr>
          <w:p>
            <w:pPr>
              <w:pStyle w:val="TableContents"/>
              <w:bidi w:val="0"/>
              <w:spacing w:before="0" w:after="283"/>
              <w:jc w:val="left"/>
              <w:rPr/>
            </w:pPr>
            <w:r>
              <w:rPr/>
              <w:t>Loss from operations before taxes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9" w:type="dxa"/>
            <w:tcBorders>
              <w:bottom w:val="double" w:sz="10" w:space="0" w:color="000000"/>
            </w:tcBorders>
            <w:shd w:fill="CCEEFF" w:val="clear"/>
            <w:tcMar>
              <w:bottom w:w="28" w:type="dxa"/>
            </w:tcMar>
            <w:vAlign w:val="center"/>
          </w:tcPr>
          <w:p>
            <w:pPr>
              <w:pStyle w:val="TableContents"/>
              <w:bidi w:val="0"/>
              <w:spacing w:before="0" w:after="283"/>
              <w:jc w:val="right"/>
              <w:rPr/>
            </w:pPr>
            <w:r>
              <w:rPr/>
              <w:t>4,812</w:t>
            </w:r>
          </w:p>
        </w:tc>
        <w:tc>
          <w:tcPr>
            <w:tcW w:w="1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275"/>
        <w:gridCol w:w="9710"/>
      </w:tblGrid>
      <w:tr>
        <w:trPr/>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30, 2025 was as follows (</w:t>
            </w:r>
            <w:r>
              <w:rPr>
                <w:rFonts w:ascii="Times New Roman;Times;Serif" w:hAnsi="Times New Roman;Times;Serif"/>
                <w:i/>
                <w:sz w:val="20"/>
              </w:rPr>
              <w:t>in millions</w:t>
            </w:r>
            <w:r>
              <w:rPr>
                <w:rFonts w:ascii="Times New Roman;Times;Serif" w:hAnsi="Times New Roman;Times;Serif"/>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28" w:type="dxa"/>
          <w:right w:w="0" w:type="dxa"/>
        </w:tblCellMar>
      </w:tblPr>
      <w:tblGrid>
        <w:gridCol w:w="4145"/>
        <w:gridCol w:w="90"/>
        <w:gridCol w:w="389"/>
        <w:gridCol w:w="801"/>
        <w:gridCol w:w="90"/>
        <w:gridCol w:w="90"/>
        <w:gridCol w:w="300"/>
        <w:gridCol w:w="620"/>
        <w:gridCol w:w="90"/>
        <w:gridCol w:w="90"/>
        <w:gridCol w:w="267"/>
        <w:gridCol w:w="458"/>
        <w:gridCol w:w="90"/>
        <w:gridCol w:w="90"/>
        <w:gridCol w:w="192"/>
        <w:gridCol w:w="398"/>
        <w:gridCol w:w="135"/>
      </w:tblGrid>
      <w:tr>
        <w:trPr/>
        <w:tc>
          <w:tcPr>
            <w:tcW w:w="4145" w:type="dxa"/>
            <w:tcBorders>
              <w:bottom w:val="single" w:sz="1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90" w:type="dxa"/>
            <w:tcBorders/>
            <w:tcMar>
              <w:bottom w:w="0" w:type="dxa"/>
            </w:tcMar>
            <w:vAlign w:val="center"/>
          </w:tcPr>
          <w:p>
            <w:pPr>
              <w:pStyle w:val="TableContents"/>
              <w:bidi w:val="0"/>
              <w:spacing w:before="0" w:after="283"/>
              <w:jc w:val="left"/>
              <w:rPr/>
            </w:pPr>
            <w:r>
              <w:rPr/>
              <w:t> </w:t>
            </w:r>
          </w:p>
        </w:tc>
        <w:tc>
          <w:tcPr>
            <w:tcW w:w="389" w:type="dxa"/>
            <w:tcBorders>
              <w:bottom w:val="single" w:sz="12" w:space="0" w:color="000000"/>
            </w:tcBorders>
            <w:vAlign w:val="center"/>
          </w:tcPr>
          <w:p>
            <w:pPr>
              <w:pStyle w:val="TableContents"/>
              <w:bidi w:val="0"/>
              <w:spacing w:before="0" w:after="283"/>
              <w:jc w:val="left"/>
              <w:rPr/>
            </w:pPr>
            <w:r>
              <w:rPr/>
              <w:t> </w:t>
            </w:r>
          </w:p>
        </w:tc>
        <w:tc>
          <w:tcPr>
            <w:tcW w:w="80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7" w:type="dxa"/>
            <w:tcBorders>
              <w:bottom w:val="single" w:sz="12" w:space="0" w:color="000000"/>
            </w:tcBorders>
            <w:vAlign w:val="center"/>
          </w:tcPr>
          <w:p>
            <w:pPr>
              <w:pStyle w:val="TableContents"/>
              <w:bidi w:val="0"/>
              <w:spacing w:before="0" w:after="283"/>
              <w:jc w:val="left"/>
              <w:rPr/>
            </w:pPr>
            <w:r>
              <w:rPr/>
              <w:t> </w:t>
            </w:r>
          </w:p>
        </w:tc>
        <w:tc>
          <w:tcPr>
            <w:tcW w:w="458"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2" w:type="dxa"/>
            <w:tcBorders>
              <w:bottom w:val="single" w:sz="12" w:space="0" w:color="000000"/>
            </w:tcBorders>
            <w:vAlign w:val="center"/>
          </w:tcPr>
          <w:p>
            <w:pPr>
              <w:pStyle w:val="TableContents"/>
              <w:bidi w:val="0"/>
              <w:spacing w:before="0" w:after="283"/>
              <w:jc w:val="left"/>
              <w:rPr/>
            </w:pPr>
            <w:r>
              <w:rPr/>
              <w:t> </w:t>
            </w:r>
          </w:p>
        </w:tc>
        <w:tc>
          <w:tcPr>
            <w:tcW w:w="39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9"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1"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8" w:type="dxa"/>
            <w:tcBorders>
              <w:bottom w:val="double" w:sz="10"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following notes to the Company’s unaudited condensed consolidated financial statements for details regarding the related party transactions entered into by the Company; </w:t>
      </w:r>
      <w:r>
        <w:rPr>
          <w:rFonts w:ascii="Times New Roman;Times;Serif" w:hAnsi="Times New Roman;Times;Serif"/>
          <w:b/>
          <w:i w:val="false"/>
          <w:caps w:val="false"/>
          <w:smallCaps w:val="false"/>
          <w:sz w:val="20"/>
        </w:rPr>
        <w:t>Note 2 – Basis of Presentation and Summary of Significant Accounting Policies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6 Supplemental Balance Sheet Information; Note 8 – SAFE Agreements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All other related party transactions are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with SameDay Solar was $0.5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Control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Wendell Laidley Resignation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Wendell Laidley resigned from his position as Chief Financial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Deposit by a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(“Fourth SAFE”) with the Rodgers Revocable Trust in exchange for the $5.0 million received. The Fourth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as an inducement to the Member’s agreement to the Amendment of the Seller Note,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Convertible Senior Secured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quarter ended March 29, 2026, on April 21, 2026, the Company entered into note purchase agreements in connection with a private offering of $41.0 million aggregate principal amount of 10.0% Convertible Senior Secured Notes due 2029 (the “10% Senior Secured Notes”). The offering included (i) $25.0 million of 10.0% Senior Secured Notes issued to institutional investors, (ii) $6.0 million of 10% Senior Secured Notes issued to an affiliate of the Company’s Chief Executive Officer in exchange for amounts previously advanced under the Third SAFE and Fourth SAFE, and (iii) $10.0 million of 10.0% Senior Secured Notes issued in connection with the exchange of the Seller Note and execution of the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mature on May 1, 2029 and bear interest at 10.00% per annum, payable quarterly in arrears beginning July 1, 2026. The 10% Senior Secured Notes are senior secured obligations of the Company and are fully and unconditionally guaranteed by a wholly owned subsidiary. The notes and guarantees are secured by first-priority liens on substantially all of the assets of the Company and the guarantor, subject to permitted liens and specified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are convertible at the option of the holders into shares of the Company’s common stock at an initial conversion price of approximately $1.64 per share (610.3143 shares of common stock per $1,000 principal amount of the 10% Senior Secured Notes). In addition, following certain corporate events that occur prior to the maturity date of the 10% Senior Secured Notes, the Company will, under certain circumstances, increase the conversion rate of the 10% Senior Secured Notes for a holder who elects to convert its 10% Senior Secured Notes in connection with such a corporate event, subject to a maximum conversion rate of $1.13 per share (884.9557 shares of the Company’s common stock per $1,000 principal amount of 10% Senior Secured Notes). The 10% Senior Secured Notes are not redeemable by the Company and include customary covenants, events of default, and change-of-control repurchase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offering of the 10% Senior Secured Notes were used to: (i) prepay $5.0 million principal amount of the March 2026 Bridge Note; (ii) pay $4.75 million pursuant to the Company’s settlement agreement with Siemens (as amended, the “Siemens Settlement”); (iii) pay $4.0 million to CPP in connection with the transactions under the CPP Note Purchase Agreement (as defined below); and (iv) pay approximately $1.5 million of fees and expenses incurred in connection with the Offering. The net proceeds of the Offering, after making the foregoing payments, were approximately $9.75 million. The Company intends to use the net proceeds of the Offering for working capital and general corporate purposes, including the payoff of the remaining outstanding balance of the YA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YA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offering of the 10% Senior Secured Notes, the Company and YA entered into a letter agreement (the “YA Letter”). Pursuant to the YA Letter, the Company agreed to voluntary prepay $5.0 million of the outstanding principal amount of March 2026 Bridge Note, resulting in a revised outstanding principal balance under the March 2026 Bridge Note of $5.0 million. The Company further agreed to repay the remaining principal balance and accrued interest under the YA Debenture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CPP Note Purchase Agreement and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a Note Purchase Agreement with CPP (the “CPP Note Purchase Agreement”) that provides for the following in exchange for the outstanding Seller Note (in addition to the issuance of $10.0 million principal amount of 10% Senior Secured Notes to CPP as summarized above): (i) the Company’s payment of $4.0 million in cash to CPP at the closing under the CPP Note Purchase Agreement and (ii) delivery of the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Siemens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Siemens and the Company amended the Settlement Agreement. Among other changes, the key terms of the amendment included (i) SunPower’s commitment to pay $4.75 million of the $9.5 million settlement amount by the end of April 2026, (ii) changing the threshold of the Fundraise Provision from $1.0 million to $5.0 million; (iii) putting Siemens’ first-priority continuing security interest pari pasu with the similarly secured interests of the note holders of the 10% Senior Secured Notes; and (iv) changing the acceleration amount in the Fundraise Provision from an acceleration of one remaining quarter to an acceleration of both remaining quarters. The Company made the $4.75 million April payment on April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of 7%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privately negotiated exchange agreements with certain holders of its outstanding 7.0% Notes due 2029. Pursuant to these agreements, $21.25 million principal amount of such notes was exchanged for an aggregate of 18.8 million shares of the Company’s common stock and approximately $0.46 million of cash for accrued interest. The exchanges are expected to reduce outstanding indebtedness and future cash interest obligations, but will increase the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29, 2026 $1.0 million of the September 2024 Notes were converted by holders into approximately 0.6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 in Filing of Form 10Q as of and for the thirteen week period ended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not filing the March 29, 2026 Form 10-Q within the timeframe by May 18, 2026 as required by the SEC, an event of default occurred under the Yorkville Notes, which results in an increase in the applicable interest rate to 18% (for so long as such event of default remains uncured). Upon filing this Form 10-Q on May 19, 2026 , the event of default was cured.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00"/>
        <w:gridCol w:w="90"/>
        <w:gridCol w:w="515"/>
      </w:tblGrid>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6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pPr>
            <w:r>
              <w:rPr/>
              <w:t> </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600"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sz w:val="20"/>
                </w:rPr>
                <w:t xml:space="preserve">Report of Independent Registered Public Accounting Firm </w:t>
              </w:r>
            </w:hyperlink>
            <w:hyperlink w:anchor="C_001">
              <w:r>
                <w:rPr>
                  <w:rStyle w:val="InternetLink"/>
                  <w:rFonts w:ascii="Times New Roman;Times;Serif" w:hAnsi="Times New Roman;Times;Serif"/>
                  <w:i/>
                  <w:sz w:val="20"/>
                </w:rPr>
                <w:t>(PCAOB ID 243)</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F-50</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600"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sz w:val="20"/>
                </w:rPr>
                <w:t>Consolidated Balance Sheets as of December 28, 2025 and December 29, 2024</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F-51</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ind w:left="0" w:right="0" w:hanging="180"/>
              <w:jc w:val="center"/>
              <w:rPr/>
            </w:pPr>
            <w:r>
              <w:rPr/>
              <w:t> </w:t>
            </w:r>
          </w:p>
        </w:tc>
      </w:tr>
      <w:tr>
        <w:trPr/>
        <w:tc>
          <w:tcPr>
            <w:tcW w:w="9600"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sz w:val="20"/>
                </w:rPr>
                <w:t>Consolidated Statements of Operations and Comprehensive Loss for the Fiscal Years Ended December 28, 2025 and December 29, 2024</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F-52</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ind w:left="0" w:right="0" w:hanging="180"/>
              <w:jc w:val="center"/>
              <w:rPr/>
            </w:pPr>
            <w:r>
              <w:rPr/>
              <w:t> </w:t>
            </w:r>
          </w:p>
        </w:tc>
      </w:tr>
      <w:tr>
        <w:trPr/>
        <w:tc>
          <w:tcPr>
            <w:tcW w:w="9600"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sz w:val="20"/>
                </w:rPr>
                <w:t>Consolidated Statements of Stockholders’ Deficit for the Fiscal Years Ended December 28, 2025 and December 29, 2024</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F-53</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ind w:left="0" w:right="0" w:hanging="180"/>
              <w:jc w:val="center"/>
              <w:rPr/>
            </w:pPr>
            <w:r>
              <w:rPr/>
              <w:t> </w:t>
            </w:r>
          </w:p>
        </w:tc>
      </w:tr>
      <w:tr>
        <w:trPr/>
        <w:tc>
          <w:tcPr>
            <w:tcW w:w="9600"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sz w:val="20"/>
                </w:rPr>
                <w:t>Consolidated Statements of Cash Flows for the for the Fiscal Years Ended December 28, 2025 and December 29, 2024</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F-54</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600"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sz w:val="20"/>
                </w:rPr>
                <w:t>Notes to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C_001"/>
      <w:bookmarkEnd w:id="2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SunPower Inc. (the “Company”) as of December 28, 2025 and December 29, 2024, the related consolidated statements of operations and comprehensive loss, stockholders’ deficit, and cash flows for the fiscal years then ended, and the related notes collectively referred to as the “consolidated financial statements.” In our opinion, the consolidated financial statements present fairly, in all material respects, the financial position of the Company at December 28, 2025 and December 29, 2024, and the results of its operations and its cash flows for the fiscal years then ended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and has negative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C_002"/>
      <w:bookmarkEnd w:id="28"/>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88"/>
        <w:gridCol w:w="90"/>
        <w:gridCol w:w="220"/>
        <w:gridCol w:w="1177"/>
        <w:gridCol w:w="125"/>
        <w:gridCol w:w="90"/>
        <w:gridCol w:w="220"/>
        <w:gridCol w:w="1177"/>
        <w:gridCol w:w="318"/>
      </w:tblGrid>
      <w:tr>
        <w:trPr/>
        <w:tc>
          <w:tcPr>
            <w:tcW w:w="67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center"/>
              <w:rPr>
                <w:b/>
              </w:rPr>
            </w:pPr>
            <w:r>
              <w:rPr>
                <w:b/>
              </w:rPr>
              <w:t>December 29,</w:t>
            </w:r>
          </w:p>
        </w:tc>
        <w:tc>
          <w:tcPr>
            <w:tcW w:w="318" w:type="dxa"/>
            <w:tcBorders/>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18" w:type="dxa"/>
            <w:tcBorders/>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right"/>
              <w:rPr/>
            </w:pPr>
            <w:r>
              <w:rPr/>
              <w:t> </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9,617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13,378</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Trade accounts receivable, net of allowance for credit losses of $5,206 and $1,701 as of December 28, 2025 and December 29, 2024, respectively</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67,824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25,842</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4,375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22,110</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16,913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8,206</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Contract assets, current portion</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318" w:type="dxa"/>
            <w:tcBorders/>
            <w:shd w:fill="CCEEFF" w:val="clear"/>
            <w:vAlign w:val="center"/>
          </w:tcPr>
          <w:p>
            <w:pPr>
              <w:pStyle w:val="TableContents"/>
              <w:bidi w:val="0"/>
              <w:spacing w:before="0" w:after="283"/>
              <w:ind w:left="0" w:right="0" w:firstLine="180"/>
              <w:jc w:val="left"/>
              <w:rPr/>
            </w:pPr>
            <w:r>
              <w:rPr/>
              <w:t> </w:t>
            </w:r>
          </w:p>
        </w:tc>
      </w:tr>
      <w:tr>
        <w:trPr/>
        <w:tc>
          <w:tcPr>
            <w:tcW w:w="6788"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112,851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95,602</w:t>
            </w:r>
          </w:p>
        </w:tc>
        <w:tc>
          <w:tcPr>
            <w:tcW w:w="318" w:type="dxa"/>
            <w:tcBorders/>
            <w:vAlign w:val="center"/>
          </w:tcPr>
          <w:p>
            <w:pPr>
              <w:pStyle w:val="TableContents"/>
              <w:bidi w:val="0"/>
              <w:spacing w:before="0" w:after="283"/>
              <w:ind w:left="0" w:right="0" w:hanging="360"/>
              <w:jc w:val="left"/>
              <w:rPr/>
            </w:pPr>
            <w:r>
              <w:rPr/>
              <w:t> </w:t>
            </w:r>
          </w:p>
        </w:tc>
      </w:tr>
      <w:tr>
        <w:trPr/>
        <w:tc>
          <w:tcPr>
            <w:tcW w:w="6788" w:type="dxa"/>
            <w:tcBorders/>
            <w:shd w:fill="CCEEFF" w:val="clear"/>
            <w:vAlign w:val="center"/>
          </w:tcPr>
          <w:p>
            <w:pPr>
              <w:pStyle w:val="TableContents"/>
              <w:bidi w:val="0"/>
              <w:spacing w:before="0" w:after="283"/>
              <w:jc w:val="left"/>
              <w:rPr/>
            </w:pPr>
            <w:r>
              <w:rPr/>
              <w:t>Restricted cash</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3,841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3,841</w:t>
            </w:r>
          </w:p>
        </w:tc>
        <w:tc>
          <w:tcPr>
            <w:tcW w:w="318" w:type="dxa"/>
            <w:tcBorders/>
            <w:shd w:fill="CCEEFF" w:val="clear"/>
            <w:vAlign w:val="center"/>
          </w:tcPr>
          <w:p>
            <w:pPr>
              <w:pStyle w:val="TableContents"/>
              <w:bidi w:val="0"/>
              <w:spacing w:before="0" w:after="283"/>
              <w:ind w:left="0" w:right="0" w:hanging="360"/>
              <w:jc w:val="left"/>
              <w:rPr/>
            </w:pPr>
            <w:r>
              <w:rPr/>
              <w:t> </w:t>
            </w:r>
          </w:p>
        </w:tc>
      </w:tr>
      <w:tr>
        <w:trPr/>
        <w:tc>
          <w:tcPr>
            <w:tcW w:w="6788"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4,890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5,493</w:t>
            </w:r>
          </w:p>
        </w:tc>
        <w:tc>
          <w:tcPr>
            <w:tcW w:w="318" w:type="dxa"/>
            <w:tcBorders/>
            <w:vAlign w:val="center"/>
          </w:tcPr>
          <w:p>
            <w:pPr>
              <w:pStyle w:val="TableContents"/>
              <w:bidi w:val="0"/>
              <w:spacing w:before="0" w:after="283"/>
              <w:ind w:left="0" w:right="0" w:hanging="360"/>
              <w:jc w:val="left"/>
              <w:rPr/>
            </w:pPr>
            <w:r>
              <w:rPr/>
              <w:t> </w:t>
            </w:r>
          </w:p>
        </w:tc>
      </w:tr>
      <w:tr>
        <w:trPr/>
        <w:tc>
          <w:tcPr>
            <w:tcW w:w="6788"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4,552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3,041</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1,609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628</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62,630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18,476</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50,814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17,385</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7" w:type="dxa"/>
            <w:tcBorders>
              <w:bottom w:val="double" w:sz="10" w:space="0" w:color="000000"/>
            </w:tcBorders>
            <w:shd w:fill="CCEEFF" w:val="clear"/>
            <w:tcMar>
              <w:bottom w:w="28" w:type="dxa"/>
            </w:tcMar>
            <w:vAlign w:val="center"/>
          </w:tcPr>
          <w:p>
            <w:pPr>
              <w:pStyle w:val="TableContents"/>
              <w:bidi w:val="0"/>
              <w:spacing w:before="0" w:after="283"/>
              <w:jc w:val="right"/>
              <w:rPr/>
            </w:pPr>
            <w:r>
              <w:rPr/>
              <w:t>241,187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7" w:type="dxa"/>
            <w:tcBorders>
              <w:bottom w:val="double" w:sz="10" w:space="0" w:color="000000"/>
            </w:tcBorders>
            <w:shd w:fill="CCEEFF" w:val="clear"/>
            <w:tcMar>
              <w:bottom w:w="28" w:type="dxa"/>
            </w:tcMar>
            <w:vAlign w:val="center"/>
          </w:tcPr>
          <w:p>
            <w:pPr>
              <w:pStyle w:val="TableContents"/>
              <w:bidi w:val="0"/>
              <w:spacing w:before="0" w:after="283"/>
              <w:jc w:val="right"/>
              <w:rPr/>
            </w:pPr>
            <w:r>
              <w:rPr/>
              <w:t>144,466</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b/>
              </w:rPr>
            </w:pPr>
            <w:r>
              <w:rPr>
                <w:b/>
              </w:rPr>
              <w:t>LIABILITIES AND STOCKHOLDERS’ DEFICIT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26,240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7,980</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sz w:val="20"/>
              </w:rPr>
            </w:pPr>
            <w:r>
              <w:rPr>
                <w:sz w:val="20"/>
              </w:rPr>
              <w:t xml:space="preserve">Accrued expenses and other current liabilities </w:t>
            </w:r>
            <w:r>
              <w:rPr>
                <w:position w:val="7"/>
                <w:sz w:val="16"/>
                <w:sz w:val="20"/>
              </w:rPr>
              <w:t>(1)</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56,977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56,081</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Short-term debt with related parties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1,500</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Current portion of long-term notes payable</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Deferred consideration, current with related party</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16,879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0"/>
              <w:jc w:val="right"/>
              <w:rPr/>
            </w:pPr>
            <w:r>
              <w:rPr/>
              <w:t>—</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Deferred consideration, current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5,420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Contract liabilities, current portion</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20,336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10,003</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SAFE Agreement with related party</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384</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Forward purchase agreement liabilities with related parties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1,274</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Forward purchase agreement liabilities</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3,965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2,220</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154,638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79,442</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Warranty provision, noncurrent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3,059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3,437</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Warrant liability</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4,361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1,561</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Contract liabilities, noncurrent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794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918</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Notes payable and derivative liabilities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120,159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92,638</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Notes payable and derivative liabilities with related parties, net of current portion</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35,130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53,193</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Deferred income taxes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1,300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0"/>
              <w:jc w:val="right"/>
              <w:rPr/>
            </w:pPr>
            <w:r>
              <w:rPr/>
              <w:t>—</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Deferred consideration, noncurrent with related party</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5,420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Other long-term liabilities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10,816</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331,331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242,005</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Commitments and contingencies (Note 12)</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 </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b/>
              </w:rPr>
            </w:pPr>
            <w:r>
              <w:rPr>
                <w:b/>
              </w:rPr>
              <w:t>Stockholders’ (deficit):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Common stock, $0.0001 par value; Authorized 1,000,000,000 shares as of December 28, 2025 and December 29, 2024; issued and outstanding 111,334,959 and 73,784,645 shares as of December 28, 2025 and December 29, 2024, respectively</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14</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366,408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313,661</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Accumulated other comprehensive loss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165</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(456,733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(411,379</w:t>
            </w:r>
          </w:p>
        </w:tc>
        <w:tc>
          <w:tcPr>
            <w:tcW w:w="318" w:type="dxa"/>
            <w:tcBorders/>
            <w:vAlign w:val="center"/>
          </w:tcPr>
          <w:p>
            <w:pPr>
              <w:pStyle w:val="TableContents"/>
              <w:bidi w:val="0"/>
              <w:spacing w:before="0" w:after="283"/>
              <w:ind w:left="0" w:right="0" w:hanging="180"/>
              <w:jc w:val="left"/>
              <w:rPr/>
            </w:pPr>
            <w:r>
              <w:rPr/>
              <w:t>)</w:t>
            </w:r>
          </w:p>
        </w:tc>
      </w:tr>
      <w:tr>
        <w:trPr/>
        <w:tc>
          <w:tcPr>
            <w:tcW w:w="6788" w:type="dxa"/>
            <w:tcBorders/>
            <w:shd w:fill="CCEEFF" w:val="clear"/>
            <w:vAlign w:val="center"/>
          </w:tcPr>
          <w:p>
            <w:pPr>
              <w:pStyle w:val="TableContents"/>
              <w:bidi w:val="0"/>
              <w:spacing w:before="0" w:after="283"/>
              <w:jc w:val="left"/>
              <w:rPr/>
            </w:pPr>
            <w:r>
              <w:rPr/>
              <w:t>Total stockholders’ (deficit)</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(97,539</w:t>
            </w:r>
          </w:p>
        </w:tc>
        <w:tc>
          <w:tcPr>
            <w:tcW w:w="318" w:type="dxa"/>
            <w:tcBorders/>
            <w:shd w:fill="CCEEFF" w:val="clear"/>
            <w:vAlign w:val="center"/>
          </w:tcPr>
          <w:p>
            <w:pPr>
              <w:pStyle w:val="TableContents"/>
              <w:bidi w:val="0"/>
              <w:spacing w:before="0" w:after="283"/>
              <w:ind w:left="0" w:right="0" w:hanging="180"/>
              <w:jc w:val="left"/>
              <w:rPr/>
            </w:pPr>
            <w:r>
              <w:rPr/>
              <w:t>)</w:t>
            </w:r>
          </w:p>
        </w:tc>
      </w:tr>
      <w:tr>
        <w:trPr/>
        <w:tc>
          <w:tcPr>
            <w:tcW w:w="6788" w:type="dxa"/>
            <w:tcBorders/>
            <w:vAlign w:val="center"/>
          </w:tcPr>
          <w:p>
            <w:pPr>
              <w:pStyle w:val="TableContents"/>
              <w:bidi w:val="0"/>
              <w:spacing w:before="0" w:after="283"/>
              <w:jc w:val="left"/>
              <w:rPr/>
            </w:pPr>
            <w:r>
              <w:rPr/>
              <w:t>Total liabilities and stockholders’ (deficit)</w:t>
            </w:r>
          </w:p>
        </w:tc>
        <w:tc>
          <w:tcPr>
            <w:tcW w:w="90" w:type="dxa"/>
            <w:tcBorders/>
            <w:vAlign w:val="center"/>
          </w:tcPr>
          <w:p>
            <w:pPr>
              <w:pStyle w:val="TableContents"/>
              <w:bidi w:val="0"/>
              <w:spacing w:before="0" w:after="283"/>
              <w:jc w:val="left"/>
              <w:rPr/>
            </w:pPr>
            <w:r>
              <w:rPr/>
              <w:t> </w:t>
            </w:r>
          </w:p>
        </w:tc>
        <w:tc>
          <w:tcPr>
            <w:tcW w:w="22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7" w:type="dxa"/>
            <w:tcBorders>
              <w:bottom w:val="double" w:sz="10" w:space="0" w:color="000000"/>
            </w:tcBorders>
            <w:tcMar>
              <w:bottom w:w="28" w:type="dxa"/>
            </w:tcMar>
            <w:vAlign w:val="center"/>
          </w:tcPr>
          <w:p>
            <w:pPr>
              <w:pStyle w:val="TableContents"/>
              <w:bidi w:val="0"/>
              <w:spacing w:before="0" w:after="283"/>
              <w:jc w:val="right"/>
              <w:rPr/>
            </w:pPr>
            <w:r>
              <w:rPr/>
              <w:t>241,187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7" w:type="dxa"/>
            <w:tcBorders>
              <w:bottom w:val="double" w:sz="10" w:space="0" w:color="000000"/>
            </w:tcBorders>
            <w:tcMar>
              <w:bottom w:w="28" w:type="dxa"/>
            </w:tcMar>
            <w:vAlign w:val="center"/>
          </w:tcPr>
          <w:p>
            <w:pPr>
              <w:pStyle w:val="TableContents"/>
              <w:bidi w:val="0"/>
              <w:spacing w:before="0" w:after="283"/>
              <w:jc w:val="right"/>
              <w:rPr/>
            </w:pPr>
            <w:r>
              <w:rPr/>
              <w:t>144,466</w:t>
            </w:r>
          </w:p>
        </w:tc>
        <w:tc>
          <w:tcPr>
            <w:tcW w:w="31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6" w:type="dxa"/>
            <w:tcBorders/>
            <w:vAlign w:val="center"/>
          </w:tcPr>
          <w:p>
            <w:pPr>
              <w:pStyle w:val="TableContents"/>
              <w:bidi w:val="0"/>
              <w:spacing w:before="0" w:after="283"/>
              <w:jc w:val="both"/>
              <w:rPr/>
            </w:pPr>
            <w:r>
              <w:rPr/>
              <w:t>Includes accrued interest due to related parties of $2.6 million and $2.5 million as of December 28, 2025 and December 29, 2024, respectively, and includes investor financing deposit with related party of $2.0 million as of December 28,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C_003"/>
      <w:bookmarkEnd w:id="29"/>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94"/>
        <w:gridCol w:w="90"/>
        <w:gridCol w:w="184"/>
        <w:gridCol w:w="1232"/>
        <w:gridCol w:w="125"/>
        <w:gridCol w:w="90"/>
        <w:gridCol w:w="184"/>
        <w:gridCol w:w="1232"/>
        <w:gridCol w:w="174"/>
      </w:tblGrid>
      <w:tr>
        <w:trPr/>
        <w:tc>
          <w:tcPr>
            <w:tcW w:w="68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74" w:type="dxa"/>
            <w:tcBorders/>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16"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6" w:type="dxa"/>
            <w:gridSpan w:val="2"/>
            <w:tcBorders/>
            <w:vAlign w:val="center"/>
          </w:tcPr>
          <w:p>
            <w:pPr>
              <w:pStyle w:val="TableContents"/>
              <w:bidi w:val="0"/>
              <w:spacing w:before="0" w:after="283"/>
              <w:jc w:val="center"/>
              <w:rPr>
                <w:b/>
              </w:rPr>
            </w:pPr>
            <w:r>
              <w:rPr>
                <w:b/>
              </w:rPr>
              <w:t>December 29,</w:t>
            </w:r>
          </w:p>
        </w:tc>
        <w:tc>
          <w:tcPr>
            <w:tcW w:w="174" w:type="dxa"/>
            <w:tcBorders/>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sz w:val="20"/>
              </w:rPr>
            </w:pPr>
            <w:r>
              <w:rPr>
                <w:sz w:val="20"/>
              </w:rPr>
              <w:t>Revenues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300,000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108,742</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pPr>
            <w:r>
              <w:rPr/>
              <w:t xml:space="preserve">Cost of revenues </w:t>
            </w:r>
            <w:r>
              <w:rPr>
                <w:position w:val="8"/>
                <w:sz w:val="19"/>
              </w:rPr>
              <w:t>(1)</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170,788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69,240</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129,212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39,502</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37,009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24,590</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29,030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6,827</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90,104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76,594</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156,143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108,011</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(26,931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(68,509</w:t>
            </w:r>
          </w:p>
        </w:tc>
        <w:tc>
          <w:tcPr>
            <w:tcW w:w="174" w:type="dxa"/>
            <w:tcBorders/>
            <w:shd w:fill="CCEEFF" w:val="clear"/>
            <w:vAlign w:val="center"/>
          </w:tcPr>
          <w:p>
            <w:pPr>
              <w:pStyle w:val="TableContents"/>
              <w:bidi w:val="0"/>
              <w:spacing w:before="0" w:after="283"/>
              <w:jc w:val="left"/>
              <w:rPr/>
            </w:pPr>
            <w:r>
              <w:rPr/>
              <w:t>)</w:t>
            </w:r>
          </w:p>
        </w:tc>
      </w:tr>
      <w:tr>
        <w:trPr/>
        <w:tc>
          <w:tcPr>
            <w:tcW w:w="6894" w:type="dxa"/>
            <w:tcBorders/>
            <w:vAlign w:val="center"/>
          </w:tcPr>
          <w:p>
            <w:pPr>
              <w:pStyle w:val="TableContents"/>
              <w:bidi w:val="0"/>
              <w:spacing w:before="0" w:after="283"/>
              <w:jc w:val="left"/>
              <w:rPr>
                <w:sz w:val="20"/>
              </w:rPr>
            </w:pPr>
            <w:r>
              <w:rPr>
                <w:sz w:val="20"/>
              </w:rPr>
              <w:t xml:space="preserve">Interest expense </w:t>
            </w:r>
            <w:r>
              <w:rPr>
                <w:position w:val="7"/>
                <w:sz w:val="16"/>
                <w:sz w:val="20"/>
              </w:rPr>
              <w:t>(2)</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(25,095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(16,223</w:t>
            </w:r>
          </w:p>
        </w:tc>
        <w:tc>
          <w:tcPr>
            <w:tcW w:w="174" w:type="dxa"/>
            <w:tcBorders/>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19</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sz w:val="20"/>
              </w:rPr>
            </w:pPr>
            <w:r>
              <w:rPr>
                <w:sz w:val="20"/>
              </w:rPr>
              <w:t xml:space="preserve">Other non-operating income, net </w:t>
            </w:r>
            <w:r>
              <w:rPr>
                <w:position w:val="7"/>
                <w:sz w:val="16"/>
                <w:sz w:val="20"/>
              </w:rPr>
              <w:t>(3)</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9,347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7,932</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sz w:val="20"/>
              </w:rPr>
            </w:pPr>
            <w:r>
              <w:rPr>
                <w:sz w:val="20"/>
              </w:rPr>
              <w:t xml:space="preserve">Gain on troubled debt restructuring </w:t>
            </w:r>
            <w:r>
              <w:rPr>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pPr>
            <w:r>
              <w:rPr/>
              <w:t>Total Other (expense) income, net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(15,745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14,065</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(42,676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74" w:type="dxa"/>
            <w:tcBorders/>
            <w:shd w:fill="CCEEFF" w:val="clear"/>
            <w:vAlign w:val="center"/>
          </w:tcPr>
          <w:p>
            <w:pPr>
              <w:pStyle w:val="TableContents"/>
              <w:bidi w:val="0"/>
              <w:spacing w:before="0" w:after="283"/>
              <w:jc w:val="left"/>
              <w:rPr/>
            </w:pPr>
            <w:r>
              <w:rPr/>
              <w:t>)</w:t>
            </w:r>
          </w:p>
        </w:tc>
      </w:tr>
      <w:tr>
        <w:trPr/>
        <w:tc>
          <w:tcPr>
            <w:tcW w:w="6894" w:type="dxa"/>
            <w:tcBorders/>
            <w:vAlign w:val="center"/>
          </w:tcPr>
          <w:p>
            <w:pPr>
              <w:pStyle w:val="TableContents"/>
              <w:bidi w:val="0"/>
              <w:spacing w:before="0" w:after="283"/>
              <w:jc w:val="left"/>
              <w:rPr/>
            </w:pPr>
            <w:r>
              <w:rPr/>
              <w:t>Income tax (provision)</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(1,578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74" w:type="dxa"/>
            <w:tcBorders/>
            <w:shd w:fill="CCEEFF" w:val="clear"/>
            <w:vAlign w:val="center"/>
          </w:tcPr>
          <w:p>
            <w:pPr>
              <w:pStyle w:val="TableContents"/>
              <w:bidi w:val="0"/>
              <w:spacing w:before="0" w:after="283"/>
              <w:jc w:val="left"/>
              <w:rPr/>
            </w:pPr>
            <w:r>
              <w:rPr/>
              <w:t>)</w:t>
            </w:r>
          </w:p>
        </w:tc>
      </w:tr>
      <w:tr>
        <w:trPr/>
        <w:tc>
          <w:tcPr>
            <w:tcW w:w="6894" w:type="dxa"/>
            <w:tcBorders/>
            <w:vAlign w:val="center"/>
          </w:tcPr>
          <w:p>
            <w:pPr>
              <w:pStyle w:val="TableContents"/>
              <w:bidi w:val="0"/>
              <w:spacing w:before="0" w:after="283"/>
              <w:jc w:val="left"/>
              <w:rPr/>
            </w:pPr>
            <w:r>
              <w:rPr/>
              <w:t>Net loss from discontinued operations, net of taxes</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174" w:type="dxa"/>
            <w:tcBorders/>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74" w:type="dxa"/>
            <w:tcBorders/>
            <w:shd w:fill="CCEEFF" w:val="clear"/>
            <w:vAlign w:val="center"/>
          </w:tcPr>
          <w:p>
            <w:pPr>
              <w:pStyle w:val="TableContents"/>
              <w:bidi w:val="0"/>
              <w:spacing w:before="0" w:after="283"/>
              <w:jc w:val="left"/>
              <w:rPr/>
            </w:pPr>
            <w:r>
              <w:rPr/>
              <w:t>)</w:t>
            </w:r>
          </w:p>
        </w:tc>
      </w:tr>
      <w:tr>
        <w:trPr/>
        <w:tc>
          <w:tcPr>
            <w:tcW w:w="6894" w:type="dxa"/>
            <w:tcBorders/>
            <w:vAlign w:val="center"/>
          </w:tcPr>
          <w:p>
            <w:pPr>
              <w:pStyle w:val="TableContents"/>
              <w:bidi w:val="0"/>
              <w:spacing w:before="0" w:after="283"/>
              <w:jc w:val="left"/>
              <w:rPr/>
            </w:pPr>
            <w:r>
              <w:rPr/>
              <w:t>Comprehensive loss (net of tax)</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(45,354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(56,451</w:t>
            </w:r>
          </w:p>
        </w:tc>
        <w:tc>
          <w:tcPr>
            <w:tcW w:w="174" w:type="dxa"/>
            <w:tcBorders/>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Net loss from continuing operations per share attributable to common stockholders, basic</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(0.82</w:t>
            </w:r>
          </w:p>
        </w:tc>
        <w:tc>
          <w:tcPr>
            <w:tcW w:w="174" w:type="dxa"/>
            <w:tcBorders/>
            <w:shd w:fill="CCEEFF" w:val="clear"/>
            <w:vAlign w:val="center"/>
          </w:tcPr>
          <w:p>
            <w:pPr>
              <w:pStyle w:val="TableContents"/>
              <w:bidi w:val="0"/>
              <w:spacing w:before="0" w:after="283"/>
              <w:jc w:val="left"/>
              <w:rPr/>
            </w:pPr>
            <w:r>
              <w:rPr/>
              <w:t>)</w:t>
            </w:r>
          </w:p>
        </w:tc>
      </w:tr>
      <w:tr>
        <w:trPr/>
        <w:tc>
          <w:tcPr>
            <w:tcW w:w="6894" w:type="dxa"/>
            <w:tcBorders/>
            <w:vAlign w:val="center"/>
          </w:tcPr>
          <w:p>
            <w:pPr>
              <w:pStyle w:val="TableContents"/>
              <w:bidi w:val="0"/>
              <w:spacing w:before="0" w:after="283"/>
              <w:jc w:val="left"/>
              <w:rPr/>
            </w:pPr>
            <w:r>
              <w:rPr/>
              <w:t>Net loss from discontinued operations per share attributable to common stockholders, basic</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(0.03</w:t>
            </w:r>
          </w:p>
        </w:tc>
        <w:tc>
          <w:tcPr>
            <w:tcW w:w="174" w:type="dxa"/>
            <w:tcBorders/>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Net loss per share attributable to common stockholders, basic</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74" w:type="dxa"/>
            <w:tcBorders/>
            <w:shd w:fill="CCEEFF" w:val="clear"/>
            <w:vAlign w:val="center"/>
          </w:tcPr>
          <w:p>
            <w:pPr>
              <w:pStyle w:val="TableContents"/>
              <w:bidi w:val="0"/>
              <w:spacing w:before="0" w:after="283"/>
              <w:ind w:left="0" w:right="0" w:hanging="180"/>
              <w:jc w:val="left"/>
              <w:rPr/>
            </w:pPr>
            <w:r>
              <w:rPr/>
              <w:t>)</w:t>
            </w:r>
          </w:p>
        </w:tc>
      </w:tr>
      <w:tr>
        <w:trPr/>
        <w:tc>
          <w:tcPr>
            <w:tcW w:w="6894" w:type="dxa"/>
            <w:tcBorders/>
            <w:vAlign w:val="center"/>
          </w:tcPr>
          <w:p>
            <w:pPr>
              <w:pStyle w:val="TableContents"/>
              <w:bidi w:val="0"/>
              <w:spacing w:before="0" w:after="283"/>
              <w:jc w:val="left"/>
              <w:rPr/>
            </w:pPr>
            <w:r>
              <w:rPr/>
              <w:t>Weighted-average shares used to compute net loss per share attributable to common stockholders, basic</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87,108,928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66,655,837</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Net loss from continuing operations per share attributable to common stockholders, diluted</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(1.19</w:t>
            </w:r>
          </w:p>
        </w:tc>
        <w:tc>
          <w:tcPr>
            <w:tcW w:w="174" w:type="dxa"/>
            <w:tcBorders/>
            <w:shd w:fill="CCEEFF" w:val="clear"/>
            <w:vAlign w:val="center"/>
          </w:tcPr>
          <w:p>
            <w:pPr>
              <w:pStyle w:val="TableContents"/>
              <w:bidi w:val="0"/>
              <w:spacing w:before="0" w:after="283"/>
              <w:ind w:left="0" w:right="0" w:hanging="180"/>
              <w:jc w:val="left"/>
              <w:rPr/>
            </w:pPr>
            <w:r>
              <w:rPr/>
              <w:t>)</w:t>
            </w:r>
          </w:p>
        </w:tc>
      </w:tr>
      <w:tr>
        <w:trPr/>
        <w:tc>
          <w:tcPr>
            <w:tcW w:w="6894" w:type="dxa"/>
            <w:tcBorders/>
            <w:vAlign w:val="center"/>
          </w:tcPr>
          <w:p>
            <w:pPr>
              <w:pStyle w:val="TableContents"/>
              <w:bidi w:val="0"/>
              <w:spacing w:before="0" w:after="283"/>
              <w:jc w:val="left"/>
              <w:rPr/>
            </w:pPr>
            <w:r>
              <w:rPr/>
              <w:t>Net loss from discontinued operations per share attributable to common stockholders, diluted</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(0.03</w:t>
            </w:r>
          </w:p>
        </w:tc>
        <w:tc>
          <w:tcPr>
            <w:tcW w:w="174" w:type="dxa"/>
            <w:tcBorders/>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Net loss per share attributable to common stockholders, diluted</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74" w:type="dxa"/>
            <w:tcBorders/>
            <w:shd w:fill="CCEEFF" w:val="clear"/>
            <w:vAlign w:val="center"/>
          </w:tcPr>
          <w:p>
            <w:pPr>
              <w:pStyle w:val="TableContents"/>
              <w:bidi w:val="0"/>
              <w:spacing w:before="0" w:after="283"/>
              <w:ind w:left="0" w:right="0" w:hanging="180"/>
              <w:jc w:val="left"/>
              <w:rPr/>
            </w:pPr>
            <w:r>
              <w:rPr/>
              <w:t>)</w:t>
            </w:r>
          </w:p>
        </w:tc>
      </w:tr>
      <w:tr>
        <w:trPr/>
        <w:tc>
          <w:tcPr>
            <w:tcW w:w="6894" w:type="dxa"/>
            <w:tcBorders/>
            <w:vAlign w:val="center"/>
          </w:tcPr>
          <w:p>
            <w:pPr>
              <w:pStyle w:val="TableContents"/>
              <w:bidi w:val="0"/>
              <w:spacing w:before="0" w:after="283"/>
              <w:jc w:val="left"/>
              <w:rPr/>
            </w:pPr>
            <w:r>
              <w:rPr/>
              <w:t>Weighted-average shares used to compute net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87,108,928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75,793,548</w:t>
            </w:r>
          </w:p>
        </w:tc>
        <w:tc>
          <w:tcPr>
            <w:tcW w:w="17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identified SameDay Solar as a related party beginning in fiscal 2024. Cost of revenue paid to SameDay Solar totaled $1.0 million and $0.6 million in the fiscal years ended December 28, 2025 and December 29, 2024, respectively. Refer to </w:t>
            </w:r>
            <w:r>
              <w:rPr>
                <w:rFonts w:ascii="Times New Roman;Times;Serif" w:hAnsi="Times New Roman;Times;Serif"/>
                <w:b/>
                <w:sz w:val="20"/>
              </w:rPr>
              <w:t>Note 19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0" w:type="dxa"/>
            <w:tcBorders/>
            <w:vAlign w:val="center"/>
          </w:tcPr>
          <w:p>
            <w:pPr>
              <w:pStyle w:val="TableContents"/>
              <w:bidi w:val="0"/>
              <w:spacing w:before="0" w:after="283"/>
              <w:jc w:val="both"/>
              <w:rPr/>
            </w:pPr>
            <w:r>
              <w:rPr/>
              <w:t xml:space="preserve">Includes interest expense and amortization of debt issuance costs due to related parties of $5.7 million and $7.6 million in the fiscal years ended December 28, 2025 and December 29, 2024, respectively. Refer to </w:t>
            </w:r>
            <w:r>
              <w:rPr>
                <w:b/>
              </w:rPr>
              <w:t>Note 10 – Borrowings and Derivative Liabilities</w:t>
            </w:r>
            <w:r>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75"/>
        <w:gridCol w:w="5105"/>
      </w:tblGrid>
      <w:tr>
        <w:trPr/>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4"/>
        <w:gridCol w:w="90"/>
        <w:gridCol w:w="359"/>
        <w:gridCol w:w="846"/>
        <w:gridCol w:w="132"/>
        <w:gridCol w:w="108"/>
        <w:gridCol w:w="359"/>
        <w:gridCol w:w="846"/>
        <w:gridCol w:w="151"/>
      </w:tblGrid>
      <w:tr>
        <w:trPr/>
        <w:tc>
          <w:tcPr>
            <w:tcW w:w="731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151" w:type="dxa"/>
            <w:tcBorders/>
            <w:vAlign w:val="center"/>
          </w:tcPr>
          <w:p>
            <w:pPr>
              <w:pStyle w:val="TableContents"/>
              <w:bidi w:val="0"/>
              <w:spacing w:before="0" w:after="283"/>
              <w:jc w:val="left"/>
              <w:rPr/>
            </w:pPr>
            <w:r>
              <w:rPr/>
              <w:t> </w:t>
            </w:r>
          </w:p>
        </w:tc>
      </w:tr>
      <w:tr>
        <w:trPr/>
        <w:tc>
          <w:tcPr>
            <w:tcW w:w="731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13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151" w:type="dxa"/>
            <w:tcBorders/>
            <w:vAlign w:val="center"/>
          </w:tcPr>
          <w:p>
            <w:pPr>
              <w:pStyle w:val="TableContents"/>
              <w:bidi w:val="0"/>
              <w:spacing w:before="0" w:after="283"/>
              <w:ind w:left="0" w:right="0" w:hanging="180"/>
              <w:jc w:val="left"/>
              <w:rPr/>
            </w:pPr>
            <w:r>
              <w:rPr/>
              <w:t> </w:t>
            </w:r>
          </w:p>
        </w:tc>
      </w:tr>
      <w:tr>
        <w:trPr/>
        <w:tc>
          <w:tcPr>
            <w:tcW w:w="73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issuance of derivative liabilities</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5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Gain on remeasurement of derivative liabilities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13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151" w:type="dxa"/>
            <w:tcBorders/>
            <w:vAlign w:val="center"/>
          </w:tcPr>
          <w:p>
            <w:pPr>
              <w:pStyle w:val="TableContents"/>
              <w:bidi w:val="0"/>
              <w:spacing w:before="0" w:after="283"/>
              <w:ind w:left="0" w:right="0" w:hanging="180"/>
              <w:jc w:val="left"/>
              <w:rPr/>
            </w:pPr>
            <w:r>
              <w:rPr/>
              <w:t> </w:t>
            </w:r>
          </w:p>
        </w:tc>
      </w:tr>
      <w:tr>
        <w:trPr/>
        <w:tc>
          <w:tcPr>
            <w:tcW w:w="73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(loss) due to change in fair value of Forward Purchase Agreements</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3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w:t>
            </w:r>
          </w:p>
        </w:tc>
        <w:tc>
          <w:tcPr>
            <w:tcW w:w="13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151"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3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due to change in fair value of Carlyle warrants</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w:t>
            </w:r>
          </w:p>
        </w:tc>
        <w:tc>
          <w:tcPr>
            <w:tcW w:w="13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15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the fiscal year ended December 29, 2024.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C_004"/>
      <w:bookmarkEnd w:id="30"/>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490" w:type="dxa"/>
        <w:jc w:val="left"/>
        <w:tblInd w:w="0" w:type="dxa"/>
        <w:tblLayout w:type="fixed"/>
        <w:tblCellMar>
          <w:top w:w="0" w:type="dxa"/>
          <w:left w:w="0" w:type="dxa"/>
          <w:bottom w:w="0" w:type="dxa"/>
          <w:right w:w="0" w:type="dxa"/>
        </w:tblCellMar>
      </w:tblPr>
      <w:tblGrid>
        <w:gridCol w:w="1490"/>
        <w:gridCol w:w="90"/>
        <w:gridCol w:w="90"/>
        <w:gridCol w:w="1250"/>
        <w:gridCol w:w="90"/>
        <w:gridCol w:w="90"/>
        <w:gridCol w:w="328"/>
        <w:gridCol w:w="562"/>
        <w:gridCol w:w="90"/>
        <w:gridCol w:w="90"/>
        <w:gridCol w:w="192"/>
        <w:gridCol w:w="938"/>
        <w:gridCol w:w="125"/>
        <w:gridCol w:w="90"/>
        <w:gridCol w:w="221"/>
        <w:gridCol w:w="1179"/>
        <w:gridCol w:w="125"/>
        <w:gridCol w:w="90"/>
        <w:gridCol w:w="480"/>
        <w:gridCol w:w="1160"/>
        <w:gridCol w:w="90"/>
        <w:gridCol w:w="90"/>
        <w:gridCol w:w="243"/>
        <w:gridCol w:w="1127"/>
        <w:gridCol w:w="170"/>
      </w:tblGrid>
      <w:tr>
        <w:trPr/>
        <w:tc>
          <w:tcPr>
            <w:tcW w:w="149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Other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Stockholders’</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Equity</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b/>
              </w:rPr>
            </w:pPr>
            <w:r>
              <w:rPr>
                <w:b/>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49,065,361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b/>
              </w:rPr>
            </w:pPr>
            <w:r>
              <w:rPr>
                <w:b/>
              </w:rPr>
              <w:t>$</w:t>
            </w:r>
          </w:p>
        </w:tc>
        <w:tc>
          <w:tcPr>
            <w:tcW w:w="562" w:type="dxa"/>
            <w:tcBorders/>
            <w:shd w:fill="CCEEFF" w:val="clear"/>
            <w:vAlign w:val="center"/>
          </w:tcPr>
          <w:p>
            <w:pPr>
              <w:pStyle w:val="TableContents"/>
              <w:bidi w:val="0"/>
              <w:spacing w:before="0" w:after="283"/>
              <w:jc w:val="right"/>
              <w:rPr>
                <w:b/>
              </w:rPr>
            </w:pPr>
            <w:r>
              <w:rPr>
                <w:b/>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938" w:type="dxa"/>
            <w:tcBorders/>
            <w:shd w:fill="CCEEFF" w:val="clear"/>
            <w:vAlign w:val="center"/>
          </w:tcPr>
          <w:p>
            <w:pPr>
              <w:pStyle w:val="TableContents"/>
              <w:bidi w:val="0"/>
              <w:spacing w:before="0" w:after="283"/>
              <w:jc w:val="right"/>
              <w:rPr>
                <w:b/>
              </w:rPr>
            </w:pPr>
            <w:r>
              <w:rPr>
                <w:b/>
              </w:rPr>
              <w:t>277,965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b/>
              </w:rPr>
            </w:pPr>
            <w:r>
              <w:rPr>
                <w:b/>
              </w:rPr>
              <w:t>$</w:t>
            </w:r>
          </w:p>
        </w:tc>
        <w:tc>
          <w:tcPr>
            <w:tcW w:w="1179" w:type="dxa"/>
            <w:tcBorders/>
            <w:shd w:fill="CCEEFF" w:val="clear"/>
            <w:vAlign w:val="center"/>
          </w:tcPr>
          <w:p>
            <w:pPr>
              <w:pStyle w:val="TableContents"/>
              <w:bidi w:val="0"/>
              <w:spacing w:before="0" w:after="283"/>
              <w:jc w:val="right"/>
              <w:rPr>
                <w:b/>
              </w:rPr>
            </w:pPr>
            <w:r>
              <w:rPr>
                <w:b/>
              </w:rPr>
              <w:t>(354,928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b/>
              </w:rPr>
            </w:pPr>
            <w:r>
              <w:rPr>
                <w:b/>
              </w:rPr>
              <w:t>$</w:t>
            </w:r>
          </w:p>
        </w:tc>
        <w:tc>
          <w:tcPr>
            <w:tcW w:w="1127" w:type="dxa"/>
            <w:tcBorders/>
            <w:shd w:fill="CCEEFF" w:val="clear"/>
            <w:vAlign w:val="center"/>
          </w:tcPr>
          <w:p>
            <w:pPr>
              <w:pStyle w:val="TableContents"/>
              <w:bidi w:val="0"/>
              <w:spacing w:before="0" w:after="283"/>
              <w:jc w:val="right"/>
              <w:rPr>
                <w:b/>
              </w:rPr>
            </w:pPr>
            <w:r>
              <w:rPr>
                <w:b/>
              </w:rPr>
              <w:t>(76,813</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149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398,883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532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532</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669,059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3,067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3,067</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common stock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1,400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Issuance of common stock warrants for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9,179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9,179</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common stock upon conversion of SAFEs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13,888,889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6,244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6,250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Exercise of common stock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5,343,616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common stock for exchange of debt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2,220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2,220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2,918,837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7,144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7,144</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Modification of Warrant Agreement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7,306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7,306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Offering costs of reverse recapitalization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(1,396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(1,396</w:t>
            </w:r>
          </w:p>
        </w:tc>
        <w:tc>
          <w:tcPr>
            <w:tcW w:w="170" w:type="dxa"/>
            <w:tcBorders/>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(56,451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(56,451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49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right"/>
              <w:rPr/>
            </w:pPr>
            <w:r>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pPr>
            <w:r>
              <w:rPr/>
              <w:t>22</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b/>
              </w:rPr>
            </w:pPr>
            <w:r>
              <w:rPr>
                <w:b/>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73,784,645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313,661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(411,379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(97,539</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149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730,265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480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480</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10,488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10,488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Taxes paid related to net share settlements of equity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(1,898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(1,898</w:t>
            </w:r>
          </w:p>
        </w:tc>
        <w:tc>
          <w:tcPr>
            <w:tcW w:w="170" w:type="dxa"/>
            <w:tcBorders/>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pPr>
            <w:r>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4,632,211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Exercise of common stock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common stock as consideration for acquisition of businesses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13,577,258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22,192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22,193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4,010,000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6,741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6,741</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Conversion of 7.0% senior unsecured convertible notes for shares of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8,600,580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14,684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14,685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(45,354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pPr>
            <w:r>
              <w:rPr/>
              <w:t>(45,354</w:t>
            </w:r>
          </w:p>
        </w:tc>
        <w:tc>
          <w:tcPr>
            <w:tcW w:w="170" w:type="dxa"/>
            <w:tcBorders/>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b/>
              </w:rPr>
            </w:pPr>
            <w:r>
              <w:rPr>
                <w:b/>
              </w:rPr>
              <w:t>Balance as of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111,334,959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366,408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(456,733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(90,144</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C_005"/>
      <w:bookmarkEnd w:id="31"/>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95"/>
        <w:gridCol w:w="90"/>
        <w:gridCol w:w="252"/>
        <w:gridCol w:w="1171"/>
        <w:gridCol w:w="125"/>
        <w:gridCol w:w="90"/>
        <w:gridCol w:w="241"/>
        <w:gridCol w:w="1182"/>
        <w:gridCol w:w="159"/>
      </w:tblGrid>
      <w:tr>
        <w:trPr/>
        <w:tc>
          <w:tcPr>
            <w:tcW w:w="6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59" w:type="dxa"/>
            <w:tcBorders/>
            <w:vAlign w:val="center"/>
          </w:tcPr>
          <w:p>
            <w:pPr>
              <w:pStyle w:val="TableContents"/>
              <w:bidi w:val="0"/>
              <w:spacing w:before="0" w:after="283"/>
              <w:jc w:val="left"/>
              <w:rPr/>
            </w:pPr>
            <w:r>
              <w:rPr/>
              <w:t> </w:t>
            </w:r>
          </w:p>
        </w:tc>
      </w:tr>
      <w:tr>
        <w:trPr/>
        <w:tc>
          <w:tcPr>
            <w:tcW w:w="68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December 29,</w:t>
            </w:r>
          </w:p>
        </w:tc>
        <w:tc>
          <w:tcPr>
            <w:tcW w:w="159" w:type="dxa"/>
            <w:tcBorders/>
            <w:vAlign w:val="center"/>
          </w:tcPr>
          <w:p>
            <w:pPr>
              <w:pStyle w:val="TableContents"/>
              <w:bidi w:val="0"/>
              <w:spacing w:before="0" w:after="283"/>
              <w:jc w:val="left"/>
              <w:rPr/>
            </w:pPr>
            <w:r>
              <w:rPr/>
              <w:t> </w:t>
            </w:r>
          </w:p>
        </w:tc>
      </w:tr>
      <w:tr>
        <w:trPr/>
        <w:tc>
          <w:tcPr>
            <w:tcW w:w="68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9" w:type="dxa"/>
            <w:tcBorders/>
            <w:vAlign w:val="center"/>
          </w:tcPr>
          <w:p>
            <w:pPr>
              <w:pStyle w:val="TableContents"/>
              <w:bidi w:val="0"/>
              <w:spacing w:before="0" w:after="283"/>
              <w:jc w:val="left"/>
              <w:rPr/>
            </w:pPr>
            <w:r>
              <w:rPr/>
              <w:t> </w:t>
            </w:r>
          </w:p>
        </w:tc>
      </w:tr>
      <w:tr>
        <w:trPr/>
        <w:tc>
          <w:tcPr>
            <w:tcW w:w="6895" w:type="dxa"/>
            <w:tcBorders/>
            <w:vAlign w:val="center"/>
          </w:tcPr>
          <w:p>
            <w:pPr>
              <w:pStyle w:val="TableContents"/>
              <w:bidi w:val="0"/>
              <w:spacing w:before="0" w:after="283"/>
              <w:jc w:val="left"/>
              <w:rPr>
                <w:b/>
              </w:rPr>
            </w:pPr>
            <w:r>
              <w:rPr>
                <w:b/>
              </w:rPr>
              <w:t>Cash flows from operating activities from continuing operations</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(45,354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(56,451</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Loss from discontinued operations, net of income taxes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pPr>
            <w:r>
              <w:rPr/>
              <w:t>Net loss from continuing operations, net of tax</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Adjustments to reconcile net loss from continuing operations to net cash used in operating activities: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10,488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3,067</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Non-cash lease expense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1,365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816</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9,126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2,736</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sz w:val="20"/>
              </w:rPr>
            </w:pPr>
            <w:r>
              <w:rPr>
                <w:sz w:val="20"/>
              </w:rPr>
              <w:t>Amortization of debt issuance costs</w:t>
            </w:r>
            <w:r>
              <w:rPr>
                <w:position w:val="7"/>
                <w:sz w:val="16"/>
                <w:sz w:val="20"/>
              </w:rPr>
              <w:t>(1)</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15,341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5,842</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Deferred income tax provision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1,300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3,554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9,132</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Change in fair value of SAFE Agreements with related party</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(616</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Loss on conversion of SAFE Agreements to shares of common stock with related party</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1,250</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Change in fair value of deferred consideration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(560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sz w:val="20"/>
              </w:rPr>
            </w:pPr>
            <w:r>
              <w:rPr>
                <w:sz w:val="20"/>
              </w:rPr>
              <w:t>Loss on issuance of derivative liability</w:t>
            </w:r>
            <w:r>
              <w:rPr>
                <w:position w:val="7"/>
                <w:sz w:val="16"/>
                <w:sz w:val="20"/>
              </w:rPr>
              <w:t>(2)</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24,688</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sz w:val="20"/>
              </w:rPr>
            </w:pPr>
            <w:r>
              <w:rPr>
                <w:sz w:val="20"/>
              </w:rPr>
              <w:t>Change in fair value of derivative liabilities</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(11,490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(33,986</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Change in fair value of warrant liabilities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2,800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(2,921</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sz w:val="20"/>
              </w:rPr>
            </w:pPr>
            <w:r>
              <w:rPr>
                <w:sz w:val="20"/>
              </w:rPr>
              <w:t>Change in fair value of forward purchase agreement liabilities</w:t>
            </w:r>
            <w:r>
              <w:rPr>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471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(337</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Non-cash expense in connection with warrants issued for vendor services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9,179</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Loss on impairments and disposals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3,827</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sz w:val="20"/>
              </w:rPr>
            </w:pPr>
            <w:r>
              <w:rPr>
                <w:sz w:val="20"/>
              </w:rPr>
              <w:t>Non-cash income</w:t>
            </w:r>
            <w:r>
              <w:rPr>
                <w:position w:val="7"/>
                <w:sz w:val="16"/>
                <w:sz w:val="20"/>
              </w:rPr>
              <w:t>(5)</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Non-cash interest expense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1,757</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sz w:val="20"/>
              </w:rPr>
            </w:pPr>
            <w:r>
              <w:rPr>
                <w:sz w:val="20"/>
              </w:rPr>
              <w:t xml:space="preserve">Gain on troubled debt restructuring </w:t>
            </w:r>
            <w:r>
              <w:rPr>
                <w:position w:val="7"/>
                <w:sz w:val="16"/>
                <w:sz w:val="20"/>
              </w:rPr>
              <w:t>(6)</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(22,337</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sz w:val="20"/>
              </w:rPr>
            </w:pPr>
            <w:r>
              <w:rPr>
                <w:sz w:val="20"/>
              </w:rPr>
              <w:t>Accretion of debt in CS Solis</w:t>
            </w:r>
            <w:r>
              <w:rPr>
                <w:position w:val="7"/>
                <w:sz w:val="16"/>
                <w:sz w:val="20"/>
              </w:rPr>
              <w:t>(7)</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3,872</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Other financing costs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450</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Changes in operating assets and liabilities, net of acquisitions: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(38,756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3,306</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Contract assets, current portion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8,472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(21,451</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38,417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8,654</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(4,871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(170</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111</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15,251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(10,412</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(15,913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14,071</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(1,523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(849</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Warranty provision, noncurrent</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(378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21</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(3,139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Net cash used in operating activities from continuing operations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(15,327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(54,662</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b/>
              </w:rPr>
            </w:pPr>
            <w:r>
              <w:rPr>
                <w:b/>
              </w:rPr>
              <w:t>Cash flows from investing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Capitalization of internal-use-software costs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(1,157</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pPr>
            <w:r>
              <w:rPr/>
              <w:t>Cash paid for acquisitions; net of cash acquired</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(19,339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(53,500</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Net cash used in investing activities from continuing operations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(19,339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(54,657</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b/>
              </w:rPr>
            </w:pPr>
            <w:r>
              <w:rPr>
                <w:b/>
              </w:rPr>
              <w:t>Cash flows from financing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Proceeds from issuance of convertible notes, net of issuance cost</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20,000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81,725</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Proceeds from issuance of convertible notes to related parties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26,000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Payment of debt issuance costs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(200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Proceeds from issuance of SAFE agreements with related party</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6,000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Proceeds from issuance of common stock</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6,741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6,694</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Proceeds from exercise of common stock options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532</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Proceeds from exercise of warrant for common stock</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Investor financing deposit – related party</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Taxes paid related to net share settlement of equity awards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(727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Principal repayment of notes payable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(2,157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(300</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Financing lease payments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(2,292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(551</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pPr>
            <w:r>
              <w:rPr/>
              <w:t>Net cash provided by financing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30,905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120,100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Effect of exchange rate changes on cash</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22</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Net increase (decrease) in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(3,761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10,803</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Cash, cash equivalents, and restricted cash at beginning of period</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17,219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6,416</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Cash, cash equivalents, and restricted cash at end of period</w:t>
            </w:r>
          </w:p>
        </w:tc>
        <w:tc>
          <w:tcPr>
            <w:tcW w:w="90" w:type="dxa"/>
            <w:tcBorders/>
            <w:shd w:fill="CCEEFF" w:val="clear"/>
            <w:vAlign w:val="center"/>
          </w:tcPr>
          <w:p>
            <w:pPr>
              <w:pStyle w:val="TableContents"/>
              <w:bidi w:val="0"/>
              <w:spacing w:before="0" w:after="283"/>
              <w:jc w:val="left"/>
              <w:rPr/>
            </w:pPr>
            <w:r>
              <w:rPr/>
              <w:t> </w:t>
            </w:r>
          </w:p>
        </w:tc>
        <w:tc>
          <w:tcPr>
            <w:tcW w:w="2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1" w:type="dxa"/>
            <w:tcBorders>
              <w:bottom w:val="double" w:sz="10" w:space="0" w:color="000000"/>
            </w:tcBorders>
            <w:shd w:fill="CCEEFF" w:val="clear"/>
            <w:tcMar>
              <w:bottom w:w="28" w:type="dxa"/>
            </w:tcMar>
            <w:vAlign w:val="center"/>
          </w:tcPr>
          <w:p>
            <w:pPr>
              <w:pStyle w:val="TableContents"/>
              <w:bidi w:val="0"/>
              <w:spacing w:before="0" w:after="283"/>
              <w:jc w:val="right"/>
              <w:rPr/>
            </w:pPr>
            <w:r>
              <w:rPr/>
              <w:t>13,458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pPr>
            <w:r>
              <w:rPr/>
              <w:t>17,219</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b/>
              </w:rPr>
            </w:pPr>
            <w:r>
              <w:rPr>
                <w:b/>
              </w:rPr>
              <w:t>Supplemental disclosures of cash flow information: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Cash paid during the year for interest</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171" w:type="dxa"/>
            <w:tcBorders/>
            <w:vAlign w:val="center"/>
          </w:tcPr>
          <w:p>
            <w:pPr>
              <w:pStyle w:val="TableContents"/>
              <w:bidi w:val="0"/>
              <w:spacing w:before="0" w:after="283"/>
              <w:jc w:val="right"/>
              <w:rPr/>
            </w:pPr>
            <w:r>
              <w:rPr/>
              <w:t>7,733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77</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Cash paid during the year for income taxes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b/>
              </w:rPr>
            </w:pPr>
            <w:r>
              <w:rPr>
                <w:b/>
              </w:rPr>
              <w:t>Supplemental schedule of noncash investing and financing activities: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sz w:val="20"/>
              </w:rPr>
            </w:pPr>
            <w:r>
              <w:rPr>
                <w:sz w:val="20"/>
              </w:rPr>
              <w:t>Issuance of Seller Note as partial purchase consideration for acquisition of Sunder</w:t>
            </w:r>
            <w:r>
              <w:rPr>
                <w:position w:val="7"/>
                <w:sz w:val="16"/>
                <w:sz w:val="20"/>
              </w:rPr>
              <w:t>(8)</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20,000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Issuance of common stock as partial consideration for acquisition of Sunder</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5,700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Deferred consideration recognized for acquisition of Sunder</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Issuance of common stock as partial purchase consideration for acquisition of Ambia</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16,493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Deferred consideration recognized for acquisition of Ambia</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16,879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Conversion of September 2024 Notes to shares of common stock:</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September 2024 Notes and related derivative liability, net of unamortized debt discount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14,472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Accrued interest</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213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Common stock</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14,684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Debt issuance costs incurred in connection with the issuance of September 2025 Notes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Taxes accrued but unpaid related to net share settlement of equity awards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1,171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sz w:val="20"/>
              </w:rPr>
            </w:pPr>
            <w:r>
              <w:rPr>
                <w:sz w:val="20"/>
              </w:rPr>
              <w:t>Cancellation of existing indebtedness in Exchange Agreement</w:t>
            </w:r>
            <w:r>
              <w:rPr>
                <w:position w:val="7"/>
                <w:sz w:val="16"/>
                <w:sz w:val="20"/>
              </w:rPr>
              <w:t>(9)</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65,873</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sz w:val="20"/>
              </w:rPr>
            </w:pPr>
            <w:r>
              <w:rPr>
                <w:sz w:val="20"/>
              </w:rPr>
              <w:t>Issuance of convertible notes in Exchange Agreement</w:t>
            </w:r>
            <w:r>
              <w:rPr>
                <w:position w:val="7"/>
                <w:sz w:val="16"/>
                <w:sz w:val="20"/>
              </w:rPr>
              <w:t>(10)</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42,662</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Issuance of common stock in Exchange Agreement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2,220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Conversion of SAFE Agreements to shares of common stock – related party</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5,000</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Operating lease right-of-use assets obtained in exchange for new operating lease liabilities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116</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Offering costs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1,396</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Warrants issued in debt issuance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860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Carlyle Warrant modification – related party</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7,306</w:t>
            </w:r>
          </w:p>
        </w:tc>
        <w:tc>
          <w:tcPr>
            <w:tcW w:w="15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Amortization of debt issuance costs includes $2.6 million and $1.6 million with related parties in 2025 and 2024, respectively.</w:t>
            </w:r>
          </w:p>
        </w:tc>
      </w:tr>
    </w:tbl>
    <w:p>
      <w:pPr>
        <w:pStyle w:val="TextBody"/>
        <w:bidi w:val="0"/>
        <w:spacing w:before="0" w:after="0"/>
        <w:ind w:left="13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$3.0 million loss in 2024 with the Massey Trust (as later defined in </w:t>
            </w:r>
            <w:r>
              <w:rPr>
                <w:rFonts w:ascii="Times New Roman;Times;Serif" w:hAnsi="Times New Roman;Times;Serif"/>
                <w:b/>
                <w:sz w:val="20"/>
              </w:rPr>
              <w:t>Note 10 – Borrowings and Derivative Liabilities</w:t>
            </w:r>
            <w:r>
              <w:rPr>
                <w:rFonts w:ascii="Times New Roman;Times;Serif" w:hAnsi="Times New Roman;Times;Serif"/>
                <w:sz w:val="20"/>
              </w:rPr>
              <w:t>), a related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$3.5 gain and $0.3 million gain in 2025 and 2024, respectively, in connection with the change in the fair value of derivative liabilities with related parties, the Massey Trust and Carlyle (as later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 with related parties was income of $0.1 million in each of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290"/>
        <w:gridCol w:w="52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290"/>
        <w:gridCol w:w="396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Identified as a related party transaction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Issuance of Seller Note was deemed to be with a related party.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290"/>
        <w:gridCol w:w="47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debt cancellation of $37.2 million.</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395"/>
        <w:gridCol w:w="597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$23.7 million issuance of convertible notes with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C_006"/>
      <w:bookmarkEnd w:id="3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operates on a 52-to-53-week fiscal year that ends on the Sunday closest to December 31. The Company’s fiscal years ended on December 28, 2025 (“2025”) and December 29, 2024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Acquisitions and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completed the sale of its solar panel business (“Divestiture”). The Company determined that the Divestiture represented a strategic shift in the Company’s business and qualified as a discontinued operation for accounting purposes. The Company recognized losses from discontinued operations in its consolidated statements of operations and comprehensive loss and consolidated statements of cash flows related to the Divestiture of $1.1 million and $2.0 million in the fiscal years ended December 28, 2025 and December 29, 2024, respectively. The additional losses recognized in 2025 and 2024 related to legal expenses incurred in connection with litigation related to its former solar panel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29, 2024, the Company completed the acquisition of certain assets relating to the Blue Raven Solar business, New Homes business and Non-Installing Dealer network (collectively the “SunPower Businesses”) from SunPower Debtors, the successor entity in bankruptcy to SunPower Corporation and its direct and indirect subsidiaries (collectively “SunPower Corporation”). In the fiscal year ended December 28, 2025, the Company completed the acquisitions of Sunder Energy, LLC and Ambia Energy LLC. Each of these acquisitions was accounted for as business combinations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through the fiscal year ended December 28, 2025, the Company has incurred recurring losses and negative cash flows from operations. The Company’s net loss from continuing operations was $44.3 million in the fiscal year ended December 28, 2025. As of December 28, 2025, the Company had an accumulated deficit of $456.7 million, short-term debt of $24.3 million, and cash and cash equivalents, excluding restricted cash, of $9.6 million. The Company anticipates that operating losses and negative operating cash flows may continue in the near term.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shareholders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Annual Report on Form 10-K for the fiscal year ended December 29, 2024 within the timeframe required by the SEC, its Quarterly Report on Form 10Q for the quarter ended September 28, 2025 or the amendment required to the Current Report originally filed on September 26, 2025 relating to the Sunder acquisition. As a result, the Company is not currently eligible to use a registration statement on Form S-3 that would allow it to continuously incorporate by reference its SEC reports into the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consolidated financial statements are issued. The accompanying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accompanying notes have been prepared in accordance with generally accepted accounting principles (“U.S. GAAP”) and pursuant to the rules and regulations of the Securities and Exchange Commission (“SEC”). The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liabilities, revenues, expenses, as well as related disclosure of contingent assets and liabilities. Significant estimates and assumptions made by management include, but are not limited to, the determination of (i) the allowance for credit losses; (ii) inventory obsolescence; (iii) stock-based compensation; (iv) workmanship warranty; (v) intangible assets acquired in business combinations; (vi) forward purchase agreements; (vii) Simple Agreement for Future Equity (“SAFE”) Agreements, (viii) derivative liabilities; and (ix)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condition or operating results may be affected to the extent that there are material differences between estimates and actual results.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 of prior year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reclassified long-term operating lease liabilities of $2.3 million from Operating lease liabilities, net of current portion to Other long-term liabilities to conform to the current year’s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 operating results prepared on a basis consistent with U.S. GAAP. The measurement criteria is based on each respective segment’s operating revenue and operating (loss) income and excludes any corporate costs which are not allocatable to the operating segments. The CODM’s measurement criteria does not include segment assets. For the periods presented, the Company reported its financial performance within three reportable segments; Residential Solar Installation, New Homes Business and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Residential Solar Installation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storage and battery installations for residential homeowners.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Homes Business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installations for new home builders. This segment was new in fiscal year 2024 as a result of the acquisition of the SunPower Businesses in the fourth quarter of fiscal year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Dealer – </w:t>
      </w:r>
      <w:r>
        <w:rPr>
          <w:rFonts w:ascii="Times New Roman;Times;Serif" w:hAnsi="Times New Roman;Times;Serif"/>
          <w:b w:val="false"/>
          <w:i w:val="false"/>
          <w:caps w:val="false"/>
          <w:smallCaps w:val="false"/>
          <w:sz w:val="20"/>
        </w:rPr>
        <w:t>This segment provides a third-party solar energy sales force to initiate and execute contracts with customers throughout the United States. This segment’s sales force works with solar installation companies and acts as the agent for each transaction entered. This segment is new in fiscal year 2025 as a result of the acquisition of Sunder.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credit losses in the event of nonperformance by the counterparties to its financial and derivative instruments. Financial and derivative instruments that potentially subject the Company to concentrations of credit risk are primarily cash and cash equivalents, restricted cash and cash equivalents, accounts receivable, and contract assets.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held in checking and savings accounts consisting of highly liquid securities with maturity dates of three months or less from the original date of purchase. The Company maintains the majority of its cash balances with commercial banks in interest bearing accounts. The Company considers all highly liquid securities that mature within three months or less from the original date of purchase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classifies all cash for which usage is limited by contractual provisions as restricted cash. Restricted cash consists of deposits in money market accounts, which is used as cash collateral backing letters of credit related to customs duty authorities’ requirements. The Company presents restricted cash as a noncurrent asset in its consolidated balance sheets. The Company reconciles cash, cash equivalents, and restricted cash reported on its consolidated balance sheets that aggregate to the beginning and ending balances shown on the Company’s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3935"/>
        <w:gridCol w:w="90"/>
        <w:gridCol w:w="241"/>
        <w:gridCol w:w="964"/>
        <w:gridCol w:w="90"/>
        <w:gridCol w:w="90"/>
        <w:gridCol w:w="241"/>
        <w:gridCol w:w="964"/>
        <w:gridCol w:w="135"/>
      </w:tblGrid>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3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3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13,378</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Customers – homeowners and financiers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one customer had an outstanding balance that represented 11% of the Company’s outstanding trade receivable balance. As of December 28, 2024, no customer had an outstanding balance that represented more than 10% of the Company’s total trade accounts receivable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major customers as those customers which generate revenues that exceed 10% of the Company’s annual net revenues by reportable segment. In fiscal 2025 Customer A accounted for 19% of revenues across the Residential Solar Installation and New Homes reportable segments. In fiscal year 2024, Customer A and Customer B accounted for 12% and 14%, respectively, of gross revenues. Customer A generates revenue across the Residential Solar Installation and New Homes reportable segments. Customer B generated revenue within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for the Residential Solar Installation and New Homes Business reportable segments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entering into a sales contract within the Dealer reportable segment, the requisite performance obligation of the Company is to assist the customer in the progress of the installation and obtain Permission to Operate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recognized reflects the consideration which the Company expects to be entitled to receive in exchange for the products and services. To achieve this core principle, the Company applies the following five steps: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Identification of the contract(s) with a customer;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Identification of the performance obligations in the contracts(s);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Determination of the transaction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Allocation of the transaction price to the performance obligations;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Recognition of the revenue when, or as, the Company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provide incentives to its customers, such as discounts and rebates which are recorded net against the revenue that the Company has recognized related to the solar energy system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Residential Solar Installation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Solar Installation segment sells products through a network of installing and non-installing dealers and resellers, as well as its internal sales team. The Company’s contracts with customers include three primary contract types: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homeowners who purchase the solar energy system and related services from the Company. Customers are invoiced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Financing partner agreements</w:t>
            </w:r>
            <w:r>
              <w:rPr>
                <w:rFonts w:ascii="Times New Roman;Times;Serif" w:hAnsi="Times New Roman;Times;Serif"/>
                <w:sz w:val="20"/>
              </w:rPr>
              <w:t xml:space="preserve"> – In its financing partner agreements, the Company contracts directly with homeowners for the purchase of the 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Power purchase agreements and lease agreements</w:t>
            </w:r>
            <w:r>
              <w:rPr>
                <w:rFonts w:ascii="Times New Roman;Times;Serif" w:hAnsi="Times New Roman;Times;Serif"/>
                <w:sz w:val="20"/>
              </w:rPr>
              <w:t xml:space="preserve"> – The Company contracts directly with a leasing partner to perform the solar energy system 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Homes Business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New Homes Business segment sells through a network of home builders as well as its internal sales team. The Company’s contracts with customers include two primary contract types: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homebuilders who purchase the solar energy system from the Company and are the customers in the transaction. The Company’s customers are invoiced upon the completion of installation.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Lease agreements</w:t>
            </w:r>
            <w:r>
              <w:rPr>
                <w:rFonts w:ascii="Times New Roman;Times;Serif" w:hAnsi="Times New Roman;Times;Serif"/>
                <w:sz w:val="20"/>
              </w:rPr>
              <w:t xml:space="preserve"> – Prior to SunPower Debtor’s declaration of bankruptcy, certain homeowners had intended to lease a system from SunPower Debtors but were unable to 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Dealer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revenue from contracts sold to customers for solar installations performed by third-party installation companies. The Company recognizes revenue at a point in time when PTO is complete. The Company acts as an agent in these arrangements and records revenue on a net basis. The Company does not have any significant financing components in these contracts. The Company does not provide warranty services related to these sales contracts, and therefore, the Company does not record a warranty reserve with respect to these sales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costs of obtaining customer contracts consist of sales commissions which are paid to third-parties who source residential customer contracts for the sale of solar energy systems by the Company. The Company defers sales commissions and recognizes the expense in accordance with the timing of the related revenue recognition. Amortization of deferred commissions is recorded as sales commissions in the accompanying consolidated statements of operations and comprehensive loss. As of December 28, 2025 deferred commissions was $5.6 million. Deferred commissions were not material as of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Assets and 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consist of unbilled receivables which represent revenue that has been recognized in advance of the Company’s right to bill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prior to transferring control of goods or services to the customer under the terms of a sales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consolidated balance sheets. Contract liabilities for installation projects expected to be completed beyond 12 months are classified as noncurrent obligations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not to disclose the remaining performance obligations for contracts that are less than one year in length. The Company’s performance obligations associated with long-term service contracts are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Estimated Credit losses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 allowance for credit losses at the time a receivable is recorded based on the Company’s estimate of expected credit losses, historical write-off experience, and current account knowledge. In developing its estimate of expected credit losses, the Company has elected to apply the practical expedient permitted under Accounting Standards Codification (“ASC”) 326 – </w:t>
      </w:r>
      <w:r>
        <w:rPr>
          <w:rFonts w:ascii="Times New Roman;Times;Serif" w:hAnsi="Times New Roman;Times;Serif"/>
          <w:b w:val="false"/>
          <w:i/>
          <w:caps w:val="false"/>
          <w:smallCaps w:val="false"/>
          <w:sz w:val="20"/>
        </w:rPr>
        <w:t>Financial Instruments – Credit Losses</w:t>
      </w:r>
      <w:r>
        <w:rPr>
          <w:rFonts w:ascii="Times New Roman;Times;Serif" w:hAnsi="Times New Roman;Times;Serif"/>
          <w:b w:val="false"/>
          <w:i w:val="false"/>
          <w:caps w:val="false"/>
          <w:smallCaps w:val="false"/>
          <w:sz w:val="20"/>
        </w:rPr>
        <w:t>, under which it assumes that current conditions at the balance-sheet date remain unchanged for the remaining life of the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losses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83" w:type="dxa"/>
        <w:jc w:val="left"/>
        <w:tblInd w:w="0" w:type="dxa"/>
        <w:tblLayout w:type="fixed"/>
        <w:tblCellMar>
          <w:top w:w="0" w:type="dxa"/>
          <w:left w:w="0" w:type="dxa"/>
          <w:bottom w:w="0" w:type="dxa"/>
          <w:right w:w="0" w:type="dxa"/>
        </w:tblCellMar>
      </w:tblPr>
      <w:tblGrid>
        <w:gridCol w:w="4940"/>
        <w:gridCol w:w="90"/>
        <w:gridCol w:w="255"/>
        <w:gridCol w:w="949"/>
        <w:gridCol w:w="160"/>
        <w:gridCol w:w="130"/>
        <w:gridCol w:w="240"/>
        <w:gridCol w:w="964"/>
        <w:gridCol w:w="155"/>
      </w:tblGrid>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and for the Year Ended</w:t>
            </w:r>
          </w:p>
        </w:tc>
        <w:tc>
          <w:tcPr>
            <w:tcW w:w="15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beginning of period</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(9,846</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charged to earnings</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(3,554</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(9,132</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written off, net of recoveries and other adjustments</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1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17,277</w:t>
            </w:r>
          </w:p>
        </w:tc>
        <w:tc>
          <w:tcPr>
            <w:tcW w:w="15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end of period</w:t>
            </w:r>
          </w:p>
        </w:tc>
        <w:tc>
          <w:tcPr>
            <w:tcW w:w="90" w:type="dxa"/>
            <w:tcBorders/>
            <w:vAlign w:val="center"/>
          </w:tcPr>
          <w:p>
            <w:pPr>
              <w:pStyle w:val="TableContents"/>
              <w:bidi w:val="0"/>
              <w:spacing w:before="0" w:after="283"/>
              <w:jc w:val="left"/>
              <w:rPr/>
            </w:pPr>
            <w:r>
              <w:rPr/>
              <w:t> </w:t>
            </w:r>
          </w:p>
        </w:tc>
        <w:tc>
          <w:tcPr>
            <w:tcW w:w="2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(5,206</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2024, the Company identified customer accounts receivable balances that were deemed to be uncollectible, which were reserved and written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solar panels and the components of solar energy systems all of which are classified as finished goods within inventories as of December 28, 2025 and December 29, 2024. Inventories are valued using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and such inventory has been adjusted to its lower of cost or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costs to fulfill contracts associated with systems sales are expensed as cost of revenues. Cost of revenues is comprised primarily of materials, internal labor,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the Company transfers control of the product to the customer, which is generally upon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 10-year warranty on its solar energy system installations, which provides assurance over the workmanship in performing the installation, including roof leaks caused by the Company’s performance. For solar panel sales recognized prior to the Divestiture, the Company provides a 30-year warranty that the products will be free from defects in material and workmanship. The Company retained its warranty obligations associated with panel sales prior to the Divestiture.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revenue is recognized for a solar energy system installation service, the Company accrues a liability for the estimated future cost of meeting its warranty obligations. The Company makes and revises its estimated warranty liability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Warranty costs primarily consist of replacement materials, equipment and labor costs for service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When assets are retired or disposed of, the cost and accumulated depreciation are removed from the accounts, and any resulting gain or loss is recognized in that period. Repair and maintenance costs are expensed as incurred. Depreciation and amortization are calculated using the straight-line method over the following estimated useful lives of the assets:</w:t>
      </w:r>
    </w:p>
    <w:p>
      <w:pPr>
        <w:pStyle w:val="TextBody"/>
        <w:bidi w:val="0"/>
        <w:spacing w:before="0" w:after="0"/>
        <w:ind w:left="36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105"/>
        <w:gridCol w:w="90"/>
        <w:gridCol w:w="4730"/>
      </w:tblGrid>
      <w:tr>
        <w:trPr/>
        <w:tc>
          <w:tcPr>
            <w:tcW w:w="2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90" w:type="dxa"/>
            <w:tcBorders/>
            <w:shd w:fill="CCEEFF" w:val="clear"/>
            <w:vAlign w:val="center"/>
          </w:tcPr>
          <w:p>
            <w:pPr>
              <w:pStyle w:val="TableContents"/>
              <w:bidi w:val="0"/>
              <w:spacing w:before="0" w:after="283"/>
              <w:jc w:val="left"/>
              <w:rPr/>
            </w:pPr>
            <w:r>
              <w:rPr/>
              <w:t> </w:t>
            </w:r>
          </w:p>
        </w:tc>
        <w:tc>
          <w:tcPr>
            <w:tcW w:w="4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3 years</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9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&amp; equipment</w:t>
            </w:r>
          </w:p>
        </w:tc>
        <w:tc>
          <w:tcPr>
            <w:tcW w:w="90" w:type="dxa"/>
            <w:tcBorders/>
            <w:shd w:fill="CCEEFF" w:val="clear"/>
            <w:vAlign w:val="center"/>
          </w:tcPr>
          <w:p>
            <w:pPr>
              <w:pStyle w:val="TableContents"/>
              <w:bidi w:val="0"/>
              <w:spacing w:before="0" w:after="283"/>
              <w:jc w:val="left"/>
              <w:rPr/>
            </w:pPr>
            <w:r>
              <w:rPr/>
              <w:t> </w:t>
            </w:r>
          </w:p>
        </w:tc>
        <w:tc>
          <w:tcPr>
            <w:tcW w:w="4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9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to 5 years</w:t>
            </w:r>
          </w:p>
        </w:tc>
      </w:tr>
      <w:tr>
        <w:trPr/>
        <w:tc>
          <w:tcPr>
            <w:tcW w:w="210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90" w:type="dxa"/>
            <w:tcBorders/>
            <w:shd w:fill="CFEEFF" w:val="clear"/>
            <w:vAlign w:val="center"/>
          </w:tcPr>
          <w:p>
            <w:pPr>
              <w:pStyle w:val="TableContents"/>
              <w:bidi w:val="0"/>
              <w:spacing w:before="0" w:after="283"/>
              <w:jc w:val="left"/>
              <w:rPr/>
            </w:pPr>
            <w:r>
              <w:rPr/>
              <w:t> </w:t>
            </w:r>
          </w:p>
        </w:tc>
        <w:tc>
          <w:tcPr>
            <w:tcW w:w="473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Shorter of 3 to 5 years of the asset or the term of the lease.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recorded at cost, less accumulated amortization. Amortization is recorded using the straight-line method. All intangible assets that have been determined to have definite lives are amortized over their estimated useful life as indicated below:</w:t>
      </w:r>
    </w:p>
    <w:p>
      <w:pPr>
        <w:pStyle w:val="TextBody"/>
        <w:bidi w:val="0"/>
        <w:spacing w:before="0" w:after="0"/>
        <w:ind w:left="36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405"/>
        <w:gridCol w:w="90"/>
        <w:gridCol w:w="1130"/>
      </w:tblGrid>
      <w:tr>
        <w:trPr/>
        <w:tc>
          <w:tcPr>
            <w:tcW w:w="2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related intangibles</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40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90" w:type="dxa"/>
            <w:tcBorders/>
            <w:shd w:fill="CFEEFF" w:val="clear"/>
            <w:vAlign w:val="center"/>
          </w:tcPr>
          <w:p>
            <w:pPr>
              <w:pStyle w:val="TableContents"/>
              <w:bidi w:val="0"/>
              <w:spacing w:before="0" w:after="283"/>
              <w:jc w:val="left"/>
              <w:rPr/>
            </w:pPr>
            <w:r>
              <w:rPr/>
              <w:t> </w:t>
            </w:r>
          </w:p>
        </w:tc>
        <w:tc>
          <w:tcPr>
            <w:tcW w:w="113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3 years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property and equipment, Right-of-Use (“ROU”) assets,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an impairment loss of zero and $3.8 million in the fiscal years ended December 28, 2025 and December 29, 2024, respectively, as disclosed in </w:t>
      </w:r>
      <w:r>
        <w:rPr>
          <w:rFonts w:ascii="Times New Roman;Times;Serif" w:hAnsi="Times New Roman;Times;Serif"/>
          <w:b/>
          <w:i w:val="false"/>
          <w:caps w:val="false"/>
          <w:smallCaps w:val="false"/>
          <w:sz w:val="20"/>
        </w:rPr>
        <w:t>Note 6 – Supplemental Balance Sheet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tests goodwill at the reporting unit level for impairment annually on the first day of the fourth quarter, or more frequently if an event occurs or circumstances change that would more likely than not reduce the fair value of the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elect to perform a qualitative assessment that considers economic, industry and company-specific factors. If, after completing the assessment, it is determined that it is more likely than not that the fair value of a reporting unit is less than its carrying value, the Company proceeds to a quantitative test. Quantitative testing requires a comparison of the fair value of each reporting unit to its carrying value. If the carrying value of the reporting unit exceeds its fair value, goodwill impairment is measured as the amount by which the reporting unit’s carrying value exceeds its fair value, not to exceed the carrying value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goodwill impairment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inputs: Unadjusted quoted prices in active markets for identical assets or liabilities accessible to the reporting entity at the measurement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Other than quoted prices included in Level 1 inputs that are observable for the asset or liability, either directly or indirectly, for substantially the full term of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held by the Company measured at fair value every reporting period include cash and cash equivalents, accounts receivable, accounts payable, accrued expenses, warrant liabilities, forward purchase agreements (“FPAs”), SAFEs, deferred purchase price consideration, and derivative liabilities associated with the Company’s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accrued expenses and other current liabilities, public warrants, and deferred purchase price consideration approximate their respective fair values because of their short-term nature or they have observable inputs (classified as Level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derivative liabilities associated with the Company’s borrowings, FPAs, SAFEs, and private and working capital warrant liabilities are initially measured at fair value using Level 3 inputs. At each subsequent reporting date, the Company remeasures the fair value of these instruments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and records the respective adjustment to the fair value within Other non-operating income, net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 with Embedded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borrowings with embedded derivative liabilities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to determine whether such features must be bifurcated and accounted for separately as derivative liabilities. Upon issuance of a debt instrument with an embedded conversion option feature, the Company assesses whether the embedded feature qualifies as a derivative that requires bifurcation from the host contract. An embedded feature is bifurcated and accounted for as a separate derivative instrument if (i) the economic characteristics and risks of the embedded feature are not clearly and closely related to those of the host debt instrument; (ii) the embedded feature, if freestanding, would meet the definition of a derivative; and (iii) the hybrid instrument is not remeasured at fair value through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embedded feature requires bifurcation, the Company allocates a portion of the initial proceeds to the fair value of the derivative liability, with the residual assigned to the carrying amount of the host debt instrument. The derivative liability is subsequently measured at fair value at each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host debt instrument is recorded at amortized cost using the effective interest method. Any discounts or premiums resulting from the initial allocation between the host debt and the embedded derivative are amortized as interest expense over the expected term of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The fair value of a derivative liability is measured using a Monte Carlo simulation that incorporates a binomial lattice model.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10 – Borrowings and Derivative Liabilities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FPAs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 the agreements embody an obligation to transfer assets to settle a forward contract. The FPAs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8 – Forward Purchase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warrant liabilities in accordance with the guidance in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under which the warrants that do not meet the criteria for equity classification must be recorded as liabilities. The warrant liabilities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14 – Common Stock and Common Stock Warrants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SAFEs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SAFEs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9 – SAFE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costs are expensed as incurred and included in sales and marketing expense in the accompanying consolidated statements of operations and comprehensive loss. Advertising costs were not material for the fiscal years ended December 28, 2025 and December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A valuation allowance is established when it is more likely than not that the deferred tax assets with not be realized. The Company recognizes the effect of income tax positions only if those positions are more likely than not to be sustained. The Company recognizes accrued interest and penalties, if any, related to unrecognized tax benefits in its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Public Law No. 119-21, commonly known as the One Big Beautiful Bill Act (the “OBBBA”), was enacted in the United States, resulting in broad-based changes to federal tax law. The Company included the impact of OBBBA in its income tax provision for the fiscal year ended December 28, 2025. The OBBBA did not have a material impact on income tax expense for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expense over the requisite service period on a straight- 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income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net loss per share following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Basic net loss per share is measured as the loss attributable to common stockholders divided by the weighted average common shares outstanding during periods with undistributed losses.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Securities that potentially have an anti-dilutive effect (i.e., those that increase income per share or decrease loss per share) are excluded from the diluted loss per share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leases following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if a contract is a lease or contains a lease at the inception of the contract and reassesses that conclusion if the contract is modified. ROU assets represent the Company’s right to use an underlying asset for the lease term and lease liabilities represent its obligation to make lease payments arising from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generally contain lease and non-lease components. Payments under lease arrangements are primarily fixed. The Company has elected the practical expedient to combine lease and non-lease components and accounts for them together as a single lease component. All leases are assessed for classification as an operating lease or a finance lease. Finance lease ROU assets are classified within Property and Equipment, net, on the Company’s consolidated balance sheets. Operating lease ROU assets are classified separately on the Company’s consolidated balance sheets. Operating lease liabilities and finance lease obligations are separated into their respective current portion and non-current portions and are presented separately on the Company’s consolidated balance sheets. Finance lease ROU assets and liabilities and operating lease ROU assets and liabilities are recognized on the Company’s consolidated balance sheet on the date in which the lessor makes the underlying asset available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ROU assets are those that meet one or more of the criteria outlined in ASC 842-10-25-2, such as transfer of ownership, purchase option, lease term for a major part of the asset’s economic life, or present value of lease payments substantially equal to the fair value of the asset. Finance lease ROU assets are initially measured at cost, which includes the initial lease liability, plus any lease payments made at or before commencement, less any lease incentives received. Finance lease ROU assets are amortized on a straight-line basis over the shorter of the lease term or the useful life of the underlying asset. Interest expense on the finance lease liability is recognized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liabilities are recognized based upon the present value of the lease payments over the respective lease term. Operating lease expense is recognized on a straight-line basis over the lease term, subject to any changes in the lease or expectation regarding the terms. Variable lease costs such as common area maintenance, property taxes and insurance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Options to renew or extend leases beyond their initial term have been excluded from measurement of the ROU assets and lease liabilities when exercise of such options is not reasonably certain. The Company generally uses the base, non-cancellable, lease term when determining the lease assets and liabilities. The Company records a right-of-use asset which is calculated based on the amount of the lease liability, adjusted for any advance lease payments made, lease incentives received, and initial direct costs incurred. Right-of-use assets are subject to evaluation for impairment or disposal on a basis consistent with other long-lived assets.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for all classes of underlying assets, not to recognize ROU assets and lease liabilities for leases with an initial term of twelve months or less. The cost for short-term leases is recognized on a straight-line basis over the term of the contract.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Financial Accounting Standards Board (“FASB”) issued Accounting Standards Update (“ASU”) 2025-05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xml:space="preserve"> which provides an update to all entities with a practical expedient when estimating expected credit losses.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adopted this ASU on a prospective basis in its annual report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with CRSEF Solis Holdings, LLC and its affiliates (“Carlyle”), have been disclosed as related party transactions until it ceased being a significant shareholder in the Company. Effective March 31, 2025, transactions with Carlyle are no longer deemed related party transactions. The Company continues to engage in transactions with Carlyle as it is a creditor of the Company’s 12.0% senior unsecured convertible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Daniel McCranie became a member of the Company’s Board of Directors in January 2025 and through a related trust, holds $750 thousand of the Company’s 12.0% senior unsecured convertible notes. The Company concluded that this relationship is a related party transaction effective in the Company’s fiscal year 2025.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Polar Multi-Strategy Master Fund (“Polar”) ceased to be a related party, and as a result, effective March 31, 2025, transactions with Polar are no longer deemed related party transactions. Transactions previously reported with Polar have been disclosed as related party transactions. The Company has a forward purchase agreement with Polar.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received a letter from the Listing Qualifications staff of Nasdaq indicating that, as a result of the Company’s delay in filing its quarterly report on Form 10-Q for the period ended September 28, 2025,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quarterly report on Form 10-Q for the period ended September 28, 2025 on December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SunPower Businesses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Company entered into an Asset Purchase Agreement (the “APA”) with SunPower Corporation and SunPower Corporation’s direct and indirect subsidiaries (collectively, the “SunPower Debtors”) providing for the sale and purchase of certain assets relating to the Blue Raven Solar business, New Homes Business and Non-Installing Dealer network previously operated by the SunPower Debtors. The APA was entered into in connection with a voluntary petition filed by SunPower Corporation under Chapter 11 of the United States Code, 11 U.S.C.§§ 101-1532. The transaction was approved on September 23, 2024, by the United States Bankruptcy Court for the District of Delaware. The Company completed the acquisition of the Acquired Assets (as defined in the APA) effective September 30, 2024, in the Company’s fourth quarter of fiscal year 2024, in consideration for a cash purchase price of $54.5 million (“SunPower Acquisition”). The assets and businesses acquired, including liabilities assumed, by the Company under the APA are referred to herein as the “SunPower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acquisition, the SunPower Businesses operated as a solar technology and energy services provider that offered fully integrated solar, storage, and home energy solutions to customers in the United States through an array of hardware, software, and “Smart Energy” solutions. The financial results of the SunPower Businesses have been included in the Company’s consolidated financial statements since its date of acquisition. This transaction was accounted for as a business combination in accordance with ASC 805</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$7.2 million incurred in connection with the close of the SunPower Businesses were expensed by the Company and included in general and administrative expenses on the Company’s statement of operations and comprehensive loss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initially recorded were based upon a preliminary valuation in the fiscal year ended December 29, 2024. Upon finalization of the fair values in the fiscal year ended December 28, 2025, the Company recorded adjustments to acquired inventory related to (1) the resolution of work-in-progress at various stages of completion as of the acquisition date for which further analysis was required in order to determine which systems could be sold to a financing partner, and (2) completed systems that were acquired as of the acquisition date for which uncertainty existed due to unsettled matters with the SunPower Bankruptcy Estate, which were resolved in connection with the Company’s settlement with the SunPower Bankruptcy Estate. The settlement of these matters resulted in adjustments to the provisional fair values of the inventory and intangibles with an offsetting adjustment to goodwill during the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and final fair values of identifiable assets acquired and liabilities assumed and measurement period adjustments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6"/>
        <w:gridCol w:w="90"/>
        <w:gridCol w:w="537"/>
        <w:gridCol w:w="2358"/>
        <w:gridCol w:w="110"/>
        <w:gridCol w:w="90"/>
        <w:gridCol w:w="396"/>
        <w:gridCol w:w="1749"/>
        <w:gridCol w:w="110"/>
        <w:gridCol w:w="90"/>
        <w:gridCol w:w="174"/>
        <w:gridCol w:w="765"/>
        <w:gridCol w:w="160"/>
      </w:tblGrid>
      <w:tr>
        <w:trPr/>
        <w:tc>
          <w:tcPr>
            <w:tcW w:w="3576"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 as of December 29, 2024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Measurement </w:t>
              <w:br/>
              <w:t xml:space="preserve">period </w:t>
              <w:br/>
              <w:t>adjustments in fiscal 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Final</w:t>
              <w:br/>
              <w:t>fair values</w:t>
            </w:r>
          </w:p>
        </w:tc>
        <w:tc>
          <w:tcPr>
            <w:tcW w:w="160" w:type="dxa"/>
            <w:tcBorders/>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assets acquired:</w:t>
            </w:r>
          </w:p>
        </w:tc>
        <w:tc>
          <w:tcPr>
            <w:tcW w:w="90" w:type="dxa"/>
            <w:tcBorders/>
            <w:vAlign w:val="center"/>
          </w:tcPr>
          <w:p>
            <w:pPr>
              <w:pStyle w:val="TableContents"/>
              <w:bidi w:val="0"/>
              <w:spacing w:before="0" w:after="283"/>
              <w:jc w:val="left"/>
              <w:rPr/>
            </w:pPr>
            <w:r>
              <w:rPr/>
              <w:t> </w:t>
            </w:r>
          </w:p>
        </w:tc>
        <w:tc>
          <w:tcPr>
            <w:tcW w:w="2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9"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16,614</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Contract assets</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Inventories</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27,706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48,388</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and equipment</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noncurrent assets</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Intangibles</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revenue</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long-term liabilities</w:t>
            </w:r>
          </w:p>
        </w:tc>
        <w:tc>
          <w:tcPr>
            <w:tcW w:w="90" w:type="dxa"/>
            <w:tcBorders/>
            <w:vAlign w:val="center"/>
          </w:tcPr>
          <w:p>
            <w:pPr>
              <w:pStyle w:val="TableContents"/>
              <w:bidi w:val="0"/>
              <w:spacing w:before="0" w:after="283"/>
              <w:jc w:val="left"/>
              <w:rPr/>
            </w:pPr>
            <w:r>
              <w:rPr/>
              <w:t> </w:t>
            </w:r>
          </w:p>
        </w:tc>
        <w:tc>
          <w:tcPr>
            <w:tcW w:w="537" w:type="dxa"/>
            <w:tcBorders>
              <w:bottom w:val="single" w:sz="12" w:space="0" w:color="000000"/>
            </w:tcBorders>
            <w:tcMar>
              <w:bottom w:w="28" w:type="dxa"/>
            </w:tcMar>
            <w:vAlign w:val="center"/>
          </w:tcPr>
          <w:p>
            <w:pPr>
              <w:pStyle w:val="TableContents"/>
              <w:bidi w:val="0"/>
              <w:spacing w:before="0" w:after="283"/>
              <w:jc w:val="left"/>
              <w:rPr/>
            </w:pPr>
            <w:r>
              <w:rPr/>
              <w:t> </w:t>
            </w:r>
          </w:p>
        </w:tc>
        <w:tc>
          <w:tcPr>
            <w:tcW w:w="235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3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9"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of net assets acquired</w:t>
            </w:r>
          </w:p>
        </w:tc>
        <w:tc>
          <w:tcPr>
            <w:tcW w:w="90" w:type="dxa"/>
            <w:tcBorders/>
            <w:shd w:fill="CCEEFF" w:val="clear"/>
            <w:vAlign w:val="center"/>
          </w:tcPr>
          <w:p>
            <w:pPr>
              <w:pStyle w:val="TableContents"/>
              <w:bidi w:val="0"/>
              <w:spacing w:before="0" w:after="283"/>
              <w:jc w:val="left"/>
              <w:rPr/>
            </w:pPr>
            <w:r>
              <w:rPr/>
              <w:t> </w:t>
            </w:r>
          </w:p>
        </w:tc>
        <w:tc>
          <w:tcPr>
            <w:tcW w:w="5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36,024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Goodwill recognized</w:t>
            </w:r>
          </w:p>
        </w:tc>
        <w:tc>
          <w:tcPr>
            <w:tcW w:w="90" w:type="dxa"/>
            <w:tcBorders/>
            <w:vAlign w:val="center"/>
          </w:tcPr>
          <w:p>
            <w:pPr>
              <w:pStyle w:val="TableContents"/>
              <w:bidi w:val="0"/>
              <w:spacing w:before="0" w:after="283"/>
              <w:jc w:val="left"/>
              <w:rPr/>
            </w:pPr>
            <w:r>
              <w:rPr/>
              <w:t> </w:t>
            </w:r>
          </w:p>
        </w:tc>
        <w:tc>
          <w:tcPr>
            <w:tcW w:w="537" w:type="dxa"/>
            <w:tcBorders>
              <w:bottom w:val="single" w:sz="12" w:space="0" w:color="000000"/>
            </w:tcBorders>
            <w:tcMar>
              <w:bottom w:w="28" w:type="dxa"/>
            </w:tcMar>
            <w:vAlign w:val="center"/>
          </w:tcPr>
          <w:p>
            <w:pPr>
              <w:pStyle w:val="TableContents"/>
              <w:bidi w:val="0"/>
              <w:spacing w:before="0" w:after="283"/>
              <w:jc w:val="left"/>
              <w:rPr/>
            </w:pPr>
            <w:r>
              <w:rPr/>
              <w:t> </w:t>
            </w:r>
          </w:p>
        </w:tc>
        <w:tc>
          <w:tcPr>
            <w:tcW w:w="235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tcMar>
              <w:bottom w:w="28" w:type="dxa"/>
            </w:tcMar>
            <w:vAlign w:val="center"/>
          </w:tcPr>
          <w:p>
            <w:pPr>
              <w:pStyle w:val="TableContents"/>
              <w:bidi w:val="0"/>
              <w:spacing w:before="0" w:after="283"/>
              <w:jc w:val="right"/>
              <w:rPr/>
            </w:pPr>
            <w:r>
              <w:rPr/>
              <w:t>—</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Consideration transferred</w:t>
            </w:r>
          </w:p>
        </w:tc>
        <w:tc>
          <w:tcPr>
            <w:tcW w:w="90" w:type="dxa"/>
            <w:tcBorders/>
            <w:shd w:fill="CCEEFF" w:val="clear"/>
            <w:vAlign w:val="center"/>
          </w:tcPr>
          <w:p>
            <w:pPr>
              <w:pStyle w:val="TableContents"/>
              <w:bidi w:val="0"/>
              <w:spacing w:before="0" w:after="283"/>
              <w:jc w:val="left"/>
              <w:rPr/>
            </w:pPr>
            <w:r>
              <w:rPr/>
              <w:t> </w:t>
            </w:r>
          </w:p>
        </w:tc>
        <w:tc>
          <w:tcPr>
            <w:tcW w:w="53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5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4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1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and final fair values of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2555"/>
        <w:gridCol w:w="90"/>
        <w:gridCol w:w="905"/>
        <w:gridCol w:w="90"/>
        <w:gridCol w:w="250"/>
        <w:gridCol w:w="1000"/>
        <w:gridCol w:w="90"/>
        <w:gridCol w:w="90"/>
        <w:gridCol w:w="255"/>
        <w:gridCol w:w="950"/>
        <w:gridCol w:w="110"/>
        <w:gridCol w:w="90"/>
        <w:gridCol w:w="190"/>
        <w:gridCol w:w="760"/>
        <w:gridCol w:w="135"/>
      </w:tblGrid>
      <w:tr>
        <w:trPr/>
        <w:tc>
          <w:tcPr>
            <w:tcW w:w="25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 xml:space="preserve">December 29, </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w:t>
              <w:br/>
              <w:t>in fiscal</w:t>
              <w:b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Final </w:t>
              <w:br/>
              <w:t>fair values</w:t>
            </w:r>
          </w:p>
        </w:tc>
        <w:tc>
          <w:tcPr>
            <w:tcW w:w="13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Blue Raven Solar</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7,094</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SunPower</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13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9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trademarks were estimated using the relief-from-royalty method. This approach measures the value of the asset based on the hypothetical royalties the Company would avoid paying if it had to license the trademark from a third party. The analysis considers the established history and longevity of the trade names, including the Blue Raven brand, in use since 2014, and the SunPower brand, which has been in the market for over 20 years. Key assumptions include projecting sales attributable to business enterprise value for each respective business, applying a 1% royalty rate derived from a profit-split analysis and benchmarking against the median of comparable licensing arrangements, and utilizing a 10-year economic life in line with management’s plans to continue using the brands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developed technology was estimated using the cost approach, which measures the economic resources required to recreate the asset, including direct costs and necessary entrepreneurial incentives. Direct costs were based on management’s estimate of the fees and profit margin that would be required to engage external consultants to rebuild the technology. In addition, an opportunity cost was incorporated to reflect the hypothetical return foregone during the development period, representing the income that could have been earned had these funds been invested elsewhere. The total replacement cost was calculated assuming a weighted-average redevelopment period of 19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SunPower Acquisition contributed $83.8 million and $6.5 million in revenue and income before income taxes from continuing operations, respectively, for the period from the acquisition date to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(“Seller/Member”),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3,333,334 shares of the Company’s common stock issued at the Sunder Closing and (ii) subject to approval of such issuances by the Company’s stockholders, (x) 3,333,333 shares of the Company’s common stock to be issued on the 12-month anniversary of the Sunder Closing and (y) 3,333,333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6 month anniversary of the date on which the applicable Deferred Sunder Consideration Shares are otherwise issuable. The shares of the Company’s common stock issued and expected to be issued were valued at aggregate of $17.1 million at the date of acquisition. The common stock issued at the Sunder Closing was valued at $5.7 million and accounted for within Additional paid-in-capital on the Company’s consolidated balance sheet. The Deferred Sunder Consideration Shares payable is presented as noted below on the Company’s consolidated balance sheet as of December 28, 2025. The fair value of the Sunder deferred consideration was subsequently adjusted downward to $10.8 million from the Sunder Closing to December 28, 2025. The Company concluded that since the sellers joined the Company and represent members of management, they have a level of influence that is not insignificant, they are related parties of the Company, and therefore the Deferred Consideration and Seller Note are a related party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9885" w:type="dxa"/>
        <w:jc w:val="left"/>
        <w:tblInd w:w="0" w:type="dxa"/>
        <w:tblLayout w:type="fixed"/>
        <w:tblCellMar>
          <w:top w:w="0" w:type="dxa"/>
          <w:left w:w="0" w:type="dxa"/>
          <w:bottom w:w="0" w:type="dxa"/>
          <w:right w:w="0" w:type="dxa"/>
        </w:tblCellMar>
      </w:tblPr>
      <w:tblGrid>
        <w:gridCol w:w="8885"/>
        <w:gridCol w:w="90"/>
        <w:gridCol w:w="155"/>
        <w:gridCol w:w="620"/>
        <w:gridCol w:w="135"/>
      </w:tblGrid>
      <w:tr>
        <w:trPr/>
        <w:tc>
          <w:tcPr>
            <w:tcW w:w="88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8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20,689</w:t>
            </w:r>
          </w:p>
        </w:tc>
        <w:tc>
          <w:tcPr>
            <w:tcW w:w="135"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note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135" w:type="dxa"/>
            <w:tcBorders/>
            <w:vAlign w:val="center"/>
          </w:tcPr>
          <w:p>
            <w:pPr>
              <w:pStyle w:val="TableContents"/>
              <w:bidi w:val="0"/>
              <w:spacing w:before="0" w:after="283"/>
              <w:jc w:val="left"/>
              <w:rPr/>
            </w:pPr>
            <w:r>
              <w:rPr/>
              <w:t> </w:t>
            </w:r>
          </w:p>
        </w:tc>
      </w:tr>
      <w:tr>
        <w:trPr/>
        <w:tc>
          <w:tcPr>
            <w:tcW w:w="8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3,333,334 shares of the Company’s common stock (classified within Additional paid-in-capital)</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135"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Sunder Consideration Shares (fair value of 6,666,666 shares of the Company’s common stock):</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8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current with related party</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135"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noncurrent with related party</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135" w:type="dxa"/>
            <w:tcBorders/>
            <w:vAlign w:val="center"/>
          </w:tcPr>
          <w:p>
            <w:pPr>
              <w:pStyle w:val="TableContents"/>
              <w:bidi w:val="0"/>
              <w:spacing w:before="0" w:after="283"/>
              <w:jc w:val="left"/>
              <w:rPr/>
            </w:pPr>
            <w:r>
              <w:rPr/>
              <w:t> </w:t>
            </w:r>
          </w:p>
        </w:tc>
      </w:tr>
      <w:tr>
        <w:trPr/>
        <w:tc>
          <w:tcPr>
            <w:tcW w:w="8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57,789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a $20.0 million Seller Note.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527" w:type="dxa"/>
        <w:jc w:val="left"/>
        <w:tblInd w:w="0" w:type="dxa"/>
        <w:tblLayout w:type="fixed"/>
        <w:tblCellMar>
          <w:top w:w="0" w:type="dxa"/>
          <w:left w:w="0" w:type="dxa"/>
          <w:bottom w:w="0" w:type="dxa"/>
          <w:right w:w="0" w:type="dxa"/>
        </w:tblCellMar>
      </w:tblPr>
      <w:tblGrid>
        <w:gridCol w:w="4355"/>
        <w:gridCol w:w="90"/>
        <w:gridCol w:w="266"/>
        <w:gridCol w:w="1238"/>
        <w:gridCol w:w="125"/>
        <w:gridCol w:w="90"/>
        <w:gridCol w:w="273"/>
        <w:gridCol w:w="1261"/>
        <w:gridCol w:w="125"/>
        <w:gridCol w:w="90"/>
        <w:gridCol w:w="256"/>
        <w:gridCol w:w="1188"/>
        <w:gridCol w:w="170"/>
      </w:tblGrid>
      <w:tr>
        <w:trPr/>
        <w:tc>
          <w:tcPr>
            <w:tcW w:w="43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September 24,</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Measurement </w:t>
              <w:br/>
              <w:t xml:space="preserve">period </w:t>
              <w:br/>
              <w:t>adjustments in</w:t>
              <w:br/>
              <w:t>fiscal</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December 28,</w:t>
              <w:br/>
              <w:t>2025</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b/>
              </w:rPr>
            </w:pPr>
            <w:r>
              <w:rPr>
                <w:b/>
              </w:rPr>
              <w:t>Net assets acquired:</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257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540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797</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pPr>
            <w:r>
              <w:rPr/>
              <w:t>Prepaid expenses and other current assets</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387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2,652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3,039</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Property and equipment</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241</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pPr>
            <w:r>
              <w:rPr/>
              <w:t>Operating lease right-of-use assets</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313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313</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(417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pPr>
            <w:r>
              <w:rPr/>
              <w:t>Intangibles</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25,922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11,578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37,500</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(11,073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(600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(11,673</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both"/>
              <w:rPr/>
            </w:pPr>
            <w:r>
              <w:rPr/>
              <w:t>Accounts payable</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(203</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both"/>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(1,322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(2,528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(3,850</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both"/>
              <w:rPr/>
            </w:pPr>
            <w:r>
              <w:rPr/>
              <w:t>Operating lease liabilities</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(215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tcMar>
              <w:bottom w:w="28" w:type="dxa"/>
            </w:tcMar>
            <w:vAlign w:val="center"/>
          </w:tcPr>
          <w:p>
            <w:pPr>
              <w:pStyle w:val="TableContents"/>
              <w:bidi w:val="0"/>
              <w:spacing w:before="0" w:after="283"/>
              <w:jc w:val="right"/>
              <w:rPr/>
            </w:pPr>
            <w:r>
              <w:rPr/>
              <w:t>(117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(332</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both"/>
              <w:rPr/>
            </w:pPr>
            <w:r>
              <w:rPr/>
              <w:t>Fair value of net assets acquired</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14,878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11,089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pPr>
            <w:r>
              <w:rPr/>
              <w:t>Consideration transferred</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57,789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57,789</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Goodwill recognized</w:t>
            </w:r>
          </w:p>
        </w:tc>
        <w:tc>
          <w:tcPr>
            <w:tcW w:w="90" w:type="dxa"/>
            <w:tcBorders/>
            <w:shd w:fill="CCEEFF" w:val="clear"/>
            <w:vAlign w:val="center"/>
          </w:tcPr>
          <w:p>
            <w:pPr>
              <w:pStyle w:val="TableContents"/>
              <w:bidi w:val="0"/>
              <w:spacing w:before="0" w:after="283"/>
              <w:jc w:val="left"/>
              <w:rPr/>
            </w:pPr>
            <w:r>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CCEEFF" w:val="clear"/>
            <w:tcMar>
              <w:bottom w:w="28" w:type="dxa"/>
            </w:tcMar>
            <w:vAlign w:val="center"/>
          </w:tcPr>
          <w:p>
            <w:pPr>
              <w:pStyle w:val="TableContents"/>
              <w:bidi w:val="0"/>
              <w:spacing w:before="0" w:after="283"/>
              <w:jc w:val="right"/>
              <w:rPr/>
            </w:pPr>
            <w:r>
              <w:rPr/>
              <w:t>42,911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(11,089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8009" w:type="dxa"/>
        <w:jc w:val="left"/>
        <w:tblInd w:w="0" w:type="dxa"/>
        <w:tblLayout w:type="fixed"/>
        <w:tblCellMar>
          <w:top w:w="0" w:type="dxa"/>
          <w:left w:w="0" w:type="dxa"/>
          <w:bottom w:w="0" w:type="dxa"/>
          <w:right w:w="0" w:type="dxa"/>
        </w:tblCellMar>
      </w:tblPr>
      <w:tblGrid>
        <w:gridCol w:w="2645"/>
        <w:gridCol w:w="90"/>
        <w:gridCol w:w="905"/>
        <w:gridCol w:w="90"/>
        <w:gridCol w:w="259"/>
        <w:gridCol w:w="1036"/>
        <w:gridCol w:w="90"/>
        <w:gridCol w:w="90"/>
        <w:gridCol w:w="234"/>
        <w:gridCol w:w="1030"/>
        <w:gridCol w:w="110"/>
        <w:gridCol w:w="90"/>
        <w:gridCol w:w="241"/>
        <w:gridCol w:w="964"/>
        <w:gridCol w:w="135"/>
      </w:tblGrid>
      <w:tr>
        <w:trPr/>
        <w:tc>
          <w:tcPr>
            <w:tcW w:w="26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 xml:space="preserve">as of </w:t>
              <w:br/>
              <w:t xml:space="preserve">September 24,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 in</w:t>
              <w:br/>
              <w:t>fiscal</w:t>
              <w:b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December 28,</w:t>
              <w:br/>
              <w:t>2025</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relationships</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21,321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30,600</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Sunder</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6,100</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 - Sunder</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years</w:t>
            </w:r>
          </w:p>
        </w:tc>
        <w:tc>
          <w:tcPr>
            <w:tcW w:w="9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(13,416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which measures the cash flows attributable to existing customers after deducting all supporting expenses and contributory asset charges.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of approximately since late 2023, representing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contributed $14.4 million and $6.2 million in revenue and income before income taxes from continuing operations, respectively, for the period from the acquisition date to the fiscal year ended December 28,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05"/>
        <w:gridCol w:w="90"/>
        <w:gridCol w:w="155"/>
        <w:gridCol w:w="620"/>
        <w:gridCol w:w="135"/>
      </w:tblGrid>
      <w:tr>
        <w:trPr/>
        <w:tc>
          <w:tcPr>
            <w:tcW w:w="92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9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10,243,924 shares of the Company’s common stock issued at Ambia Closing (classified within Additional paid-in capital)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92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Ambia Consideration Shares (Classified within Deferred consideration, current)</w:t>
            </w:r>
          </w:p>
        </w:tc>
        <w:tc>
          <w:tcPr>
            <w:tcW w:w="90" w:type="dxa"/>
            <w:tcBorders/>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135" w:type="dxa"/>
            <w:tcBorders/>
            <w:tcMar>
              <w:bottom w:w="0" w:type="dxa"/>
            </w:tcMar>
            <w:vAlign w:val="center"/>
          </w:tcPr>
          <w:p>
            <w:pPr>
              <w:pStyle w:val="TableContents"/>
              <w:bidi w:val="0"/>
              <w:spacing w:before="0" w:after="283"/>
              <w:jc w:val="left"/>
              <w:rPr/>
            </w:pPr>
            <w:r>
              <w:rPr/>
              <w:t> </w:t>
            </w:r>
          </w:p>
        </w:tc>
      </w:tr>
      <w:tr>
        <w:trPr/>
        <w:tc>
          <w:tcPr>
            <w:tcW w:w="9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is a residential solar energy system installer and operates in various markets throughout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48"/>
        <w:gridCol w:w="90"/>
        <w:gridCol w:w="288"/>
        <w:gridCol w:w="1208"/>
        <w:gridCol w:w="171"/>
      </w:tblGrid>
      <w:tr>
        <w:trPr/>
        <w:tc>
          <w:tcPr>
            <w:tcW w:w="844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171" w:type="dxa"/>
            <w:tcBorders/>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b/>
              </w:rPr>
            </w:pPr>
            <w:r>
              <w:rPr>
                <w:b/>
              </w:rPr>
              <w:t>Net assets acquired:</w:t>
            </w:r>
          </w:p>
        </w:tc>
        <w:tc>
          <w:tcPr>
            <w:tcW w:w="90" w:type="dxa"/>
            <w:tcBorders/>
            <w:vAlign w:val="center"/>
          </w:tcPr>
          <w:p>
            <w:pPr>
              <w:pStyle w:val="TableContents"/>
              <w:bidi w:val="0"/>
              <w:spacing w:before="0" w:after="283"/>
              <w:jc w:val="left"/>
              <w:rPr/>
            </w:pPr>
            <w:r>
              <w:rPr/>
              <w:t> </w:t>
            </w:r>
          </w:p>
        </w:tc>
        <w:tc>
          <w:tcPr>
            <w:tcW w:w="1496" w:type="dxa"/>
            <w:gridSpan w:val="2"/>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1,350</w:t>
            </w:r>
          </w:p>
        </w:tc>
        <w:tc>
          <w:tcPr>
            <w:tcW w:w="171" w:type="dxa"/>
            <w:tcBorders/>
            <w:shd w:fill="CCEEFF" w:val="clear"/>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pPr>
            <w:r>
              <w:rPr/>
              <w:t>Accounts receivable</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1,368</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Contract assets - unbilled receivables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1,143</w:t>
            </w:r>
          </w:p>
        </w:tc>
        <w:tc>
          <w:tcPr>
            <w:tcW w:w="171" w:type="dxa"/>
            <w:tcBorders/>
            <w:shd w:fill="CCEEFF" w:val="clear"/>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pPr>
            <w:r>
              <w:rPr/>
              <w:t>Prepaid expenses and other current assets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797</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2,230</w:t>
            </w:r>
          </w:p>
        </w:tc>
        <w:tc>
          <w:tcPr>
            <w:tcW w:w="171" w:type="dxa"/>
            <w:tcBorders/>
            <w:shd w:fill="CCEEFF" w:val="clear"/>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pPr>
            <w:r>
              <w:rPr/>
              <w:t>Intangible assets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4,300</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2,563</w:t>
            </w:r>
          </w:p>
        </w:tc>
        <w:tc>
          <w:tcPr>
            <w:tcW w:w="171" w:type="dxa"/>
            <w:tcBorders/>
            <w:shd w:fill="CCEEFF" w:val="clear"/>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pPr>
            <w:r>
              <w:rPr/>
              <w:t>Other noncurrent assets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182</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(2,806</w:t>
            </w:r>
          </w:p>
        </w:tc>
        <w:tc>
          <w:tcPr>
            <w:tcW w:w="171" w:type="dxa"/>
            <w:tcBorders/>
            <w:shd w:fill="CCEEFF" w:val="clear"/>
            <w:vAlign w:val="center"/>
          </w:tcPr>
          <w:p>
            <w:pPr>
              <w:pStyle w:val="TableContents"/>
              <w:bidi w:val="0"/>
              <w:spacing w:before="0" w:after="283"/>
              <w:jc w:val="left"/>
              <w:rPr/>
            </w:pPr>
            <w:r>
              <w:rPr/>
              <w:t>)</w:t>
            </w:r>
          </w:p>
        </w:tc>
      </w:tr>
      <w:tr>
        <w:trPr/>
        <w:tc>
          <w:tcPr>
            <w:tcW w:w="8448" w:type="dxa"/>
            <w:tcBorders/>
            <w:vAlign w:val="center"/>
          </w:tcPr>
          <w:p>
            <w:pPr>
              <w:pStyle w:val="TableContents"/>
              <w:bidi w:val="0"/>
              <w:spacing w:before="0" w:after="283"/>
              <w:jc w:val="both"/>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(2,917</w:t>
            </w:r>
          </w:p>
        </w:tc>
        <w:tc>
          <w:tcPr>
            <w:tcW w:w="171" w:type="dxa"/>
            <w:tcBorders/>
            <w:vAlign w:val="center"/>
          </w:tcPr>
          <w:p>
            <w:pPr>
              <w:pStyle w:val="TableContents"/>
              <w:bidi w:val="0"/>
              <w:spacing w:before="0" w:after="283"/>
              <w:jc w:val="left"/>
              <w:rPr/>
            </w:pPr>
            <w:r>
              <w:rPr/>
              <w:t>)</w:t>
            </w:r>
          </w:p>
        </w:tc>
      </w:tr>
      <w:tr>
        <w:trPr/>
        <w:tc>
          <w:tcPr>
            <w:tcW w:w="8448" w:type="dxa"/>
            <w:tcBorders/>
            <w:shd w:fill="CCEEFF" w:val="clear"/>
            <w:vAlign w:val="center"/>
          </w:tcPr>
          <w:p>
            <w:pPr>
              <w:pStyle w:val="TableContents"/>
              <w:bidi w:val="0"/>
              <w:spacing w:before="0" w:after="283"/>
              <w:jc w:val="both"/>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(1,675</w:t>
            </w:r>
          </w:p>
        </w:tc>
        <w:tc>
          <w:tcPr>
            <w:tcW w:w="171" w:type="dxa"/>
            <w:tcBorders/>
            <w:shd w:fill="CCEEFF" w:val="clear"/>
            <w:vAlign w:val="center"/>
          </w:tcPr>
          <w:p>
            <w:pPr>
              <w:pStyle w:val="TableContents"/>
              <w:bidi w:val="0"/>
              <w:spacing w:before="0" w:after="283"/>
              <w:jc w:val="left"/>
              <w:rPr/>
            </w:pPr>
            <w:r>
              <w:rPr/>
              <w:t>)</w:t>
            </w:r>
          </w:p>
        </w:tc>
      </w:tr>
      <w:tr>
        <w:trPr/>
        <w:tc>
          <w:tcPr>
            <w:tcW w:w="8448" w:type="dxa"/>
            <w:tcBorders/>
            <w:vAlign w:val="center"/>
          </w:tcPr>
          <w:p>
            <w:pPr>
              <w:pStyle w:val="TableContents"/>
              <w:bidi w:val="0"/>
              <w:spacing w:before="0" w:after="283"/>
              <w:jc w:val="both"/>
              <w:rPr/>
            </w:pPr>
            <w:r>
              <w:rPr/>
              <w:t>Operating lease liabilities, noncurrent</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(2,702</w:t>
            </w:r>
          </w:p>
        </w:tc>
        <w:tc>
          <w:tcPr>
            <w:tcW w:w="171" w:type="dxa"/>
            <w:tcBorders/>
            <w:vAlign w:val="center"/>
          </w:tcPr>
          <w:p>
            <w:pPr>
              <w:pStyle w:val="TableContents"/>
              <w:bidi w:val="0"/>
              <w:spacing w:before="0" w:after="283"/>
              <w:jc w:val="left"/>
              <w:rPr/>
            </w:pPr>
            <w:r>
              <w:rPr/>
              <w:t>)</w:t>
            </w:r>
          </w:p>
        </w:tc>
      </w:tr>
      <w:tr>
        <w:trPr/>
        <w:tc>
          <w:tcPr>
            <w:tcW w:w="8448" w:type="dxa"/>
            <w:tcBorders/>
            <w:shd w:fill="CCEEFF" w:val="clear"/>
            <w:vAlign w:val="center"/>
          </w:tcPr>
          <w:p>
            <w:pPr>
              <w:pStyle w:val="TableContents"/>
              <w:bidi w:val="0"/>
              <w:spacing w:before="0" w:after="283"/>
              <w:jc w:val="both"/>
              <w:rPr/>
            </w:pPr>
            <w:r>
              <w:rPr/>
              <w:t>Finance lease liabilities</w:t>
            </w:r>
          </w:p>
        </w:tc>
        <w:tc>
          <w:tcPr>
            <w:tcW w:w="90"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71" w:type="dxa"/>
            <w:tcBorders/>
            <w:shd w:fill="CCEEFF" w:val="clear"/>
            <w:vAlign w:val="center"/>
          </w:tcPr>
          <w:p>
            <w:pPr>
              <w:pStyle w:val="TableContents"/>
              <w:bidi w:val="0"/>
              <w:spacing w:before="0" w:after="283"/>
              <w:jc w:val="left"/>
              <w:rPr/>
            </w:pPr>
            <w:r>
              <w:rPr/>
              <w:t>)</w:t>
            </w:r>
          </w:p>
        </w:tc>
      </w:tr>
      <w:tr>
        <w:trPr/>
        <w:tc>
          <w:tcPr>
            <w:tcW w:w="8448" w:type="dxa"/>
            <w:tcBorders/>
            <w:vAlign w:val="center"/>
          </w:tcPr>
          <w:p>
            <w:pPr>
              <w:pStyle w:val="TableContents"/>
              <w:bidi w:val="0"/>
              <w:spacing w:before="0" w:after="283"/>
              <w:jc w:val="both"/>
              <w:rPr/>
            </w:pPr>
            <w:r>
              <w:rPr/>
              <w:t>Fair value of net assets acquired</w:t>
            </w:r>
          </w:p>
        </w:tc>
        <w:tc>
          <w:tcPr>
            <w:tcW w:w="90" w:type="dxa"/>
            <w:tcBorders/>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283"/>
              <w:jc w:val="right"/>
              <w:rPr/>
            </w:pPr>
            <w:r>
              <w:rPr/>
              <w:t>2,564</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Fair value of common stock issued (classified within Additional paid-in-capital)</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16,493</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448" w:type="dxa"/>
            <w:tcBorders/>
            <w:vAlign w:val="center"/>
          </w:tcPr>
          <w:p>
            <w:pPr>
              <w:pStyle w:val="TableContents"/>
              <w:bidi w:val="0"/>
              <w:spacing w:before="0" w:after="283"/>
              <w:jc w:val="both"/>
              <w:rPr/>
            </w:pPr>
            <w:r>
              <w:rPr/>
              <w:t>Fair value of Deferred Ambia Consideration Shares (Accrued expenses and other current liabilities)</w:t>
            </w:r>
          </w:p>
        </w:tc>
        <w:tc>
          <w:tcPr>
            <w:tcW w:w="90" w:type="dxa"/>
            <w:tcBorders/>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283"/>
              <w:jc w:val="right"/>
              <w:rPr/>
            </w:pPr>
            <w:r>
              <w:rPr/>
              <w:t>16,879</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Consideration transferred</w:t>
            </w:r>
          </w:p>
        </w:tc>
        <w:tc>
          <w:tcPr>
            <w:tcW w:w="90"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33,372</w:t>
            </w:r>
          </w:p>
        </w:tc>
        <w:tc>
          <w:tcPr>
            <w:tcW w:w="171" w:type="dxa"/>
            <w:tcBorders/>
            <w:shd w:fill="CCEEFF" w:val="clear"/>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pPr>
            <w:r>
              <w:rPr/>
              <w:t>Goodwill recognized</w:t>
            </w:r>
          </w:p>
        </w:tc>
        <w:tc>
          <w:tcPr>
            <w:tcW w:w="90" w:type="dxa"/>
            <w:tcBorders/>
            <w:vAlign w:val="center"/>
          </w:tcPr>
          <w:p>
            <w:pPr>
              <w:pStyle w:val="TableContents"/>
              <w:bidi w:val="0"/>
              <w:spacing w:before="0" w:after="283"/>
              <w:jc w:val="left"/>
              <w:rPr/>
            </w:pPr>
            <w:r>
              <w:rPr/>
              <w:t> </w:t>
            </w:r>
          </w:p>
        </w:tc>
        <w:tc>
          <w:tcPr>
            <w:tcW w:w="288" w:type="dxa"/>
            <w:tcBorders>
              <w:bottom w:val="double" w:sz="10" w:space="0" w:color="000000"/>
            </w:tcBorders>
            <w:tcMar>
              <w:bottom w:w="28" w:type="dxa"/>
            </w:tcMar>
            <w:vAlign w:val="center"/>
          </w:tcPr>
          <w:p>
            <w:pPr>
              <w:pStyle w:val="TableContents"/>
              <w:bidi w:val="0"/>
              <w:spacing w:before="0" w:after="283"/>
              <w:jc w:val="left"/>
              <w:rPr/>
            </w:pPr>
            <w:r>
              <w:rPr/>
              <w:t>$</w:t>
            </w:r>
          </w:p>
        </w:tc>
        <w:tc>
          <w:tcPr>
            <w:tcW w:w="1208" w:type="dxa"/>
            <w:tcBorders>
              <w:bottom w:val="double" w:sz="10" w:space="0" w:color="000000"/>
            </w:tcBorders>
            <w:tcMar>
              <w:bottom w:w="28" w:type="dxa"/>
            </w:tcMar>
            <w:vAlign w:val="center"/>
          </w:tcPr>
          <w:p>
            <w:pPr>
              <w:pStyle w:val="TableContents"/>
              <w:bidi w:val="0"/>
              <w:spacing w:before="0" w:after="283"/>
              <w:jc w:val="right"/>
              <w:rPr/>
            </w:pPr>
            <w:r>
              <w:rPr/>
              <w:t>30,808</w:t>
            </w:r>
          </w:p>
        </w:tc>
        <w:tc>
          <w:tcPr>
            <w:tcW w:w="17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6119" w:type="dxa"/>
        <w:jc w:val="left"/>
        <w:tblInd w:w="0" w:type="dxa"/>
        <w:tblLayout w:type="fixed"/>
        <w:tblCellMar>
          <w:top w:w="0" w:type="dxa"/>
          <w:left w:w="0" w:type="dxa"/>
          <w:bottom w:w="0" w:type="dxa"/>
          <w:right w:w="0" w:type="dxa"/>
        </w:tblCellMar>
      </w:tblPr>
      <w:tblGrid>
        <w:gridCol w:w="3230"/>
        <w:gridCol w:w="90"/>
        <w:gridCol w:w="1070"/>
        <w:gridCol w:w="90"/>
        <w:gridCol w:w="336"/>
        <w:gridCol w:w="1168"/>
        <w:gridCol w:w="135"/>
      </w:tblGrid>
      <w:tr>
        <w:trPr/>
        <w:tc>
          <w:tcPr>
            <w:tcW w:w="32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pPr>
            <w:r>
              <w:rPr/>
              <w:t>Customer relationships (Backlog)</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3,400</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both"/>
              <w:rPr/>
            </w:pPr>
            <w:r>
              <w:rPr/>
              <w:t>Trademarks - Ambia</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1 year</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900</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4,300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Useful life is based upon customer consumption, expected to occur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adjustments for sales and marketing expenses, upon which management estimates that 100% of Ambia’s sales and marketing expenses are directed at acquiring new customers and is not required to support the backlog; (iv) charges were taken for the use of working capital, fixed assets, workforce and trademarks;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contributed $7.0 million and $2.8 million in revenue and loss before income taxes from continuing operations, respectively, for the period from the acquisition date to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periods presented, as if the SunPower Businesses acquisition occurred on January 1, 2023 and the Sunder and Ambia acquisitions occurred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748" w:type="dxa"/>
        <w:jc w:val="left"/>
        <w:tblInd w:w="0" w:type="dxa"/>
        <w:tblLayout w:type="fixed"/>
        <w:tblCellMar>
          <w:top w:w="0" w:type="dxa"/>
          <w:left w:w="0" w:type="dxa"/>
          <w:bottom w:w="0" w:type="dxa"/>
          <w:right w:w="0" w:type="dxa"/>
        </w:tblCellMar>
      </w:tblPr>
      <w:tblGrid>
        <w:gridCol w:w="4385"/>
        <w:gridCol w:w="90"/>
        <w:gridCol w:w="245"/>
        <w:gridCol w:w="1199"/>
        <w:gridCol w:w="125"/>
        <w:gridCol w:w="90"/>
        <w:gridCol w:w="228"/>
        <w:gridCol w:w="1216"/>
        <w:gridCol w:w="170"/>
      </w:tblGrid>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Pro forma revenue</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429,689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480,427</w:t>
            </w:r>
          </w:p>
        </w:tc>
        <w:tc>
          <w:tcPr>
            <w:tcW w:w="17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Pro forma net loss from continuing operations</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(59,168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right"/>
              <w:rPr/>
            </w:pPr>
            <w:r>
              <w:rPr/>
              <w:t>(312,801</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revenue is generated in the U.S. Revenue is disaggregated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393" w:type="dxa"/>
        <w:jc w:val="left"/>
        <w:tblInd w:w="0" w:type="dxa"/>
        <w:tblLayout w:type="fixed"/>
        <w:tblCellMar>
          <w:top w:w="0" w:type="dxa"/>
          <w:left w:w="0" w:type="dxa"/>
          <w:bottom w:w="0" w:type="dxa"/>
          <w:right w:w="0" w:type="dxa"/>
        </w:tblCellMar>
      </w:tblPr>
      <w:tblGrid>
        <w:gridCol w:w="4100"/>
        <w:gridCol w:w="90"/>
        <w:gridCol w:w="245"/>
        <w:gridCol w:w="1199"/>
        <w:gridCol w:w="90"/>
        <w:gridCol w:w="90"/>
        <w:gridCol w:w="245"/>
        <w:gridCol w:w="1199"/>
        <w:gridCol w:w="135"/>
      </w:tblGrid>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Residential Solar Installation</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Revenue recognized over time</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160,987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67,460</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Residential Solar Installation</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160,987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67,460</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New Homes Business</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Revenue recognized over time</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46,686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32,205</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Revenue recognized at a point in time</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77,909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9,077</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New Homes Business</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124,595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41,282</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Dealer</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Revenue recognized at a point in time</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14,418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Total Dealer</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14,418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revenue</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tcMar>
              <w:bottom w:w="28" w:type="dxa"/>
            </w:tcMar>
            <w:vAlign w:val="center"/>
          </w:tcPr>
          <w:p>
            <w:pPr>
              <w:pStyle w:val="TableContents"/>
              <w:bidi w:val="0"/>
              <w:spacing w:before="0" w:after="283"/>
              <w:jc w:val="right"/>
              <w:rPr/>
            </w:pPr>
            <w:r>
              <w:rPr/>
              <w:t>300,000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tcMar>
              <w:bottom w:w="28" w:type="dxa"/>
            </w:tcMar>
            <w:vAlign w:val="center"/>
          </w:tcPr>
          <w:p>
            <w:pPr>
              <w:pStyle w:val="TableContents"/>
              <w:bidi w:val="0"/>
              <w:spacing w:before="0" w:after="283"/>
              <w:jc w:val="right"/>
              <w:rPr/>
            </w:pPr>
            <w:r>
              <w:rPr/>
              <w:t>108,742</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revenue recognized over time</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207,673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99,665</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Total revenue recognized at a point in time</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92,327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9,077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contract assets and contract liabilities from contracts with customers are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6223" w:type="dxa"/>
        <w:jc w:val="left"/>
        <w:tblInd w:w="0" w:type="dxa"/>
        <w:tblLayout w:type="fixed"/>
        <w:tblCellMar>
          <w:top w:w="0" w:type="dxa"/>
          <w:left w:w="0" w:type="dxa"/>
          <w:bottom w:w="0" w:type="dxa"/>
          <w:right w:w="0" w:type="dxa"/>
        </w:tblCellMar>
      </w:tblPr>
      <w:tblGrid>
        <w:gridCol w:w="2930"/>
        <w:gridCol w:w="90"/>
        <w:gridCol w:w="278"/>
        <w:gridCol w:w="1166"/>
        <w:gridCol w:w="90"/>
        <w:gridCol w:w="90"/>
        <w:gridCol w:w="278"/>
        <w:gridCol w:w="1166"/>
        <w:gridCol w:w="135"/>
      </w:tblGrid>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Trade accounts receivable, net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67,824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25,842</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Contract assets: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Contract assets, current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Total contract assets</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14,122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26,066</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Contract liabilities, current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20,336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10,003</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Contract liabilities, noncurrent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794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918</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Total contract liabilities</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21,130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10,921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contract liabilities is primarily attributed to the acquisition of Sunder in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balances of contract assets in the fiscal years ended December 28, 2025 and December 29, 2024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6095"/>
        <w:gridCol w:w="90"/>
        <w:gridCol w:w="256"/>
        <w:gridCol w:w="1188"/>
        <w:gridCol w:w="125"/>
        <w:gridCol w:w="90"/>
        <w:gridCol w:w="278"/>
        <w:gridCol w:w="1166"/>
        <w:gridCol w:w="135"/>
      </w:tblGrid>
      <w:tr>
        <w:trPr/>
        <w:tc>
          <w:tcPr>
            <w:tcW w:w="6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b/>
              </w:rPr>
            </w:pPr>
            <w:r>
              <w:rPr>
                <w:b/>
              </w:rPr>
              <w:t>Contract assets</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Contract assets, beginning of period</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26,066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Contract assets recognized</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12,979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21,451</w:t>
            </w:r>
          </w:p>
        </w:tc>
        <w:tc>
          <w:tcPr>
            <w:tcW w:w="1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Reclassifications to accounts receivable</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(26,066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Increase due to contract assets acquired in business combination</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1,143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4,615</w:t>
            </w:r>
          </w:p>
        </w:tc>
        <w:tc>
          <w:tcPr>
            <w:tcW w:w="1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Contract assets, end of period</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14,122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26,066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balances of contract liabilities in the fiscal years ended December 28, 2025 and December 29, 2024 were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923" w:type="dxa"/>
        <w:jc w:val="left"/>
        <w:tblInd w:w="0" w:type="dxa"/>
        <w:tblLayout w:type="fixed"/>
        <w:tblCellMar>
          <w:top w:w="0" w:type="dxa"/>
          <w:left w:w="0" w:type="dxa"/>
          <w:bottom w:w="0" w:type="dxa"/>
          <w:right w:w="0" w:type="dxa"/>
        </w:tblCellMar>
      </w:tblPr>
      <w:tblGrid>
        <w:gridCol w:w="6560"/>
        <w:gridCol w:w="90"/>
        <w:gridCol w:w="278"/>
        <w:gridCol w:w="1166"/>
        <w:gridCol w:w="125"/>
        <w:gridCol w:w="90"/>
        <w:gridCol w:w="278"/>
        <w:gridCol w:w="1166"/>
        <w:gridCol w:w="170"/>
      </w:tblGrid>
      <w:tr>
        <w:trPr/>
        <w:tc>
          <w:tcPr>
            <w:tcW w:w="6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7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b/>
              </w:rPr>
            </w:pPr>
            <w:r>
              <w:rPr>
                <w:b/>
              </w:rPr>
              <w:t>Contract liabilities</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7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Contract liabilities, beginning of period</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10,921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3,478</w:t>
            </w:r>
          </w:p>
        </w:tc>
        <w:tc>
          <w:tcPr>
            <w:tcW w:w="17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Increases due to billings or cash received in advance</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6,750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2,642</w:t>
            </w:r>
          </w:p>
        </w:tc>
        <w:tc>
          <w:tcPr>
            <w:tcW w:w="17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Revenue recognized from beginning balance of contract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(9,889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(2,560</w:t>
            </w:r>
          </w:p>
        </w:tc>
        <w:tc>
          <w:tcPr>
            <w:tcW w:w="170" w:type="dxa"/>
            <w:tcBorders/>
            <w:shd w:fill="CCEEFF" w:val="clear"/>
            <w:vAlign w:val="center"/>
          </w:tcPr>
          <w:p>
            <w:pPr>
              <w:pStyle w:val="TableContents"/>
              <w:bidi w:val="0"/>
              <w:spacing w:before="0" w:after="283"/>
              <w:jc w:val="left"/>
              <w:rPr/>
            </w:pPr>
            <w:r>
              <w:rPr/>
              <w:t>)</w:t>
            </w:r>
          </w:p>
        </w:tc>
      </w:tr>
      <w:tr>
        <w:trPr/>
        <w:tc>
          <w:tcPr>
            <w:tcW w:w="6560" w:type="dxa"/>
            <w:tcBorders/>
            <w:vAlign w:val="center"/>
          </w:tcPr>
          <w:p>
            <w:pPr>
              <w:pStyle w:val="TableContents"/>
              <w:bidi w:val="0"/>
              <w:spacing w:before="0" w:after="283"/>
              <w:jc w:val="left"/>
              <w:rPr/>
            </w:pPr>
            <w:r>
              <w:rPr/>
              <w:t>Increase due to contract liabilities assumed in a business combination</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13,348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7,361</w:t>
            </w:r>
          </w:p>
        </w:tc>
        <w:tc>
          <w:tcPr>
            <w:tcW w:w="17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Contract liabilities, end of period</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21,130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10,921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revenue recognized from the beginning balance of contract liabilities was recognized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set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489" w:type="dxa"/>
        <w:jc w:val="left"/>
        <w:tblInd w:w="0" w:type="dxa"/>
        <w:tblLayout w:type="fixed"/>
        <w:tblCellMar>
          <w:top w:w="0" w:type="dxa"/>
          <w:left w:w="0" w:type="dxa"/>
          <w:bottom w:w="0" w:type="dxa"/>
          <w:right w:w="0" w:type="dxa"/>
        </w:tblCellMar>
      </w:tblPr>
      <w:tblGrid>
        <w:gridCol w:w="5060"/>
        <w:gridCol w:w="90"/>
        <w:gridCol w:w="170"/>
        <w:gridCol w:w="710"/>
        <w:gridCol w:w="90"/>
        <w:gridCol w:w="90"/>
        <w:gridCol w:w="289"/>
        <w:gridCol w:w="495"/>
        <w:gridCol w:w="90"/>
        <w:gridCol w:w="90"/>
        <w:gridCol w:w="170"/>
        <w:gridCol w:w="830"/>
        <w:gridCol w:w="90"/>
        <w:gridCol w:w="90"/>
        <w:gridCol w:w="170"/>
        <w:gridCol w:w="830"/>
        <w:gridCol w:w="135"/>
      </w:tblGrid>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b/>
              </w:rPr>
            </w:pPr>
            <w:r>
              <w:rPr>
                <w:b/>
              </w:rPr>
              <w:t>Financial Assets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3,841</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b/>
              </w:rPr>
            </w:pPr>
            <w:r>
              <w:rPr>
                <w:b/>
              </w:rPr>
              <w:t>Financial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19,604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19,604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12,615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12,615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37,930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5,870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5,870</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3,246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3,246</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14,756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14,756</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1,488</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Forward purchase agreement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3,965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SAFE Agreement with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535</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Private placement warrants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1,692</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Working capital warrants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Public warrants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2,475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Deferred Sunder Consideration Shares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10,840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Deferred Ambia Consideration Shares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13,315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118,774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132,089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5060"/>
        <w:gridCol w:w="90"/>
        <w:gridCol w:w="157"/>
        <w:gridCol w:w="522"/>
        <w:gridCol w:w="90"/>
        <w:gridCol w:w="90"/>
        <w:gridCol w:w="236"/>
        <w:gridCol w:w="443"/>
        <w:gridCol w:w="90"/>
        <w:gridCol w:w="90"/>
        <w:gridCol w:w="155"/>
        <w:gridCol w:w="725"/>
        <w:gridCol w:w="90"/>
        <w:gridCol w:w="90"/>
        <w:gridCol w:w="155"/>
        <w:gridCol w:w="725"/>
        <w:gridCol w:w="135"/>
      </w:tblGrid>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Assets</w:t>
            </w:r>
          </w:p>
        </w:tc>
        <w:tc>
          <w:tcPr>
            <w:tcW w:w="90" w:type="dxa"/>
            <w:tcBorders/>
            <w:vAlign w:val="center"/>
          </w:tcPr>
          <w:p>
            <w:pPr>
              <w:pStyle w:val="TableContents"/>
              <w:bidi w:val="0"/>
              <w:spacing w:before="0" w:after="283"/>
              <w:jc w:val="left"/>
              <w:rPr/>
            </w:pPr>
            <w:r>
              <w:rPr/>
              <w:t> </w:t>
            </w:r>
          </w:p>
        </w:tc>
        <w:tc>
          <w:tcPr>
            <w:tcW w:w="67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cash</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90" w:type="dxa"/>
            <w:tcBorders/>
            <w:vAlign w:val="center"/>
          </w:tcPr>
          <w:p>
            <w:pPr>
              <w:pStyle w:val="TableContents"/>
              <w:bidi w:val="0"/>
              <w:spacing w:before="0" w:after="283"/>
              <w:jc w:val="left"/>
              <w:rPr/>
            </w:pPr>
            <w:r>
              <w:rPr/>
              <w:t> </w:t>
            </w:r>
          </w:p>
        </w:tc>
        <w:tc>
          <w:tcPr>
            <w:tcW w:w="157"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Forward purchase agreement liabilities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 Agreement with related party</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 placement warrants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90" w:type="dxa"/>
            <w:tcBorders/>
            <w:vAlign w:val="center"/>
          </w:tcPr>
          <w:p>
            <w:pPr>
              <w:pStyle w:val="TableContents"/>
              <w:bidi w:val="0"/>
              <w:spacing w:before="0" w:after="283"/>
              <w:jc w:val="left"/>
              <w:rPr/>
            </w:pPr>
            <w:r>
              <w:rPr/>
              <w:t> </w:t>
            </w:r>
          </w:p>
        </w:tc>
        <w:tc>
          <w:tcPr>
            <w:tcW w:w="157" w:type="dxa"/>
            <w:tcBorders>
              <w:bottom w:val="single" w:sz="12" w:space="0" w:color="000000"/>
            </w:tcBorders>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443"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102,561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and “November 2025 Note”) all of which are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r>
        <w:trPr/>
        <w:tc>
          <w:tcPr>
            <w:tcW w:w="233" w:type="dxa"/>
            <w:tcBorders/>
            <w:vAlign w:val="center"/>
          </w:tcPr>
          <w:p>
            <w:pPr>
              <w:pStyle w:val="TableContents"/>
              <w:bidi w:val="0"/>
              <w:spacing w:before="0" w:after="283"/>
              <w:jc w:val="both"/>
              <w:rPr/>
            </w:pPr>
            <w:r>
              <w:rPr/>
              <w:t> </w:t>
            </w:r>
          </w:p>
        </w:tc>
        <w:tc>
          <w:tcPr>
            <w:tcW w:w="9972" w:type="dxa"/>
            <w:tcBorders/>
            <w:vAlign w:val="center"/>
          </w:tcPr>
          <w:p>
            <w:pPr>
              <w:pStyle w:val="TableContents"/>
              <w:bidi w:val="0"/>
              <w:spacing w:before="0" w:after="283"/>
              <w:jc w:val="both"/>
              <w:rPr/>
            </w:pPr>
            <w:r>
              <w:rPr/>
              <w:t> </w:t>
            </w:r>
          </w:p>
        </w:tc>
      </w:tr>
      <w:tr>
        <w:trPr/>
        <w:tc>
          <w:tcPr>
            <w:tcW w:w="23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$1.3 million due to related parties as of and December 29,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fiscal years ended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5"/>
        <w:gridCol w:w="90"/>
        <w:gridCol w:w="201"/>
        <w:gridCol w:w="933"/>
        <w:gridCol w:w="125"/>
        <w:gridCol w:w="90"/>
        <w:gridCol w:w="298"/>
        <w:gridCol w:w="1039"/>
        <w:gridCol w:w="90"/>
        <w:gridCol w:w="90"/>
        <w:gridCol w:w="377"/>
        <w:gridCol w:w="912"/>
        <w:gridCol w:w="90"/>
        <w:gridCol w:w="90"/>
        <w:gridCol w:w="219"/>
        <w:gridCol w:w="764"/>
        <w:gridCol w:w="90"/>
        <w:gridCol w:w="90"/>
        <w:gridCol w:w="304"/>
        <w:gridCol w:w="1276"/>
        <w:gridCol w:w="90"/>
        <w:gridCol w:w="90"/>
        <w:gridCol w:w="170"/>
        <w:gridCol w:w="830"/>
        <w:gridCol w:w="142"/>
      </w:tblGrid>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58"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142"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 liabilities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Forward Purchase 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SAFE 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 Ambia Consideration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2" w:type="dxa"/>
            <w:tcBorders/>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pPr>
            <w:r>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97,122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3,494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101,699</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20,808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16,879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37,687</w:t>
            </w:r>
          </w:p>
        </w:tc>
        <w:tc>
          <w:tcPr>
            <w:tcW w:w="142" w:type="dxa"/>
            <w:tcBorders/>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pPr>
            <w:r>
              <w:rPr/>
              <w:t>Conversions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(10,931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(10,931</w:t>
            </w:r>
          </w:p>
        </w:tc>
        <w:tc>
          <w:tcPr>
            <w:tcW w:w="142" w:type="dxa"/>
            <w:tcBorders/>
            <w:shd w:fill="CCEEFF" w:val="clear"/>
            <w:vAlign w:val="center"/>
          </w:tcPr>
          <w:p>
            <w:pPr>
              <w:pStyle w:val="TableContents"/>
              <w:bidi w:val="0"/>
              <w:spacing w:before="0" w:after="283"/>
              <w:ind w:left="0" w:right="0" w:hanging="180"/>
              <w:jc w:val="left"/>
              <w:rPr/>
            </w:pPr>
            <w:r>
              <w:rPr/>
              <w:t>)</w:t>
            </w:r>
          </w:p>
        </w:tc>
      </w:tr>
      <w:tr>
        <w:trPr/>
        <w:tc>
          <w:tcPr>
            <w:tcW w:w="1715" w:type="dxa"/>
            <w:tcBorders/>
            <w:vAlign w:val="center"/>
          </w:tcPr>
          <w:p>
            <w:pPr>
              <w:pStyle w:val="TableContents"/>
              <w:bidi w:val="0"/>
              <w:spacing w:before="0" w:after="283"/>
              <w:jc w:val="left"/>
              <w:rPr/>
            </w:pPr>
            <w:r>
              <w:rPr/>
              <w:t>Net (gain)/loss recognized within Other non-operating income, net in the consolidated statement of operations</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tcMar>
              <w:bottom w:w="28" w:type="dxa"/>
            </w:tcMar>
            <w:vAlign w:val="center"/>
          </w:tcPr>
          <w:p>
            <w:pPr>
              <w:pStyle w:val="TableContents"/>
              <w:bidi w:val="0"/>
              <w:spacing w:before="0" w:after="283"/>
              <w:jc w:val="right"/>
              <w:rPr/>
            </w:pPr>
            <w:r>
              <w:rPr/>
              <w:t>(11,490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tcMar>
              <w:bottom w:w="28" w:type="dxa"/>
            </w:tcMar>
            <w:vAlign w:val="center"/>
          </w:tcPr>
          <w:p>
            <w:pPr>
              <w:pStyle w:val="TableContents"/>
              <w:bidi w:val="0"/>
              <w:spacing w:before="0" w:after="283"/>
              <w:jc w:val="right"/>
              <w:rPr/>
            </w:pPr>
            <w:r>
              <w:rPr/>
              <w:t>471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7"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283"/>
              <w:jc w:val="right"/>
              <w:rPr/>
            </w:pPr>
            <w:r>
              <w:rPr/>
              <w:t>151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tcMar>
              <w:bottom w:w="28" w:type="dxa"/>
            </w:tcMar>
            <w:vAlign w:val="center"/>
          </w:tcPr>
          <w:p>
            <w:pPr>
              <w:pStyle w:val="TableContents"/>
              <w:bidi w:val="0"/>
              <w:spacing w:before="0" w:after="283"/>
              <w:jc w:val="right"/>
              <w:rPr/>
            </w:pPr>
            <w:r>
              <w:rPr/>
              <w:t>1,187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(9,681</w:t>
            </w:r>
          </w:p>
        </w:tc>
        <w:tc>
          <w:tcPr>
            <w:tcW w:w="142" w:type="dxa"/>
            <w:tcBorders/>
            <w:vAlign w:val="center"/>
          </w:tcPr>
          <w:p>
            <w:pPr>
              <w:pStyle w:val="TableContents"/>
              <w:bidi w:val="0"/>
              <w:spacing w:before="0" w:after="283"/>
              <w:ind w:left="0" w:right="0" w:hanging="180"/>
              <w:jc w:val="left"/>
              <w:rPr/>
            </w:pPr>
            <w:r>
              <w:rPr/>
              <w:t>)</w:t>
            </w:r>
          </w:p>
        </w:tc>
      </w:tr>
      <w:tr>
        <w:trPr/>
        <w:tc>
          <w:tcPr>
            <w:tcW w:w="1715" w:type="dxa"/>
            <w:tcBorders/>
            <w:shd w:fill="CCEEFF" w:val="clear"/>
            <w:vAlign w:val="center"/>
          </w:tcPr>
          <w:p>
            <w:pPr>
              <w:pStyle w:val="TableContents"/>
              <w:bidi w:val="0"/>
              <w:spacing w:before="0" w:after="283"/>
              <w:jc w:val="left"/>
              <w:rPr/>
            </w:pPr>
            <w:r>
              <w:rPr/>
              <w:t>Balance as of December 28, 2025</w:t>
            </w:r>
          </w:p>
        </w:tc>
        <w:tc>
          <w:tcPr>
            <w:tcW w:w="9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shd w:fill="CCEEFF" w:val="clear"/>
            <w:tcMar>
              <w:bottom w:w="28" w:type="dxa"/>
            </w:tcMar>
            <w:vAlign w:val="center"/>
          </w:tcPr>
          <w:p>
            <w:pPr>
              <w:pStyle w:val="TableContents"/>
              <w:bidi w:val="0"/>
              <w:spacing w:before="0" w:after="283"/>
              <w:jc w:val="right"/>
              <w:rPr/>
            </w:pPr>
            <w:r>
              <w:rPr/>
              <w:t>95,509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3,965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pPr>
            <w:r>
              <w:rPr/>
              <w:t>535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pPr>
            <w:r>
              <w:rPr/>
              <w:t>1,886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CCEEFF" w:val="clear"/>
            <w:tcMar>
              <w:bottom w:w="28" w:type="dxa"/>
            </w:tcMar>
            <w:vAlign w:val="center"/>
          </w:tcPr>
          <w:p>
            <w:pPr>
              <w:pStyle w:val="TableContents"/>
              <w:bidi w:val="0"/>
              <w:spacing w:before="0" w:after="283"/>
              <w:jc w:val="right"/>
              <w:rPr/>
            </w:pPr>
            <w:r>
              <w:rPr/>
              <w:t>16,879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118,774</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5"/>
        <w:gridCol w:w="90"/>
        <w:gridCol w:w="187"/>
        <w:gridCol w:w="913"/>
        <w:gridCol w:w="125"/>
        <w:gridCol w:w="90"/>
        <w:gridCol w:w="282"/>
        <w:gridCol w:w="983"/>
        <w:gridCol w:w="125"/>
        <w:gridCol w:w="90"/>
        <w:gridCol w:w="257"/>
        <w:gridCol w:w="1008"/>
        <w:gridCol w:w="125"/>
        <w:gridCol w:w="90"/>
        <w:gridCol w:w="183"/>
        <w:gridCol w:w="767"/>
        <w:gridCol w:w="125"/>
        <w:gridCol w:w="90"/>
        <w:gridCol w:w="170"/>
        <w:gridCol w:w="830"/>
        <w:gridCol w:w="170"/>
      </w:tblGrid>
      <w:tr>
        <w:trPr/>
        <w:tc>
          <w:tcPr>
            <w:tcW w:w="3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4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29, 2024</w:t>
            </w:r>
          </w:p>
        </w:tc>
        <w:tc>
          <w:tcPr>
            <w:tcW w:w="170" w:type="dxa"/>
            <w:tcBorders/>
            <w:vAlign w:val="center"/>
          </w:tcPr>
          <w:p>
            <w:pPr>
              <w:pStyle w:val="TableContents"/>
              <w:bidi w:val="0"/>
              <w:spacing w:before="0" w:after="283"/>
              <w:jc w:val="left"/>
              <w:rPr/>
            </w:pPr>
            <w:r>
              <w:rPr/>
              <w:t> </w:t>
            </w:r>
          </w:p>
        </w:tc>
      </w:tr>
      <w:tr>
        <w:trPr/>
        <w:tc>
          <w:tcPr>
            <w:tcW w:w="35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w:t>
              <w:br/>
              <w:t>liabilities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Forward</w:t>
              <w:br/>
              <w:t>Purchase</w:t>
              <w:br/>
              <w:t>Agreements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SAFE</w:t>
              <w:br/>
              <w:t>Agreements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w:t>
              <w:br/>
              <w:t>liabilities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505" w:type="dxa"/>
            <w:tcBorders/>
            <w:shd w:fill="CCEEFF" w:val="clear"/>
            <w:vAlign w:val="center"/>
          </w:tcPr>
          <w:p>
            <w:pPr>
              <w:pStyle w:val="TableContents"/>
              <w:bidi w:val="0"/>
              <w:spacing w:before="0" w:after="283"/>
              <w:jc w:val="left"/>
              <w:rPr/>
            </w:pPr>
            <w:r>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983" w:type="dxa"/>
            <w:tcBorders/>
            <w:shd w:fill="CCEEFF" w:val="clear"/>
            <w:vAlign w:val="center"/>
          </w:tcPr>
          <w:p>
            <w:pPr>
              <w:pStyle w:val="TableContents"/>
              <w:bidi w:val="0"/>
              <w:spacing w:before="0" w:after="283"/>
              <w:jc w:val="right"/>
              <w:rPr/>
            </w:pPr>
            <w:r>
              <w:rPr/>
              <w:t>3,831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00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67" w:type="dxa"/>
            <w:tcBorders/>
            <w:shd w:fill="CCEEFF" w:val="clear"/>
            <w:vAlign w:val="center"/>
          </w:tcPr>
          <w:p>
            <w:pPr>
              <w:pStyle w:val="TableContents"/>
              <w:bidi w:val="0"/>
              <w:spacing w:before="0" w:after="283"/>
              <w:jc w:val="right"/>
              <w:rPr/>
            </w:pPr>
            <w:r>
              <w:rPr/>
              <w:t>10,960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14,791</w:t>
            </w:r>
          </w:p>
        </w:tc>
        <w:tc>
          <w:tcPr>
            <w:tcW w:w="170" w:type="dxa"/>
            <w:tcBorders/>
            <w:shd w:fill="CCEEFF" w:val="clear"/>
            <w:vAlign w:val="center"/>
          </w:tcPr>
          <w:p>
            <w:pPr>
              <w:pStyle w:val="TableContents"/>
              <w:bidi w:val="0"/>
              <w:spacing w:before="0" w:after="283"/>
              <w:jc w:val="left"/>
              <w:rPr/>
            </w:pPr>
            <w:r>
              <w:rPr/>
              <w:t> </w:t>
            </w:r>
          </w:p>
        </w:tc>
      </w:tr>
      <w:tr>
        <w:trPr/>
        <w:tc>
          <w:tcPr>
            <w:tcW w:w="350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131,108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6,000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137,108</w:t>
            </w:r>
          </w:p>
        </w:tc>
        <w:tc>
          <w:tcPr>
            <w:tcW w:w="170" w:type="dxa"/>
            <w:tcBorders/>
            <w:vAlign w:val="center"/>
          </w:tcPr>
          <w:p>
            <w:pPr>
              <w:pStyle w:val="TableContents"/>
              <w:bidi w:val="0"/>
              <w:spacing w:before="0" w:after="283"/>
              <w:jc w:val="left"/>
              <w:rPr/>
            </w:pPr>
            <w:r>
              <w:rPr/>
              <w:t> </w:t>
            </w:r>
          </w:p>
        </w:tc>
      </w:tr>
      <w:tr>
        <w:trPr/>
        <w:tc>
          <w:tcPr>
            <w:tcW w:w="3505" w:type="dxa"/>
            <w:tcBorders/>
            <w:shd w:fill="CCEEFF" w:val="clear"/>
            <w:vAlign w:val="center"/>
          </w:tcPr>
          <w:p>
            <w:pPr>
              <w:pStyle w:val="TableContents"/>
              <w:bidi w:val="0"/>
              <w:spacing w:before="0" w:after="283"/>
              <w:jc w:val="left"/>
              <w:rPr/>
            </w:pPr>
            <w:r>
              <w:rPr/>
              <w:t>Conversions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(6,250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(7,306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(13,556</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505" w:type="dxa"/>
            <w:tcBorders/>
            <w:vAlign w:val="center"/>
          </w:tcPr>
          <w:p>
            <w:pPr>
              <w:pStyle w:val="TableContents"/>
              <w:bidi w:val="0"/>
              <w:spacing w:before="0" w:after="283"/>
              <w:jc w:val="left"/>
              <w:rPr/>
            </w:pPr>
            <w:r>
              <w:rPr/>
              <w:t>Net (gain)/loss recognized within Other non-operating income, net in the consolidated statement of operations</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tcMar>
              <w:bottom w:w="28" w:type="dxa"/>
            </w:tcMar>
            <w:vAlign w:val="center"/>
          </w:tcPr>
          <w:p>
            <w:pPr>
              <w:pStyle w:val="TableContents"/>
              <w:bidi w:val="0"/>
              <w:spacing w:before="0" w:after="283"/>
              <w:jc w:val="right"/>
              <w:rPr/>
            </w:pPr>
            <w:r>
              <w:rPr/>
              <w:t>(33,986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before="0" w:after="283"/>
              <w:jc w:val="right"/>
              <w:rPr/>
            </w:pPr>
            <w:r>
              <w:rPr/>
              <w:t>(337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before="0" w:after="283"/>
              <w:jc w:val="right"/>
              <w:rPr/>
            </w:pPr>
            <w:r>
              <w:rPr/>
              <w:t>634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tcMar>
              <w:bottom w:w="28" w:type="dxa"/>
            </w:tcMar>
            <w:vAlign w:val="center"/>
          </w:tcPr>
          <w:p>
            <w:pPr>
              <w:pStyle w:val="TableContents"/>
              <w:bidi w:val="0"/>
              <w:spacing w:before="0" w:after="283"/>
              <w:jc w:val="right"/>
              <w:rPr/>
            </w:pPr>
            <w:r>
              <w:rPr/>
              <w:t>(2,955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(36,644</w:t>
            </w:r>
          </w:p>
        </w:tc>
        <w:tc>
          <w:tcPr>
            <w:tcW w:w="170" w:type="dxa"/>
            <w:tcBorders/>
            <w:vAlign w:val="center"/>
          </w:tcPr>
          <w:p>
            <w:pPr>
              <w:pStyle w:val="TableContents"/>
              <w:bidi w:val="0"/>
              <w:spacing w:before="0" w:after="283"/>
              <w:jc w:val="left"/>
              <w:rPr/>
            </w:pPr>
            <w:r>
              <w:rPr/>
              <w:t>)</w:t>
            </w:r>
          </w:p>
        </w:tc>
      </w:tr>
      <w:tr>
        <w:trPr/>
        <w:tc>
          <w:tcPr>
            <w:tcW w:w="3505" w:type="dxa"/>
            <w:tcBorders/>
            <w:shd w:fill="CCEEFF" w:val="clear"/>
            <w:vAlign w:val="center"/>
          </w:tcPr>
          <w:p>
            <w:pPr>
              <w:pStyle w:val="TableContents"/>
              <w:bidi w:val="0"/>
              <w:spacing w:before="0" w:after="283"/>
              <w:jc w:val="left"/>
              <w:rPr/>
            </w:pPr>
            <w:r>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pPr>
            <w:r>
              <w:rPr/>
              <w:t>97,122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3" w:type="dxa"/>
            <w:tcBorders>
              <w:bottom w:val="double" w:sz="10" w:space="0" w:color="000000"/>
            </w:tcBorders>
            <w:shd w:fill="CCEEFF" w:val="clear"/>
            <w:tcMar>
              <w:bottom w:w="28" w:type="dxa"/>
            </w:tcMar>
            <w:vAlign w:val="center"/>
          </w:tcPr>
          <w:p>
            <w:pPr>
              <w:pStyle w:val="TableContents"/>
              <w:bidi w:val="0"/>
              <w:spacing w:before="0" w:after="283"/>
              <w:jc w:val="right"/>
              <w:rPr/>
            </w:pPr>
            <w:r>
              <w:rPr/>
              <w:t>3,494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8" w:type="dxa"/>
            <w:tcBorders>
              <w:bottom w:val="double" w:sz="10" w:space="0" w:color="000000"/>
            </w:tcBorders>
            <w:shd w:fill="CCEEFF" w:val="clear"/>
            <w:tcMar>
              <w:bottom w:w="28" w:type="dxa"/>
            </w:tcMar>
            <w:vAlign w:val="center"/>
          </w:tcPr>
          <w:p>
            <w:pPr>
              <w:pStyle w:val="TableContents"/>
              <w:bidi w:val="0"/>
              <w:spacing w:before="0" w:after="283"/>
              <w:jc w:val="right"/>
              <w:rPr/>
            </w:pPr>
            <w:r>
              <w:rPr/>
              <w:t>384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7" w:type="dxa"/>
            <w:tcBorders>
              <w:bottom w:val="double" w:sz="10" w:space="0" w:color="000000"/>
            </w:tcBorders>
            <w:shd w:fill="CCEEFF" w:val="clear"/>
            <w:tcMar>
              <w:bottom w:w="28" w:type="dxa"/>
            </w:tcMar>
            <w:vAlign w:val="center"/>
          </w:tcPr>
          <w:p>
            <w:pPr>
              <w:pStyle w:val="TableContents"/>
              <w:bidi w:val="0"/>
              <w:spacing w:before="0" w:after="283"/>
              <w:jc w:val="right"/>
              <w:rPr/>
            </w:pPr>
            <w:r>
              <w:rPr/>
              <w:t>699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101,699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issuance, changes in the fair value of derivative liabilities, FPAs, SAFEs and liability classified warrants, are recorded within Other non-operating income, net on the Company’s consolidated statements of operations and comprehensive loss. Refer to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in the years ended December 28, 2025 and December 29, 2024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1"/>
        <w:gridCol w:w="90"/>
        <w:gridCol w:w="232"/>
        <w:gridCol w:w="928"/>
        <w:gridCol w:w="248"/>
        <w:gridCol w:w="104"/>
        <w:gridCol w:w="222"/>
        <w:gridCol w:w="891"/>
        <w:gridCol w:w="248"/>
        <w:gridCol w:w="104"/>
        <w:gridCol w:w="301"/>
        <w:gridCol w:w="1189"/>
        <w:gridCol w:w="215"/>
        <w:gridCol w:w="90"/>
        <w:gridCol w:w="351"/>
        <w:gridCol w:w="1200"/>
        <w:gridCol w:w="339"/>
        <w:gridCol w:w="141"/>
        <w:gridCol w:w="351"/>
        <w:gridCol w:w="1200"/>
        <w:gridCol w:w="270"/>
      </w:tblGrid>
      <w:tr>
        <w:trPr/>
        <w:tc>
          <w:tcPr>
            <w:tcW w:w="14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7"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Senior Unsecured Convertible Notes</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8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Senior Unsecured Convertible Notes</w:t>
            </w:r>
          </w:p>
        </w:tc>
        <w:tc>
          <w:tcPr>
            <w:tcW w:w="270" w:type="dxa"/>
            <w:tcBorders/>
            <w:vAlign w:val="center"/>
          </w:tcPr>
          <w:p>
            <w:pPr>
              <w:pStyle w:val="TableContents"/>
              <w:bidi w:val="0"/>
              <w:spacing w:before="0" w:after="283"/>
              <w:jc w:val="left"/>
              <w:rPr/>
            </w:pPr>
            <w:r>
              <w:rPr/>
              <w:t> </w:t>
            </w:r>
          </w:p>
        </w:tc>
      </w:tr>
      <w:tr>
        <w:trPr/>
        <w:tc>
          <w:tcPr>
            <w:tcW w:w="14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1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2025 Note</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November 2025 Note</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33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5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2025 Notes</w:t>
            </w:r>
          </w:p>
        </w:tc>
        <w:tc>
          <w:tcPr>
            <w:tcW w:w="270" w:type="dxa"/>
            <w:tcBorders/>
            <w:vAlign w:val="center"/>
          </w:tcPr>
          <w:p>
            <w:pPr>
              <w:pStyle w:val="TableContents"/>
              <w:bidi w:val="0"/>
              <w:spacing w:before="0" w:after="283"/>
              <w:jc w:val="left"/>
              <w:rPr/>
            </w:pPr>
            <w:r>
              <w:rPr/>
              <w:t> </w:t>
            </w:r>
          </w:p>
        </w:tc>
      </w:tr>
      <w:tr>
        <w:trPr/>
        <w:tc>
          <w:tcPr>
            <w:tcW w:w="14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3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558.66</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626.96</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33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70" w:type="dxa"/>
            <w:tcBorders/>
            <w:vAlign w:val="center"/>
          </w:tcPr>
          <w:p>
            <w:pPr>
              <w:pStyle w:val="TableContents"/>
              <w:bidi w:val="0"/>
              <w:spacing w:before="0" w:after="283"/>
              <w:jc w:val="left"/>
              <w:rPr/>
            </w:pPr>
            <w:r>
              <w:rPr/>
              <w:t> </w:t>
            </w:r>
          </w:p>
        </w:tc>
      </w:tr>
      <w:tr>
        <w:trPr/>
        <w:tc>
          <w:tcPr>
            <w:tcW w:w="14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24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24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339"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70" w:type="dxa"/>
            <w:tcBorders/>
            <w:shd w:fill="CCEEFF" w:val="clear"/>
            <w:vAlign w:val="center"/>
          </w:tcPr>
          <w:p>
            <w:pPr>
              <w:pStyle w:val="TableContents"/>
              <w:bidi w:val="0"/>
              <w:spacing w:before="0" w:after="283"/>
              <w:jc w:val="left"/>
              <w:rPr/>
            </w:pPr>
            <w:r>
              <w:rPr/>
              <w:t> </w:t>
            </w:r>
          </w:p>
        </w:tc>
      </w:tr>
      <w:tr>
        <w:trPr/>
        <w:tc>
          <w:tcPr>
            <w:tcW w:w="14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33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70" w:type="dxa"/>
            <w:tcBorders/>
            <w:vAlign w:val="center"/>
          </w:tcPr>
          <w:p>
            <w:pPr>
              <w:pStyle w:val="TableContents"/>
              <w:bidi w:val="0"/>
              <w:spacing w:before="0" w:after="283"/>
              <w:jc w:val="left"/>
              <w:rPr/>
            </w:pPr>
            <w:r>
              <w:rPr/>
              <w:t> </w:t>
            </w:r>
          </w:p>
        </w:tc>
      </w:tr>
      <w:tr>
        <w:trPr/>
        <w:tc>
          <w:tcPr>
            <w:tcW w:w="14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3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w:t>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w:t>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29, 2024 were as follows:</w:t>
      </w:r>
    </w:p>
    <w:p>
      <w:pPr>
        <w:pStyle w:val="TextBody"/>
        <w:bidi w:val="0"/>
        <w:spacing w:before="0" w:after="0"/>
        <w:ind w:left="0" w:right="0" w:hanging="0"/>
        <w:jc w:val="both"/>
        <w:rPr>
          <w:caps w:val="false"/>
          <w:smallCaps w:val="false"/>
        </w:rPr>
      </w:pPr>
      <w:r>
        <w:rPr>
          <w:caps w:val="false"/>
          <w:smallCaps w:val="false"/>
        </w:rPr>
        <w:t> </w:t>
      </w:r>
    </w:p>
    <w:tbl>
      <w:tblPr>
        <w:tblW w:w="5971" w:type="dxa"/>
        <w:jc w:val="left"/>
        <w:tblInd w:w="0" w:type="dxa"/>
        <w:tblLayout w:type="fixed"/>
        <w:tblCellMar>
          <w:top w:w="0" w:type="dxa"/>
          <w:left w:w="0" w:type="dxa"/>
          <w:bottom w:w="0" w:type="dxa"/>
          <w:right w:w="0" w:type="dxa"/>
        </w:tblCellMar>
      </w:tblPr>
      <w:tblGrid>
        <w:gridCol w:w="1790"/>
        <w:gridCol w:w="90"/>
        <w:gridCol w:w="279"/>
        <w:gridCol w:w="1120"/>
        <w:gridCol w:w="358"/>
        <w:gridCol w:w="150"/>
        <w:gridCol w:w="384"/>
        <w:gridCol w:w="1540"/>
        <w:gridCol w:w="260"/>
      </w:tblGrid>
      <w:tr>
        <w:trPr/>
        <w:tc>
          <w:tcPr>
            <w:tcW w:w="1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3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Senior Unsecured Convertible Notes</w:t>
            </w:r>
          </w:p>
        </w:tc>
        <w:tc>
          <w:tcPr>
            <w:tcW w:w="26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Notes</w:t>
            </w:r>
          </w:p>
        </w:tc>
        <w:tc>
          <w:tcPr>
            <w:tcW w:w="35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9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Notes</w:t>
            </w:r>
          </w:p>
        </w:tc>
        <w:tc>
          <w:tcPr>
            <w:tcW w:w="26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35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9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26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35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6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35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6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35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6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w:t>
            </w:r>
          </w:p>
        </w:tc>
        <w:tc>
          <w:tcPr>
            <w:tcW w:w="3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4613" w:type="dxa"/>
        <w:jc w:val="left"/>
        <w:tblInd w:w="0" w:type="dxa"/>
        <w:tblLayout w:type="fixed"/>
        <w:tblCellMar>
          <w:top w:w="0" w:type="dxa"/>
          <w:left w:w="0" w:type="dxa"/>
          <w:bottom w:w="0" w:type="dxa"/>
          <w:right w:w="0" w:type="dxa"/>
        </w:tblCellMar>
      </w:tblPr>
      <w:tblGrid>
        <w:gridCol w:w="1550"/>
        <w:gridCol w:w="90"/>
        <w:gridCol w:w="297"/>
        <w:gridCol w:w="907"/>
        <w:gridCol w:w="215"/>
        <w:gridCol w:w="90"/>
        <w:gridCol w:w="278"/>
        <w:gridCol w:w="926"/>
        <w:gridCol w:w="260"/>
      </w:tblGrid>
      <w:tr>
        <w:trPr/>
        <w:tc>
          <w:tcPr>
            <w:tcW w:w="15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1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6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6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VWAP stock price</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260"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Simulation period</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60"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77.3</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117.0</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December 28, 2025 and December 29, 2024.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138" w:type="dxa"/>
        <w:jc w:val="left"/>
        <w:tblInd w:w="0" w:type="dxa"/>
        <w:tblLayout w:type="fixed"/>
        <w:tblCellMar>
          <w:top w:w="0" w:type="dxa"/>
          <w:left w:w="0" w:type="dxa"/>
          <w:bottom w:w="0" w:type="dxa"/>
          <w:right w:w="0" w:type="dxa"/>
        </w:tblCellMar>
      </w:tblPr>
      <w:tblGrid>
        <w:gridCol w:w="2075"/>
        <w:gridCol w:w="90"/>
        <w:gridCol w:w="278"/>
        <w:gridCol w:w="926"/>
        <w:gridCol w:w="215"/>
        <w:gridCol w:w="90"/>
        <w:gridCol w:w="278"/>
        <w:gridCol w:w="926"/>
        <w:gridCol w:w="260"/>
      </w:tblGrid>
      <w:tr>
        <w:trPr/>
        <w:tc>
          <w:tcPr>
            <w:tcW w:w="20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1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 years</w:t>
            </w:r>
          </w:p>
        </w:tc>
        <w:tc>
          <w:tcPr>
            <w:tcW w:w="2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price</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2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dividend yield</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December 28, 2025 and December 29, 2024.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December 28, 2025 and December 29, 2024.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liabilities not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 sets forth the Company’s financial liabilities that were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529" w:type="dxa"/>
        <w:jc w:val="left"/>
        <w:tblInd w:w="0" w:type="dxa"/>
        <w:tblLayout w:type="fixed"/>
        <w:tblCellMar>
          <w:top w:w="0" w:type="dxa"/>
          <w:left w:w="0" w:type="dxa"/>
          <w:bottom w:w="0" w:type="dxa"/>
          <w:right w:w="0" w:type="dxa"/>
        </w:tblCellMar>
      </w:tblPr>
      <w:tblGrid>
        <w:gridCol w:w="4280"/>
        <w:gridCol w:w="90"/>
        <w:gridCol w:w="170"/>
        <w:gridCol w:w="830"/>
        <w:gridCol w:w="90"/>
        <w:gridCol w:w="90"/>
        <w:gridCol w:w="246"/>
        <w:gridCol w:w="1139"/>
        <w:gridCol w:w="125"/>
        <w:gridCol w:w="90"/>
        <w:gridCol w:w="189"/>
        <w:gridCol w:w="791"/>
        <w:gridCol w:w="90"/>
        <w:gridCol w:w="90"/>
        <w:gridCol w:w="184"/>
        <w:gridCol w:w="900"/>
        <w:gridCol w:w="135"/>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2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w:t>
              <w:br/>
              <w:t>debt</w:t>
              <w:br/>
              <w:t>discount</w:t>
              <w:br/>
              <w:t>and debt</w:t>
              <w:br/>
              <w:t>issuance</w:t>
              <w:br/>
              <w:t>costs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b/>
              </w:rPr>
            </w:pPr>
            <w:r>
              <w:rPr>
                <w:b/>
              </w:rPr>
              <w:t>12.0% senior unsecured convertible notes</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27,973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(5,832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22,141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33,165</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July 2024 Notes –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pPr>
            <w:r>
              <w:rPr/>
              <w:t>(10,369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7,631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21,204</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Subtotal 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45,973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pPr>
            <w:r>
              <w:rPr/>
              <w:t>(16,201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29,772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54,369</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July 2025 Note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(3,557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1,443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5,641</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(1,509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2,360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b/>
              </w:rPr>
            </w:pPr>
            <w:r>
              <w:rPr>
                <w:b/>
              </w:rPr>
              <w:t>7.0% 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September 2024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(42,211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14,332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59,425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September 2024 Notes –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8,750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pPr>
            <w:r>
              <w:rPr/>
              <w:t>(6,404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2,346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8,880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Subtotal September 2024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65,293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pPr>
            <w:r>
              <w:rPr/>
              <w:t>(48,615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16,678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68,305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September 2025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pPr>
            <w:r>
              <w:rPr/>
              <w:t>(18,646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3,354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24,227</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140,266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double" w:sz="10" w:space="0" w:color="000000"/>
            </w:tcBorders>
            <w:tcMar>
              <w:bottom w:w="28" w:type="dxa"/>
            </w:tcMar>
            <w:vAlign w:val="center"/>
          </w:tcPr>
          <w:p>
            <w:pPr>
              <w:pStyle w:val="TableContents"/>
              <w:bidi w:val="0"/>
              <w:spacing w:before="0" w:after="283"/>
              <w:jc w:val="left"/>
              <w:rPr/>
            </w:pPr>
            <w:r>
              <w:rPr/>
              <w:t>$</w:t>
            </w:r>
          </w:p>
        </w:tc>
        <w:tc>
          <w:tcPr>
            <w:tcW w:w="1139" w:type="dxa"/>
            <w:tcBorders>
              <w:bottom w:val="double" w:sz="10" w:space="0" w:color="000000"/>
            </w:tcBorders>
            <w:tcMar>
              <w:bottom w:w="28" w:type="dxa"/>
            </w:tcMar>
            <w:vAlign w:val="center"/>
          </w:tcPr>
          <w:p>
            <w:pPr>
              <w:pStyle w:val="TableContents"/>
              <w:bidi w:val="0"/>
              <w:spacing w:before="0" w:after="283"/>
              <w:jc w:val="right"/>
              <w:rPr/>
            </w:pPr>
            <w:r>
              <w:rPr/>
              <w:t>(88,528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791" w:type="dxa"/>
            <w:tcBorders>
              <w:bottom w:val="double" w:sz="10" w:space="0" w:color="000000"/>
            </w:tcBorders>
            <w:tcMar>
              <w:bottom w:w="28" w:type="dxa"/>
            </w:tcMar>
            <w:vAlign w:val="center"/>
          </w:tcPr>
          <w:p>
            <w:pPr>
              <w:pStyle w:val="TableContents"/>
              <w:bidi w:val="0"/>
              <w:spacing w:before="0" w:after="283"/>
              <w:jc w:val="right"/>
              <w:rPr/>
            </w:pPr>
            <w:r>
              <w:rPr/>
              <w:t>51,738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tcMar>
              <w:bottom w:w="28" w:type="dxa"/>
            </w:tcMar>
            <w:vAlign w:val="center"/>
          </w:tcPr>
          <w:p>
            <w:pPr>
              <w:pStyle w:val="TableContents"/>
              <w:bidi w:val="0"/>
              <w:spacing w:before="0" w:after="283"/>
              <w:jc w:val="right"/>
              <w:rPr/>
            </w:pPr>
            <w:r>
              <w:rPr/>
              <w:t>154,902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8383" w:type="dxa"/>
        <w:jc w:val="left"/>
        <w:tblInd w:w="0" w:type="dxa"/>
        <w:tblLayout w:type="fixed"/>
        <w:tblCellMar>
          <w:top w:w="0" w:type="dxa"/>
          <w:left w:w="0" w:type="dxa"/>
          <w:bottom w:w="0" w:type="dxa"/>
          <w:right w:w="0" w:type="dxa"/>
        </w:tblCellMar>
      </w:tblPr>
      <w:tblGrid>
        <w:gridCol w:w="3575"/>
        <w:gridCol w:w="90"/>
        <w:gridCol w:w="167"/>
        <w:gridCol w:w="782"/>
        <w:gridCol w:w="90"/>
        <w:gridCol w:w="90"/>
        <w:gridCol w:w="215"/>
        <w:gridCol w:w="945"/>
        <w:gridCol w:w="110"/>
        <w:gridCol w:w="90"/>
        <w:gridCol w:w="196"/>
        <w:gridCol w:w="784"/>
        <w:gridCol w:w="90"/>
        <w:gridCol w:w="90"/>
        <w:gridCol w:w="164"/>
        <w:gridCol w:w="770"/>
        <w:gridCol w:w="135"/>
      </w:tblGrid>
      <w:tr>
        <w:trPr/>
        <w:tc>
          <w:tcPr>
            <w:tcW w:w="35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13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Unamortized</w:t>
              <w:br/>
              <w:t>debt</w:t>
              <w:br/>
              <w:t>discount</w:t>
              <w:br/>
              <w:t>and debt</w:t>
              <w:br/>
              <w:t>issuance</w:t>
              <w:br/>
              <w:t>costs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13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12.0% senior unsecured convertible notes</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21,390</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2024 Notes – related parties</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(10,785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6"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33,323</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July 2024 Notes</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54,713</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 senior unsecured convertible notes</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(66,164</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77,245</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2024 Notes – related parties</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8,583</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September 2024 Notes</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6"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85,828</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125,773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(90,678</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140,541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$10.8 million and $13.6 million as of December 28, 2025 and December 29, 2024,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93" w:type="dxa"/>
        <w:jc w:val="left"/>
        <w:tblInd w:w="0" w:type="dxa"/>
        <w:tblLayout w:type="fixed"/>
        <w:tblCellMar>
          <w:top w:w="0" w:type="dxa"/>
          <w:left w:w="0" w:type="dxa"/>
          <w:bottom w:w="0" w:type="dxa"/>
          <w:right w:w="0" w:type="dxa"/>
        </w:tblCellMar>
      </w:tblPr>
      <w:tblGrid>
        <w:gridCol w:w="5300"/>
        <w:gridCol w:w="90"/>
        <w:gridCol w:w="278"/>
        <w:gridCol w:w="1166"/>
        <w:gridCol w:w="90"/>
        <w:gridCol w:w="90"/>
        <w:gridCol w:w="322"/>
        <w:gridCol w:w="1122"/>
        <w:gridCol w:w="135"/>
      </w:tblGrid>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xml:space="preserve">Costs to obtain contracts and costs to fulfill contracts </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7,361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3,759</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9,552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4,447</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Total 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16,913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8,206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osition w:val="8"/>
                <w:sz w:val="19"/>
              </w:rPr>
            </w:pPr>
            <w:r>
              <w:rPr>
                <w:position w:val="8"/>
                <w:sz w:val="19"/>
              </w:rPr>
              <w:t>(1)</w:t>
            </w:r>
          </w:p>
        </w:tc>
        <w:tc>
          <w:tcPr>
            <w:tcW w:w="9944" w:type="dxa"/>
            <w:tcBorders/>
            <w:vAlign w:val="center"/>
          </w:tcPr>
          <w:p>
            <w:pPr>
              <w:pStyle w:val="TableContents"/>
              <w:bidi w:val="0"/>
              <w:spacing w:before="0" w:after="283"/>
              <w:jc w:val="both"/>
              <w:rPr/>
            </w:pPr>
            <w:r>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6908" w:type="dxa"/>
        <w:jc w:val="left"/>
        <w:tblInd w:w="0" w:type="dxa"/>
        <w:tblLayout w:type="fixed"/>
        <w:tblCellMar>
          <w:top w:w="0" w:type="dxa"/>
          <w:left w:w="0" w:type="dxa"/>
          <w:bottom w:w="0" w:type="dxa"/>
          <w:right w:w="0" w:type="dxa"/>
        </w:tblCellMar>
      </w:tblPr>
      <w:tblGrid>
        <w:gridCol w:w="4055"/>
        <w:gridCol w:w="90"/>
        <w:gridCol w:w="255"/>
        <w:gridCol w:w="949"/>
        <w:gridCol w:w="110"/>
        <w:gridCol w:w="90"/>
        <w:gridCol w:w="278"/>
        <w:gridCol w:w="926"/>
        <w:gridCol w:w="155"/>
      </w:tblGrid>
      <w:tr>
        <w:trPr/>
        <w:tc>
          <w:tcPr>
            <w:tcW w:w="40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5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15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15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and equipment</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w:t>
            </w:r>
          </w:p>
        </w:tc>
        <w:tc>
          <w:tcPr>
            <w:tcW w:w="15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5,174</w:t>
            </w:r>
          </w:p>
        </w:tc>
        <w:tc>
          <w:tcPr>
            <w:tcW w:w="15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15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6,409</w:t>
            </w:r>
          </w:p>
        </w:tc>
        <w:tc>
          <w:tcPr>
            <w:tcW w:w="15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 net</w:t>
            </w:r>
          </w:p>
        </w:tc>
        <w:tc>
          <w:tcPr>
            <w:tcW w:w="90" w:type="dxa"/>
            <w:tcBorders/>
            <w:vAlign w:val="center"/>
          </w:tcPr>
          <w:p>
            <w:pPr>
              <w:pStyle w:val="TableContents"/>
              <w:bidi w:val="0"/>
              <w:spacing w:before="0" w:after="283"/>
              <w:jc w:val="left"/>
              <w:rPr/>
            </w:pPr>
            <w:r>
              <w:rPr/>
              <w:t> </w:t>
            </w:r>
          </w:p>
        </w:tc>
        <w:tc>
          <w:tcPr>
            <w:tcW w:w="2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5,493</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totaled $3.0 million and $2.0 million for the fiscal years ended December 28, 2025 and December 29, 2024, respectively. Finance leases are included within vehicles and account for $1.7 million and $3.9 million of the total balance as of the fiscal years ended December 28, 2025, and December 29, 2024, respectively.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December 29, 2024, the Company capitalized $1.2 million, of internal-use software development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total of $3.8 million on impairment and loss on disposal of property and equipment for the fiscal year ended December 29, 2024 consisting primarily of $3.4 million relating to its proprietary HelioTrackTM software system. The Company impaired the value of its HelioTrackTM software as this software has no future use following the completion of the migration to software acquired in the SunPower Acquisition.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128" w:type="dxa"/>
        <w:jc w:val="left"/>
        <w:tblInd w:w="0" w:type="dxa"/>
        <w:tblLayout w:type="fixed"/>
        <w:tblCellMar>
          <w:top w:w="0" w:type="dxa"/>
          <w:left w:w="0" w:type="dxa"/>
          <w:bottom w:w="0" w:type="dxa"/>
          <w:right w:w="0" w:type="dxa"/>
        </w:tblCellMar>
      </w:tblPr>
      <w:tblGrid>
        <w:gridCol w:w="4835"/>
        <w:gridCol w:w="90"/>
        <w:gridCol w:w="278"/>
        <w:gridCol w:w="1166"/>
        <w:gridCol w:w="90"/>
        <w:gridCol w:w="90"/>
        <w:gridCol w:w="278"/>
        <w:gridCol w:w="1166"/>
        <w:gridCol w:w="135"/>
      </w:tblGrid>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Accrued compensation and benefits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7,202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6,619</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Income taxes payable</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Professional fees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8,028</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Accrued legal settlements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9,500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7,700</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Accrued rebates and credits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7,564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7,641</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Deferred financing fees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4,868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4,674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Investor financing deposit with related party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6,301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4,523</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19,194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16,896</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Total accrued expenses and other current liabilities</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56,977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56,081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received a deposit of $2.0 million from the Rodgers Massey Revocable Living Trust (“Rodgers Revocable Trust”), a related party, in fiscal 2025. In January 2026, these proceeds along with an additional $1.3 million received in January 2026 was converted to a 12.0% convertible promissory note. </w:t>
            </w:r>
            <w:r>
              <w:rPr>
                <w:rFonts w:ascii="Times New Roman;Times;Serif" w:hAnsi="Times New Roman;Times;Serif"/>
                <w:b/>
                <w:sz w:val="20"/>
              </w:rPr>
              <w:t xml:space="preserve">Refer to Note 20 – Subsequent Events – </w:t>
            </w:r>
            <w:r>
              <w:rPr>
                <w:rFonts w:ascii="Times New Roman;Times;Serif" w:hAnsi="Times New Roman;Times;Serif"/>
                <w:b/>
                <w:i/>
                <w:sz w:val="20"/>
              </w:rPr>
              <w:t>12.0% Convertible Promissory Not</w:t>
            </w:r>
            <w:r>
              <w:rPr>
                <w:rFonts w:ascii="Times New Roman;Times;Serif" w:hAnsi="Times New Roman;Times;Serif"/>
                <w:b/>
                <w:sz w:val="20"/>
              </w:rPr>
              <w:t>e</w:t>
            </w:r>
            <w:r>
              <w:rPr>
                <w:rFonts w:ascii="Times New Roman;Times;Serif" w:hAnsi="Times New Roman;Times;Serif"/>
                <w:sz w:val="20"/>
              </w:rPr>
              <w:t xml:space="preserve"> for further details.</w:t>
            </w:r>
          </w:p>
        </w:tc>
      </w:tr>
      <w:tr>
        <w:trPr/>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$2.6 million and $2.5 million as of December 28, 2025 and December 29, 2024, respectively.</w:t>
            </w:r>
          </w:p>
        </w:tc>
      </w:tr>
      <w:tr>
        <w:trPr/>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individual items exceed 5% of total current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Intangible Assets, Net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Company completed the acquisition of the SunPower Businesses. As of December 29, 2024, the Company had assigned provisional goodwill of $18.3 million to the Residential Solar Installation reportable segment and $0.2 million to the New Homes Businesses reportable segment. Upon finalization of the fair values in fiscal 2025 related to the SunPower Businesses, the Company concluded that the purchase price did not include any excess purchase price over the fair value of net assets acquired related to the SunPower Businesses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the Company completed the acquisition of Sunder and assigned provisional goodwill of $31.8 million from this acquisition to the Dealer reportable segment. On November 21, 2025, the Company completed the acquisition of Ambia and assigned provisional goodwill of $30.8 million from this acquisition to the Residential Solar Installation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and for the fiscal years ended December 28, 2025 and December 29, 2024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9"/>
        <w:gridCol w:w="90"/>
        <w:gridCol w:w="467"/>
        <w:gridCol w:w="2169"/>
        <w:gridCol w:w="125"/>
        <w:gridCol w:w="90"/>
        <w:gridCol w:w="302"/>
        <w:gridCol w:w="862"/>
        <w:gridCol w:w="125"/>
        <w:gridCol w:w="90"/>
        <w:gridCol w:w="170"/>
        <w:gridCol w:w="710"/>
        <w:gridCol w:w="90"/>
        <w:gridCol w:w="90"/>
        <w:gridCol w:w="170"/>
        <w:gridCol w:w="785"/>
        <w:gridCol w:w="171"/>
      </w:tblGrid>
      <w:tr>
        <w:trPr/>
        <w:tc>
          <w:tcPr>
            <w:tcW w:w="3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 Solar Installation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left"/>
              <w:rPr/>
            </w:pPr>
            <w:r>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w:t>
            </w:r>
          </w:p>
        </w:tc>
        <w:tc>
          <w:tcPr>
            <w:tcW w:w="216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both"/>
              <w:rPr/>
            </w:pPr>
            <w:r>
              <w:rPr/>
              <w:t>Goodwill acquired in business combinations</w:t>
            </w:r>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right"/>
              <w:rPr/>
            </w:pPr>
            <w:r>
              <w:rPr/>
              <w:t>18,276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200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18,476</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left"/>
              <w:rPr/>
            </w:pPr>
            <w:r>
              <w:rPr/>
              <w:t>Impairment losses</w:t>
            </w:r>
          </w:p>
        </w:tc>
        <w:tc>
          <w:tcPr>
            <w:tcW w:w="90" w:type="dxa"/>
            <w:tcBorders/>
            <w:shd w:fill="CCEEFF" w:val="clear"/>
            <w:vAlign w:val="center"/>
          </w:tcPr>
          <w:p>
            <w:pPr>
              <w:pStyle w:val="TableContents"/>
              <w:bidi w:val="0"/>
              <w:spacing w:before="0" w:after="283"/>
              <w:jc w:val="left"/>
              <w:rPr/>
            </w:pPr>
            <w:r>
              <w:rPr/>
              <w:t> </w:t>
            </w:r>
          </w:p>
        </w:tc>
        <w:tc>
          <w:tcPr>
            <w:tcW w:w="4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6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left"/>
              <w:rPr/>
            </w:pPr>
            <w:r>
              <w:rPr/>
              <w:t>Balance as of December 29, 2024</w:t>
            </w:r>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both"/>
              <w:rPr/>
            </w:pPr>
            <w:r>
              <w:rPr/>
              <w:t>Goodwill</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2169" w:type="dxa"/>
            <w:tcBorders/>
            <w:shd w:fill="CCEEFF" w:val="clear"/>
            <w:vAlign w:val="center"/>
          </w:tcPr>
          <w:p>
            <w:pPr>
              <w:pStyle w:val="TableContents"/>
              <w:bidi w:val="0"/>
              <w:spacing w:before="0" w:after="283"/>
              <w:jc w:val="right"/>
              <w:rPr/>
            </w:pPr>
            <w:r>
              <w:rPr/>
              <w:t>18,276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18,476</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both"/>
              <w:rPr/>
            </w:pPr>
            <w:r>
              <w:rPr/>
              <w:t>Accumulated impairment losses</w:t>
            </w:r>
          </w:p>
        </w:tc>
        <w:tc>
          <w:tcPr>
            <w:tcW w:w="90" w:type="dxa"/>
            <w:tcBorders/>
            <w:vAlign w:val="center"/>
          </w:tcPr>
          <w:p>
            <w:pPr>
              <w:pStyle w:val="TableContents"/>
              <w:bidi w:val="0"/>
              <w:spacing w:before="0" w:after="283"/>
              <w:jc w:val="left"/>
              <w:rPr/>
            </w:pPr>
            <w:r>
              <w:rPr/>
              <w:t> </w:t>
            </w:r>
          </w:p>
        </w:tc>
        <w:tc>
          <w:tcPr>
            <w:tcW w:w="467" w:type="dxa"/>
            <w:tcBorders>
              <w:bottom w:val="single" w:sz="12" w:space="0" w:color="000000"/>
            </w:tcBorders>
            <w:tcMar>
              <w:bottom w:w="28" w:type="dxa"/>
            </w:tcMar>
            <w:vAlign w:val="center"/>
          </w:tcPr>
          <w:p>
            <w:pPr>
              <w:pStyle w:val="TableContents"/>
              <w:bidi w:val="0"/>
              <w:spacing w:before="0" w:after="283"/>
              <w:jc w:val="left"/>
              <w:rPr/>
            </w:pPr>
            <w:r>
              <w:rPr/>
              <w:t> </w:t>
            </w:r>
          </w:p>
        </w:tc>
        <w:tc>
          <w:tcPr>
            <w:tcW w:w="216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4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69" w:type="dxa"/>
            <w:tcBorders>
              <w:bottom w:val="single" w:sz="12" w:space="0" w:color="000000"/>
            </w:tcBorders>
            <w:shd w:fill="CCEEFF" w:val="clear"/>
            <w:tcMar>
              <w:bottom w:w="28" w:type="dxa"/>
            </w:tcMar>
            <w:vAlign w:val="center"/>
          </w:tcPr>
          <w:p>
            <w:pPr>
              <w:pStyle w:val="TableContents"/>
              <w:bidi w:val="0"/>
              <w:spacing w:before="0" w:after="283"/>
              <w:jc w:val="right"/>
              <w:rPr/>
            </w:pPr>
            <w:r>
              <w:rPr/>
              <w:t>18,276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18,476</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both"/>
              <w:rPr/>
            </w:pPr>
            <w:r>
              <w:rPr/>
              <w:t>Measurement period adjustments</w:t>
            </w:r>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right"/>
              <w:rPr/>
            </w:pPr>
            <w:r>
              <w:rPr/>
              <w:t>(18,276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(200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(18,476</w:t>
            </w:r>
          </w:p>
        </w:tc>
        <w:tc>
          <w:tcPr>
            <w:tcW w:w="171" w:type="dxa"/>
            <w:tcBorders/>
            <w:vAlign w:val="center"/>
          </w:tcPr>
          <w:p>
            <w:pPr>
              <w:pStyle w:val="TableContents"/>
              <w:bidi w:val="0"/>
              <w:spacing w:before="0" w:after="283"/>
              <w:jc w:val="left"/>
              <w:rPr/>
            </w:pPr>
            <w:r>
              <w:rPr/>
              <w:t>)</w:t>
            </w:r>
          </w:p>
        </w:tc>
      </w:tr>
      <w:tr>
        <w:trPr/>
        <w:tc>
          <w:tcPr>
            <w:tcW w:w="3699" w:type="dxa"/>
            <w:tcBorders/>
            <w:shd w:fill="CCEEFF" w:val="clear"/>
            <w:vAlign w:val="center"/>
          </w:tcPr>
          <w:p>
            <w:pPr>
              <w:pStyle w:val="TableContents"/>
              <w:bidi w:val="0"/>
              <w:spacing w:before="0" w:after="283"/>
              <w:jc w:val="left"/>
              <w:rPr/>
            </w:pPr>
            <w:r>
              <w:rPr/>
              <w:t>Goodwill acquired in business combinations</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2169" w:type="dxa"/>
            <w:tcBorders/>
            <w:shd w:fill="CCEEFF" w:val="clear"/>
            <w:vAlign w:val="center"/>
          </w:tcPr>
          <w:p>
            <w:pPr>
              <w:pStyle w:val="TableContents"/>
              <w:bidi w:val="0"/>
              <w:spacing w:before="0" w:after="283"/>
              <w:jc w:val="right"/>
              <w:rPr/>
            </w:pPr>
            <w:r>
              <w:rPr/>
              <w:t>30,808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62,630</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left"/>
              <w:rPr/>
            </w:pPr>
            <w:r>
              <w:rPr/>
              <w:t>Impairment losses</w:t>
            </w:r>
          </w:p>
        </w:tc>
        <w:tc>
          <w:tcPr>
            <w:tcW w:w="90" w:type="dxa"/>
            <w:tcBorders/>
            <w:vAlign w:val="center"/>
          </w:tcPr>
          <w:p>
            <w:pPr>
              <w:pStyle w:val="TableContents"/>
              <w:bidi w:val="0"/>
              <w:spacing w:before="0" w:after="283"/>
              <w:jc w:val="left"/>
              <w:rPr/>
            </w:pPr>
            <w:r>
              <w:rPr/>
              <w:t> </w:t>
            </w:r>
          </w:p>
        </w:tc>
        <w:tc>
          <w:tcPr>
            <w:tcW w:w="467" w:type="dxa"/>
            <w:tcBorders>
              <w:bottom w:val="single" w:sz="12" w:space="0" w:color="000000"/>
            </w:tcBorders>
            <w:tcMar>
              <w:bottom w:w="28" w:type="dxa"/>
            </w:tcMar>
            <w:vAlign w:val="center"/>
          </w:tcPr>
          <w:p>
            <w:pPr>
              <w:pStyle w:val="TableContents"/>
              <w:bidi w:val="0"/>
              <w:spacing w:before="0" w:after="283"/>
              <w:jc w:val="left"/>
              <w:rPr/>
            </w:pPr>
            <w:r>
              <w:rPr/>
              <w:t> </w:t>
            </w:r>
          </w:p>
        </w:tc>
        <w:tc>
          <w:tcPr>
            <w:tcW w:w="216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left"/>
              <w:rPr/>
            </w:pPr>
            <w:r>
              <w:rPr/>
              <w:t>Balance as of December 28, 2025</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216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right"/>
              <w:rPr/>
            </w:pPr>
            <w:r>
              <w:rPr/>
              <w:t>30,808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31,822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62,630</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left"/>
              <w:rPr/>
            </w:pPr>
            <w:r>
              <w:rPr/>
              <w:t>Accumulated impairment losses</w:t>
            </w:r>
          </w:p>
        </w:tc>
        <w:tc>
          <w:tcPr>
            <w:tcW w:w="90" w:type="dxa"/>
            <w:tcBorders/>
            <w:shd w:fill="CCEEFF" w:val="clear"/>
            <w:vAlign w:val="center"/>
          </w:tcPr>
          <w:p>
            <w:pPr>
              <w:pStyle w:val="TableContents"/>
              <w:bidi w:val="0"/>
              <w:spacing w:before="0" w:after="283"/>
              <w:jc w:val="left"/>
              <w:rPr/>
            </w:pPr>
            <w:r>
              <w:rPr/>
              <w:t> </w:t>
            </w:r>
          </w:p>
        </w:tc>
        <w:tc>
          <w:tcPr>
            <w:tcW w:w="4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6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both"/>
              <w:rPr/>
            </w:pPr>
            <w:r>
              <w:rPr/>
              <w:t>Total</w:t>
            </w:r>
          </w:p>
        </w:tc>
        <w:tc>
          <w:tcPr>
            <w:tcW w:w="90" w:type="dxa"/>
            <w:tcBorders/>
            <w:vAlign w:val="center"/>
          </w:tcPr>
          <w:p>
            <w:pPr>
              <w:pStyle w:val="TableContents"/>
              <w:bidi w:val="0"/>
              <w:spacing w:before="0" w:after="283"/>
              <w:jc w:val="left"/>
              <w:rPr/>
            </w:pPr>
            <w:r>
              <w:rPr/>
              <w:t> </w:t>
            </w:r>
          </w:p>
        </w:tc>
        <w:tc>
          <w:tcPr>
            <w:tcW w:w="467" w:type="dxa"/>
            <w:tcBorders>
              <w:bottom w:val="double" w:sz="10" w:space="0" w:color="000000"/>
            </w:tcBorders>
            <w:tcMar>
              <w:bottom w:w="28" w:type="dxa"/>
            </w:tcMar>
            <w:vAlign w:val="center"/>
          </w:tcPr>
          <w:p>
            <w:pPr>
              <w:pStyle w:val="TableContents"/>
              <w:bidi w:val="0"/>
              <w:spacing w:before="0" w:after="283"/>
              <w:jc w:val="left"/>
              <w:rPr/>
            </w:pPr>
            <w:r>
              <w:rPr/>
              <w:t>$</w:t>
            </w:r>
          </w:p>
        </w:tc>
        <w:tc>
          <w:tcPr>
            <w:tcW w:w="2169" w:type="dxa"/>
            <w:tcBorders>
              <w:bottom w:val="double" w:sz="10" w:space="0" w:color="000000"/>
            </w:tcBorders>
            <w:tcMar>
              <w:bottom w:w="28" w:type="dxa"/>
            </w:tcMar>
            <w:vAlign w:val="center"/>
          </w:tcPr>
          <w:p>
            <w:pPr>
              <w:pStyle w:val="TableContents"/>
              <w:bidi w:val="0"/>
              <w:spacing w:before="0" w:after="283"/>
              <w:jc w:val="right"/>
              <w:rPr/>
            </w:pPr>
            <w:r>
              <w:rPr/>
              <w:t>30,808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bottom w:val="double" w:sz="10" w:space="0" w:color="000000"/>
            </w:tcBorders>
            <w:tcMar>
              <w:bottom w:w="28" w:type="dxa"/>
            </w:tcMar>
            <w:vAlign w:val="center"/>
          </w:tcPr>
          <w:p>
            <w:pPr>
              <w:pStyle w:val="TableContents"/>
              <w:bidi w:val="0"/>
              <w:spacing w:before="0" w:after="283"/>
              <w:jc w:val="left"/>
              <w:rPr/>
            </w:pPr>
            <w:r>
              <w:rPr/>
              <w:t>$</w:t>
            </w:r>
          </w:p>
        </w:tc>
        <w:tc>
          <w:tcPr>
            <w:tcW w:w="862"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31,822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283"/>
              <w:jc w:val="right"/>
              <w:rPr/>
            </w:pPr>
            <w:r>
              <w:rPr/>
              <w:t>62,630</w:t>
            </w:r>
          </w:p>
        </w:tc>
        <w:tc>
          <w:tcPr>
            <w:tcW w:w="17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December 29, 2024, the Company recognized a measurement period adjustment attributable to the net assets of the SunPower Businesses acquired resulting in a measurement period adjustment that eliminated the goodwill provisionally recorded in fiscal 2024. The acquisitions of Sunder and Ambia account for the balance in goodwill as of December 28, 2025 as described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 qualitative assessment of goodwill and determined that at the acquisition date and the date at which the Company performed an impairment analysis, there were no relevant events or circumstances that would result in the fair value of a reportable unit being less than its carrying amount.</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13" w:type="dxa"/>
        <w:jc w:val="left"/>
        <w:tblInd w:w="0" w:type="dxa"/>
        <w:tblLayout w:type="fixed"/>
        <w:tblCellMar>
          <w:top w:w="0" w:type="dxa"/>
          <w:left w:w="0" w:type="dxa"/>
          <w:bottom w:w="28" w:type="dxa"/>
          <w:right w:w="0" w:type="dxa"/>
        </w:tblCellMar>
      </w:tblPr>
      <w:tblGrid>
        <w:gridCol w:w="2750"/>
        <w:gridCol w:w="90"/>
        <w:gridCol w:w="180"/>
        <w:gridCol w:w="754"/>
        <w:gridCol w:w="90"/>
        <w:gridCol w:w="90"/>
        <w:gridCol w:w="285"/>
        <w:gridCol w:w="1115"/>
        <w:gridCol w:w="125"/>
        <w:gridCol w:w="90"/>
        <w:gridCol w:w="195"/>
        <w:gridCol w:w="814"/>
        <w:gridCol w:w="135"/>
      </w:tblGrid>
      <w:tr>
        <w:trPr/>
        <w:tc>
          <w:tcPr>
            <w:tcW w:w="2750" w:type="dxa"/>
            <w:tcBorders>
              <w:bottom w:val="single" w:sz="12" w:space="0" w:color="000000"/>
            </w:tcBorders>
            <w:vAlign w:val="center"/>
          </w:tcPr>
          <w:p>
            <w:pPr>
              <w:pStyle w:val="TableContents"/>
              <w:bidi w:val="0"/>
              <w:spacing w:before="0" w:after="283"/>
              <w:jc w:val="both"/>
              <w:rPr>
                <w:b/>
              </w:rPr>
            </w:pPr>
            <w:r>
              <w:rPr>
                <w:b/>
              </w:rPr>
              <w:t>As of December 28, 2025</w:t>
            </w:r>
          </w:p>
        </w:tc>
        <w:tc>
          <w:tcPr>
            <w:tcW w:w="9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b/>
              </w:rPr>
            </w:pPr>
            <w:r>
              <w:rPr>
                <w:b/>
              </w:rPr>
              <w:t>Accumulated</w:t>
              <w:br/>
              <w:t>Amortization</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9" w:type="dxa"/>
            <w:gridSpan w:val="2"/>
            <w:tcBorders>
              <w:bottom w:val="single" w:sz="12" w:space="0" w:color="000000"/>
            </w:tcBorders>
            <w:vAlign w:val="center"/>
          </w:tcPr>
          <w:p>
            <w:pPr>
              <w:pStyle w:val="TableContents"/>
              <w:bidi w:val="0"/>
              <w:spacing w:before="0" w:after="283"/>
              <w:jc w:val="center"/>
              <w:rPr>
                <w:b/>
              </w:rPr>
            </w:pPr>
            <w:r>
              <w:rPr>
                <w:b/>
              </w:rPr>
              <w:t>Net Book</w:t>
              <w:br/>
              <w:t>Value</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pPr>
            <w:r>
              <w:rPr/>
              <w:t>Customer related intangibles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283"/>
              <w:jc w:val="right"/>
              <w:rPr/>
            </w:pPr>
            <w:r>
              <w:rPr/>
              <w:t>34,000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w:t>
            </w:r>
          </w:p>
        </w:tc>
        <w:tc>
          <w:tcPr>
            <w:tcW w:w="1115" w:type="dxa"/>
            <w:tcBorders/>
            <w:shd w:fill="CCEEFF" w:val="clear"/>
            <w:tcMar>
              <w:bottom w:w="0" w:type="dxa"/>
            </w:tcMar>
            <w:vAlign w:val="center"/>
          </w:tcPr>
          <w:p>
            <w:pPr>
              <w:pStyle w:val="TableContents"/>
              <w:bidi w:val="0"/>
              <w:spacing w:before="0" w:after="283"/>
              <w:jc w:val="right"/>
              <w:rPr/>
            </w:pPr>
            <w:r>
              <w:rPr/>
              <w:t>(3,198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814" w:type="dxa"/>
            <w:tcBorders/>
            <w:shd w:fill="CCEEFF" w:val="clear"/>
            <w:tcMar>
              <w:bottom w:w="0" w:type="dxa"/>
            </w:tcMar>
            <w:vAlign w:val="center"/>
          </w:tcPr>
          <w:p>
            <w:pPr>
              <w:pStyle w:val="TableContents"/>
              <w:bidi w:val="0"/>
              <w:spacing w:before="0" w:after="283"/>
              <w:jc w:val="right"/>
              <w:rPr/>
            </w:pPr>
            <w:r>
              <w:rPr/>
              <w:t>30,802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pPr>
            <w:r>
              <w:rPr/>
              <w:t>Trademarks</w:t>
            </w:r>
          </w:p>
        </w:tc>
        <w:tc>
          <w:tcPr>
            <w:tcW w:w="90" w:type="dxa"/>
            <w:tcBorders/>
            <w:tcMar>
              <w:bottom w:w="0" w:type="dxa"/>
            </w:tcMar>
            <w:vAlign w:val="center"/>
          </w:tcPr>
          <w:p>
            <w:pPr>
              <w:pStyle w:val="TableContents"/>
              <w:bidi w:val="0"/>
              <w:spacing w:before="0" w:after="283"/>
              <w:jc w:val="left"/>
              <w:rPr/>
            </w:pPr>
            <w:r>
              <w:rPr/>
              <w:t> </w:t>
            </w:r>
          </w:p>
        </w:tc>
        <w:tc>
          <w:tcPr>
            <w:tcW w:w="180" w:type="dxa"/>
            <w:tcBorders/>
            <w:tcMar>
              <w:bottom w:w="0" w:type="dxa"/>
            </w:tcMar>
            <w:vAlign w:val="center"/>
          </w:tcPr>
          <w:p>
            <w:pPr>
              <w:pStyle w:val="TableContents"/>
              <w:bidi w:val="0"/>
              <w:spacing w:before="0" w:after="283"/>
              <w:jc w:val="left"/>
              <w:rPr/>
            </w:pPr>
            <w:r>
              <w:rPr/>
              <w:t> </w:t>
            </w:r>
          </w:p>
        </w:tc>
        <w:tc>
          <w:tcPr>
            <w:tcW w:w="754" w:type="dxa"/>
            <w:tcBorders/>
            <w:tcMar>
              <w:bottom w:w="0" w:type="dxa"/>
            </w:tcMar>
            <w:vAlign w:val="center"/>
          </w:tcPr>
          <w:p>
            <w:pPr>
              <w:pStyle w:val="TableContents"/>
              <w:bidi w:val="0"/>
              <w:spacing w:before="0" w:after="283"/>
              <w:jc w:val="right"/>
              <w:rPr/>
            </w:pPr>
            <w:r>
              <w:rPr/>
              <w:t>18,394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right"/>
              <w:rPr/>
            </w:pPr>
            <w:r>
              <w:rPr/>
              <w:t>(1,707</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95" w:type="dxa"/>
            <w:tcBorders/>
            <w:tcMar>
              <w:bottom w:w="0" w:type="dxa"/>
            </w:tcMar>
            <w:vAlign w:val="center"/>
          </w:tcPr>
          <w:p>
            <w:pPr>
              <w:pStyle w:val="TableContents"/>
              <w:bidi w:val="0"/>
              <w:spacing w:before="0" w:after="283"/>
              <w:jc w:val="left"/>
              <w:rPr/>
            </w:pPr>
            <w:r>
              <w:rPr/>
              <w:t> </w:t>
            </w:r>
          </w:p>
        </w:tc>
        <w:tc>
          <w:tcPr>
            <w:tcW w:w="814" w:type="dxa"/>
            <w:tcBorders/>
            <w:tcMar>
              <w:bottom w:w="0" w:type="dxa"/>
            </w:tcMar>
            <w:vAlign w:val="center"/>
          </w:tcPr>
          <w:p>
            <w:pPr>
              <w:pStyle w:val="TableContents"/>
              <w:bidi w:val="0"/>
              <w:spacing w:before="0" w:after="283"/>
              <w:jc w:val="right"/>
              <w:rPr/>
            </w:pPr>
            <w:r>
              <w:rPr/>
              <w:t>16,687</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pPr>
            <w:r>
              <w:rPr/>
              <w:t>Developed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bottom w:val="single" w:sz="12" w:space="0" w:color="000000"/>
            </w:tcBorders>
            <w:shd w:fill="CCEEFF" w:val="clear"/>
            <w:vAlign w:val="center"/>
          </w:tcPr>
          <w:p>
            <w:pPr>
              <w:pStyle w:val="TableContents"/>
              <w:bidi w:val="0"/>
              <w:spacing w:before="0" w:after="283"/>
              <w:jc w:val="left"/>
              <w:rPr/>
            </w:pPr>
            <w:r>
              <w:rPr/>
              <w:t> </w:t>
            </w:r>
          </w:p>
        </w:tc>
        <w:tc>
          <w:tcPr>
            <w:tcW w:w="754" w:type="dxa"/>
            <w:tcBorders>
              <w:bottom w:val="single" w:sz="12" w:space="0" w:color="000000"/>
            </w:tcBorders>
            <w:shd w:fill="CCEEFF" w:val="clear"/>
            <w:vAlign w:val="center"/>
          </w:tcPr>
          <w:p>
            <w:pPr>
              <w:pStyle w:val="TableContents"/>
              <w:bidi w:val="0"/>
              <w:spacing w:before="0" w:after="283"/>
              <w:jc w:val="right"/>
              <w:rPr/>
            </w:pPr>
            <w:r>
              <w:rPr/>
              <w:t>5,300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vAlign w:val="center"/>
          </w:tcPr>
          <w:p>
            <w:pPr>
              <w:pStyle w:val="TableContents"/>
              <w:bidi w:val="0"/>
              <w:spacing w:before="0" w:after="283"/>
              <w:jc w:val="right"/>
              <w:rPr/>
            </w:pPr>
            <w:r>
              <w:rPr/>
              <w:t>(1,975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CCEEFF" w:val="clear"/>
            <w:vAlign w:val="center"/>
          </w:tcPr>
          <w:p>
            <w:pPr>
              <w:pStyle w:val="TableContents"/>
              <w:bidi w:val="0"/>
              <w:spacing w:before="0" w:after="283"/>
              <w:jc w:val="left"/>
              <w:rPr/>
            </w:pPr>
            <w:r>
              <w:rPr/>
              <w:t> </w:t>
            </w:r>
          </w:p>
        </w:tc>
        <w:tc>
          <w:tcPr>
            <w:tcW w:w="814" w:type="dxa"/>
            <w:tcBorders>
              <w:bottom w:val="single" w:sz="12" w:space="0" w:color="000000"/>
            </w:tcBorders>
            <w:shd w:fill="CCEEFF" w:val="clear"/>
            <w:vAlign w:val="center"/>
          </w:tcPr>
          <w:p>
            <w:pPr>
              <w:pStyle w:val="TableContents"/>
              <w:bidi w:val="0"/>
              <w:spacing w:before="0" w:after="283"/>
              <w:jc w:val="right"/>
              <w:rPr/>
            </w:pPr>
            <w:r>
              <w:rPr/>
              <w:t>3,325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pPr>
            <w:r>
              <w:rPr/>
              <w:t>Total</w:t>
            </w:r>
          </w:p>
        </w:tc>
        <w:tc>
          <w:tcPr>
            <w:tcW w:w="90" w:type="dxa"/>
            <w:tcBorders/>
            <w:tcMar>
              <w:bottom w:w="0" w:type="dxa"/>
            </w:tcMar>
            <w:vAlign w:val="center"/>
          </w:tcPr>
          <w:p>
            <w:pPr>
              <w:pStyle w:val="TableContents"/>
              <w:bidi w:val="0"/>
              <w:spacing w:before="0" w:after="283"/>
              <w:jc w:val="left"/>
              <w:rPr/>
            </w:pPr>
            <w:r>
              <w:rPr/>
              <w:t> </w:t>
            </w:r>
          </w:p>
        </w:tc>
        <w:tc>
          <w:tcPr>
            <w:tcW w:w="180" w:type="dxa"/>
            <w:tcBorders>
              <w:bottom w:val="double" w:sz="10" w:space="0" w:color="000000"/>
            </w:tcBorders>
            <w:vAlign w:val="center"/>
          </w:tcPr>
          <w:p>
            <w:pPr>
              <w:pStyle w:val="TableContents"/>
              <w:bidi w:val="0"/>
              <w:spacing w:before="0" w:after="283"/>
              <w:jc w:val="left"/>
              <w:rPr/>
            </w:pPr>
            <w:r>
              <w:rPr/>
              <w:t>$</w:t>
            </w:r>
          </w:p>
        </w:tc>
        <w:tc>
          <w:tcPr>
            <w:tcW w:w="754" w:type="dxa"/>
            <w:tcBorders>
              <w:bottom w:val="double" w:sz="10" w:space="0" w:color="000000"/>
            </w:tcBorders>
            <w:vAlign w:val="center"/>
          </w:tcPr>
          <w:p>
            <w:pPr>
              <w:pStyle w:val="TableContents"/>
              <w:bidi w:val="0"/>
              <w:spacing w:before="0" w:after="283"/>
              <w:jc w:val="right"/>
              <w:rPr/>
            </w:pPr>
            <w:r>
              <w:rPr/>
              <w:t>57,694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bottom w:val="double" w:sz="10" w:space="0" w:color="000000"/>
            </w:tcBorders>
            <w:vAlign w:val="center"/>
          </w:tcPr>
          <w:p>
            <w:pPr>
              <w:pStyle w:val="TableContents"/>
              <w:bidi w:val="0"/>
              <w:spacing w:before="0" w:after="283"/>
              <w:jc w:val="left"/>
              <w:rPr/>
            </w:pPr>
            <w:r>
              <w:rPr/>
              <w:t>$</w:t>
            </w:r>
          </w:p>
        </w:tc>
        <w:tc>
          <w:tcPr>
            <w:tcW w:w="1115" w:type="dxa"/>
            <w:tcBorders>
              <w:bottom w:val="double" w:sz="10" w:space="0" w:color="000000"/>
            </w:tcBorders>
            <w:vAlign w:val="center"/>
          </w:tcPr>
          <w:p>
            <w:pPr>
              <w:pStyle w:val="TableContents"/>
              <w:bidi w:val="0"/>
              <w:spacing w:before="0" w:after="283"/>
              <w:jc w:val="right"/>
              <w:rPr/>
            </w:pPr>
            <w:r>
              <w:rPr/>
              <w:t>(6,880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95" w:type="dxa"/>
            <w:tcBorders>
              <w:bottom w:val="double" w:sz="10" w:space="0" w:color="000000"/>
            </w:tcBorders>
            <w:vAlign w:val="center"/>
          </w:tcPr>
          <w:p>
            <w:pPr>
              <w:pStyle w:val="TableContents"/>
              <w:bidi w:val="0"/>
              <w:spacing w:before="0" w:after="283"/>
              <w:jc w:val="left"/>
              <w:rPr/>
            </w:pPr>
            <w:r>
              <w:rPr/>
              <w:t>$</w:t>
            </w:r>
          </w:p>
        </w:tc>
        <w:tc>
          <w:tcPr>
            <w:tcW w:w="814" w:type="dxa"/>
            <w:tcBorders>
              <w:bottom w:val="double" w:sz="10" w:space="0" w:color="000000"/>
            </w:tcBorders>
            <w:vAlign w:val="center"/>
          </w:tcPr>
          <w:p>
            <w:pPr>
              <w:pStyle w:val="TableContents"/>
              <w:bidi w:val="0"/>
              <w:spacing w:before="0" w:after="283"/>
              <w:jc w:val="right"/>
              <w:rPr/>
            </w:pPr>
            <w:r>
              <w:rPr/>
              <w:t>50,814</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710" w:type="dxa"/>
        <w:jc w:val="left"/>
        <w:tblInd w:w="0" w:type="dxa"/>
        <w:tblLayout w:type="fixed"/>
        <w:tblCellMar>
          <w:top w:w="0" w:type="dxa"/>
          <w:left w:w="0" w:type="dxa"/>
          <w:bottom w:w="28" w:type="dxa"/>
          <w:right w:w="0" w:type="dxa"/>
        </w:tblCellMar>
      </w:tblPr>
      <w:tblGrid>
        <w:gridCol w:w="2150"/>
        <w:gridCol w:w="90"/>
        <w:gridCol w:w="187"/>
        <w:gridCol w:w="748"/>
        <w:gridCol w:w="90"/>
        <w:gridCol w:w="90"/>
        <w:gridCol w:w="318"/>
        <w:gridCol w:w="872"/>
        <w:gridCol w:w="110"/>
        <w:gridCol w:w="90"/>
        <w:gridCol w:w="166"/>
        <w:gridCol w:w="664"/>
        <w:gridCol w:w="135"/>
      </w:tblGrid>
      <w:tr>
        <w:trPr/>
        <w:tc>
          <w:tcPr>
            <w:tcW w:w="215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 of December 29, 2024</w:t>
            </w:r>
          </w:p>
        </w:tc>
        <w:tc>
          <w:tcPr>
            <w:tcW w:w="9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Amortization</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Book</w:t>
              <w:br/>
              <w:t>Value</w:t>
            </w:r>
          </w:p>
        </w:tc>
        <w:tc>
          <w:tcPr>
            <w:tcW w:w="135" w:type="dxa"/>
            <w:tcBorders/>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13,260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Developed technology </w:t>
            </w:r>
          </w:p>
        </w:tc>
        <w:tc>
          <w:tcPr>
            <w:tcW w:w="90" w:type="dxa"/>
            <w:tcBorders/>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vAlign w:val="center"/>
          </w:tcPr>
          <w:p>
            <w:pPr>
              <w:pStyle w:val="TableContents"/>
              <w:bidi w:val="0"/>
              <w:spacing w:before="0" w:after="283"/>
              <w:jc w:val="left"/>
              <w:rPr/>
            </w:pPr>
            <w:r>
              <w:rPr/>
              <w:t> </w:t>
            </w:r>
          </w:p>
        </w:tc>
        <w:tc>
          <w:tcPr>
            <w:tcW w:w="748" w:type="dxa"/>
            <w:tcBorders>
              <w:bottom w:val="single" w:sz="12"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8" w:type="dxa"/>
            <w:tcBorders>
              <w:bottom w:val="single" w:sz="12" w:space="0" w:color="000000"/>
            </w:tcBorders>
            <w:vAlign w:val="center"/>
          </w:tcPr>
          <w:p>
            <w:pPr>
              <w:pStyle w:val="TableContents"/>
              <w:bidi w:val="0"/>
              <w:spacing w:before="0" w:after="283"/>
              <w:jc w:val="left"/>
              <w:rPr/>
            </w:pPr>
            <w:r>
              <w:rPr/>
              <w:t> </w:t>
            </w:r>
          </w:p>
        </w:tc>
        <w:tc>
          <w:tcPr>
            <w:tcW w:w="872" w:type="dxa"/>
            <w:tcBorders>
              <w:bottom w:val="single" w:sz="12"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166" w:type="dxa"/>
            <w:tcBorders>
              <w:bottom w:val="single" w:sz="12" w:space="0" w:color="000000"/>
            </w:tcBorders>
            <w:vAlign w:val="center"/>
          </w:tcPr>
          <w:p>
            <w:pPr>
              <w:pStyle w:val="TableContents"/>
              <w:bidi w:val="0"/>
              <w:spacing w:before="0" w:after="283"/>
              <w:jc w:val="left"/>
              <w:rPr/>
            </w:pPr>
            <w:r>
              <w:rPr/>
              <w:t> </w:t>
            </w:r>
          </w:p>
        </w:tc>
        <w:tc>
          <w:tcPr>
            <w:tcW w:w="664" w:type="dxa"/>
            <w:tcBorders>
              <w:bottom w:val="single" w:sz="12"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w:t>
            </w:r>
          </w:p>
        </w:tc>
        <w:tc>
          <w:tcPr>
            <w:tcW w:w="135" w:type="dxa"/>
            <w:tcBorders/>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8"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17,385</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carrying amounts as of December 28, 2025 reflect the final allocation of the purchase consideration in connection with the SunPower Businesses. The gross carrying amounts as of December 29, 2024 were provisional amounts. As a result of the measurement period adjustment to the intangible assets of the SunPower Businesses, amortization expense was $1.4 million lower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$6.2 million and $0.7 million for the fiscal years ended December 28, 2025, and December 29, 2024, respectively. Amortization expense for developed technology is classified in cost of revenues and all other amortization expense is classified in general and administrative expenses on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weighted average remaining life of these intangible assets as of December 28, 2025 and December 29, 2024 (</w:t>
      </w:r>
      <w:r>
        <w:rPr>
          <w:rFonts w:ascii="Times New Roman;Times;Serif" w:hAnsi="Times New Roman;Times;Serif"/>
          <w:b w:val="false"/>
          <w:i/>
          <w:caps w:val="false"/>
          <w:smallCaps w:val="false"/>
          <w:sz w:val="20"/>
        </w:rPr>
        <w:t>in years</w:t>
      </w:r>
      <w:r>
        <w:rPr>
          <w:rFonts w:ascii="Times New Roman;Times;Serif" w:hAnsi="Times New Roman;Times;Serif"/>
          <w:b w:val="false"/>
          <w:i w:val="false"/>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tbl>
      <w:tblPr>
        <w:tblW w:w="4753" w:type="dxa"/>
        <w:jc w:val="left"/>
        <w:tblInd w:w="0" w:type="dxa"/>
        <w:tblLayout w:type="fixed"/>
        <w:tblCellMar>
          <w:top w:w="0" w:type="dxa"/>
          <w:left w:w="0" w:type="dxa"/>
          <w:bottom w:w="0" w:type="dxa"/>
          <w:right w:w="0" w:type="dxa"/>
        </w:tblCellMar>
      </w:tblPr>
      <w:tblGrid>
        <w:gridCol w:w="1940"/>
        <w:gridCol w:w="90"/>
        <w:gridCol w:w="216"/>
        <w:gridCol w:w="988"/>
        <w:gridCol w:w="90"/>
        <w:gridCol w:w="90"/>
        <w:gridCol w:w="274"/>
        <w:gridCol w:w="930"/>
        <w:gridCol w:w="135"/>
      </w:tblGrid>
      <w:tr>
        <w:trPr/>
        <w:tc>
          <w:tcPr>
            <w:tcW w:w="1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3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relationships</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13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remaining amortization expense of intangible assets with finite useful lives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4" w:type="dxa"/>
        <w:jc w:val="left"/>
        <w:tblInd w:w="0" w:type="dxa"/>
        <w:tblLayout w:type="fixed"/>
        <w:tblCellMar>
          <w:top w:w="0" w:type="dxa"/>
          <w:left w:w="0" w:type="dxa"/>
          <w:bottom w:w="28" w:type="dxa"/>
          <w:right w:w="0" w:type="dxa"/>
        </w:tblCellMar>
      </w:tblPr>
      <w:tblGrid>
        <w:gridCol w:w="1220"/>
        <w:gridCol w:w="90"/>
        <w:gridCol w:w="281"/>
        <w:gridCol w:w="1178"/>
        <w:gridCol w:w="135"/>
      </w:tblGrid>
      <w:tr>
        <w:trPr/>
        <w:tc>
          <w:tcPr>
            <w:tcW w:w="1220" w:type="dxa"/>
            <w:tcBorders>
              <w:bottom w:val="single" w:sz="12" w:space="0" w:color="000000"/>
            </w:tcBorders>
            <w:vAlign w:val="center"/>
          </w:tcPr>
          <w:p>
            <w:pPr>
              <w:pStyle w:val="TableContents"/>
              <w:bidi w:val="0"/>
              <w:spacing w:before="0" w:after="283"/>
              <w:jc w:val="left"/>
              <w:rPr>
                <w:b/>
              </w:rPr>
            </w:pPr>
            <w:r>
              <w:rPr>
                <w:b/>
              </w:rPr>
              <w:t>Fiscal Year</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center"/>
              <w:rPr>
                <w:b/>
              </w:rPr>
            </w:pPr>
            <w:r>
              <w:rPr>
                <w:b/>
              </w:rPr>
              <w:t>Estimated</w:t>
              <w:br/>
              <w:t xml:space="preserve">Amortization </w:t>
              <w:br/>
              <w:t>Expense</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jc w:val="left"/>
              <w:rPr/>
            </w:pPr>
            <w:r>
              <w:rPr/>
              <w:t>$</w:t>
            </w:r>
          </w:p>
        </w:tc>
        <w:tc>
          <w:tcPr>
            <w:tcW w:w="1178" w:type="dxa"/>
            <w:tcBorders/>
            <w:shd w:fill="CCEEFF" w:val="clear"/>
            <w:tcMar>
              <w:bottom w:w="0" w:type="dxa"/>
            </w:tcMar>
            <w:vAlign w:val="center"/>
          </w:tcPr>
          <w:p>
            <w:pPr>
              <w:pStyle w:val="TableContents"/>
              <w:bidi w:val="0"/>
              <w:spacing w:before="0" w:after="283"/>
              <w:jc w:val="right"/>
              <w:rPr/>
            </w:pPr>
            <w:r>
              <w:rPr/>
              <w:t>8,501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281" w:type="dxa"/>
            <w:tcBorders/>
            <w:tcMar>
              <w:bottom w:w="0" w:type="dxa"/>
            </w:tcMar>
            <w:vAlign w:val="center"/>
          </w:tcPr>
          <w:p>
            <w:pPr>
              <w:pStyle w:val="TableContents"/>
              <w:bidi w:val="0"/>
              <w:spacing w:before="0" w:after="283"/>
              <w:jc w:val="left"/>
              <w:rPr/>
            </w:pPr>
            <w:r>
              <w:rPr/>
              <w:t> </w:t>
            </w:r>
          </w:p>
        </w:tc>
        <w:tc>
          <w:tcPr>
            <w:tcW w:w="1178" w:type="dxa"/>
            <w:tcBorders/>
            <w:tcMar>
              <w:bottom w:w="0" w:type="dxa"/>
            </w:tcMar>
            <w:vAlign w:val="center"/>
          </w:tcPr>
          <w:p>
            <w:pPr>
              <w:pStyle w:val="TableContents"/>
              <w:bidi w:val="0"/>
              <w:spacing w:before="0" w:after="283"/>
              <w:jc w:val="right"/>
              <w:rPr/>
            </w:pPr>
            <w:r>
              <w:rPr/>
              <w:t>6,234</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right"/>
              <w:rPr/>
            </w:pPr>
            <w:r>
              <w:rPr/>
              <w:t>4,809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281" w:type="dxa"/>
            <w:tcBorders/>
            <w:tcMar>
              <w:bottom w:w="0" w:type="dxa"/>
            </w:tcMar>
            <w:vAlign w:val="center"/>
          </w:tcPr>
          <w:p>
            <w:pPr>
              <w:pStyle w:val="TableContents"/>
              <w:bidi w:val="0"/>
              <w:spacing w:before="0" w:after="283"/>
              <w:jc w:val="left"/>
              <w:rPr/>
            </w:pPr>
            <w:r>
              <w:rPr/>
              <w:t> </w:t>
            </w:r>
          </w:p>
        </w:tc>
        <w:tc>
          <w:tcPr>
            <w:tcW w:w="1178" w:type="dxa"/>
            <w:tcBorders/>
            <w:tcMar>
              <w:bottom w:w="0" w:type="dxa"/>
            </w:tcMar>
            <w:vAlign w:val="center"/>
          </w:tcPr>
          <w:p>
            <w:pPr>
              <w:pStyle w:val="TableContents"/>
              <w:bidi w:val="0"/>
              <w:spacing w:before="0" w:after="283"/>
              <w:jc w:val="right"/>
              <w:rPr/>
            </w:pPr>
            <w:r>
              <w:rPr/>
              <w:t>4,809</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right"/>
              <w:rPr/>
            </w:pPr>
            <w:r>
              <w:rPr/>
              <w:t>4,809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281" w:type="dxa"/>
            <w:tcBorders>
              <w:bottom w:val="single" w:sz="12" w:space="0" w:color="000000"/>
            </w:tcBorders>
            <w:vAlign w:val="center"/>
          </w:tcPr>
          <w:p>
            <w:pPr>
              <w:pStyle w:val="TableContents"/>
              <w:bidi w:val="0"/>
              <w:spacing w:before="0" w:after="283"/>
              <w:jc w:val="left"/>
              <w:rPr/>
            </w:pPr>
            <w:r>
              <w:rPr/>
              <w:t> </w:t>
            </w:r>
          </w:p>
        </w:tc>
        <w:tc>
          <w:tcPr>
            <w:tcW w:w="1178" w:type="dxa"/>
            <w:tcBorders>
              <w:bottom w:val="single" w:sz="12" w:space="0" w:color="000000"/>
            </w:tcBorders>
            <w:vAlign w:val="center"/>
          </w:tcPr>
          <w:p>
            <w:pPr>
              <w:pStyle w:val="TableContents"/>
              <w:bidi w:val="0"/>
              <w:spacing w:before="0" w:after="283"/>
              <w:jc w:val="right"/>
              <w:rPr/>
            </w:pPr>
            <w:r>
              <w:rPr/>
              <w:t>21,652</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1" w:type="dxa"/>
            <w:tcBorders>
              <w:bottom w:val="double" w:sz="10" w:space="0" w:color="000000"/>
            </w:tcBorders>
            <w:shd w:fill="CCEEFF" w:val="clear"/>
            <w:vAlign w:val="center"/>
          </w:tcPr>
          <w:p>
            <w:pPr>
              <w:pStyle w:val="TableContents"/>
              <w:bidi w:val="0"/>
              <w:spacing w:before="0" w:after="283"/>
              <w:jc w:val="left"/>
              <w:rPr/>
            </w:pPr>
            <w:r>
              <w:rPr/>
              <w:t>$</w:t>
            </w:r>
          </w:p>
        </w:tc>
        <w:tc>
          <w:tcPr>
            <w:tcW w:w="1178" w:type="dxa"/>
            <w:tcBorders>
              <w:bottom w:val="double" w:sz="10" w:space="0" w:color="000000"/>
            </w:tcBorders>
            <w:shd w:fill="CCEEFF" w:val="clear"/>
            <w:vAlign w:val="center"/>
          </w:tcPr>
          <w:p>
            <w:pPr>
              <w:pStyle w:val="TableContents"/>
              <w:bidi w:val="0"/>
              <w:spacing w:before="0" w:after="283"/>
              <w:jc w:val="right"/>
              <w:rPr/>
            </w:pPr>
            <w:r>
              <w:rPr/>
              <w:t>50,814</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(now SunPower, formerly Complete Solaria, Inc. following the closing of the Business Combination) entered into separate Forward Purchase Agreements (“FPAs”) with (i) Meteora Special Opportunity Fund I, LP, Meteora Capital Partners, LP, and Meteora Select Trading Opportunities Master, LP (collectively, “Meteora”), (ii) Polar Multi-Strategy Master Fund (“Polar”), and (iii) Diametric True Alpha Market Neutral Master Fund, LP, Diametric True Alpha Enhanced Market Neutral Master Fund, LP, and Pinebridge Partners Master Fund, LP (collectively, “Sandia,” and together with Meteora and Polar, the “FPA Investors”). Under the FPAs, the Company agreed to purchase, subject to certain terms and limitations, up to 5,618,488 shares of common stock held by the FPA Investors on a date 24 months after execution of the FPAs (the “Maturity Date”). The FPA Investors agreed not to redeem their Class A ordinary shares in connection with the Business Combination, and the FPAs originally provided the FPA Investors with a minimum sale price of $5.00 per share at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entered into amendments with each FPA Investor reducing the reset floor price from $5.00 to $3.00 and permitting the Company to raise up to $10.0 million of equity from existing stockholders without triggering anti-dilution protections, subject to specified per-share pricing requirements for insider investments. On May 7 and 8, 2024, the Company executed additional amendments with Sandia and Polar reducing the reset price to $1.00 per share and modifying the volume-weighted average price (“VWAP”) trigger event to occur if, after December 31, 2024, the Company’s VWAP is below $1.00 for 20 out of 30 consecutive trading days. On June 14, 2024, the Company and Sandia executed an additional amendment confirming a $1.00 reset price and the revised VWAP trigger and providing that Sandia will automatically receive any more favorable terms provided to Polar or Meteora, including with respect to the shares sold upon execution of its FPA. On July 17, 2024, the Company and Polar executed an amendment applying the “Most Favored Nation” provision of the Polar FPA to all of its shares covered by that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15 and August 1, 2025, the Company entered into further amendments with Meteora, Sandia, and Polar that extended the valuation date applicable to the FPAs to the earliest of (i) July 17, 2026, (ii) a date specified by Meteora or Sandia, as applicable, or (iii) 90 days after Company notice if the Company’s VWAP is below the applicable reset price for 20 out of 30 consecutive trading days occurring at least six months after the closing of the Business Combination, provided that a registration statement is effective throughout both the measurement and notice periods. These amendments also revised the settlement provisions to clarify that the Settlement Amount is used solely as a calculation mechanism to determine any liability owed by the Company to an FPA Investor. If the Settlement Amount Adjustment exceeds the Settlement Amount, the excess will be paid to the FPA Investor in cash or shares, at the Company’s election, and the FPA Investors are not required to remit the Settlement Amount or return any prepayment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continue to hold some or all of the FPA shares on the Maturity Date and the trading price of the Company’s common stock is below the applicable FPA sale price, the Company expects the FPA Investors to exercise their repurchase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FPAs, the Company has recorded a liability on its consolidated balance sheets of $4.0 million and $3.5 million as of December 28, 2025 and December 29, 2024, respectively. The Company concluded that $1.3 million of the liability as of December 29, 2024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SAFE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entered into a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(“First SAFE Amendment”) that converted the First SAFE investment of $1.5 million into 4.2 million shares of the Company’s common stock based on a conversion price of $0.36 per share, defined in the First SAFE Amendment as the product of (i) $0.45, the closing price of the Company’s common stock on April 19, 2024, multiplied by (ii) 80%. Upon conversion to shares of the Company’s common stock, the Company recognized $1.9 million of Additional paid-in capital, and a loss on conversion of the First SAFE of $0.4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and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(“Second SAFE Amendment”) that converted the Second SAFE investment of $3.5 million into 9.7 million shares of the Company’s common stock based on a conversion price of $0.36 per share, defined in the Second SAFE Amendment as the product of (i) $0.45, the closing price of the Company’s common stock on April 19, 2024, multiplied by (ii) 80%. Upon conversion to shares of the Company’s common stock, the Company recognized $4.4 million of Additional paid-in capital, and a loss on conversion of the Second SAFE of $0.9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$0.5 million and $0.4 million as of December 28, 2025 and December 29, 2024, respectively. Refer to </w:t>
      </w:r>
      <w:r>
        <w:rPr>
          <w:rFonts w:ascii="Times New Roman;Times;Serif" w:hAnsi="Times New Roman;Times;Serif"/>
          <w:b/>
          <w:i w:val="false"/>
          <w:caps w:val="false"/>
          <w:smallCaps w:val="false"/>
          <w:sz w:val="20"/>
        </w:rPr>
        <w:t>Note 5 – Fair Value Measurements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09"/>
        <w:gridCol w:w="90"/>
        <w:gridCol w:w="242"/>
        <w:gridCol w:w="1185"/>
        <w:gridCol w:w="125"/>
        <w:gridCol w:w="90"/>
        <w:gridCol w:w="242"/>
        <w:gridCol w:w="1185"/>
        <w:gridCol w:w="137"/>
      </w:tblGrid>
      <w:tr>
        <w:trPr/>
        <w:tc>
          <w:tcPr>
            <w:tcW w:w="690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7" w:type="dxa"/>
            <w:tcBorders/>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center"/>
              <w:rPr>
                <w:b/>
              </w:rPr>
            </w:pPr>
            <w:r>
              <w:rPr>
                <w:b/>
              </w:rPr>
              <w:t>December 29,</w:t>
            </w:r>
          </w:p>
        </w:tc>
        <w:tc>
          <w:tcPr>
            <w:tcW w:w="137" w:type="dxa"/>
            <w:tcBorders/>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7" w:type="dxa"/>
            <w:tcBorders/>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b/>
              </w:rPr>
            </w:pPr>
            <w:r>
              <w:rPr>
                <w:b/>
              </w:rPr>
              <w:t>Short term:</w:t>
            </w:r>
          </w:p>
        </w:tc>
        <w:tc>
          <w:tcPr>
            <w:tcW w:w="9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Seller Note – related party</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20,000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Loan with related party</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1,500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1,500</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Total short-term debt with related parties</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21,500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1,500</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b/>
              </w:rPr>
            </w:pPr>
            <w:r>
              <w:rPr>
                <w:b/>
              </w:rPr>
              <w:t>Long-term:</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b/>
                <w:i/>
              </w:rPr>
            </w:pPr>
            <w:r>
              <w:rPr>
                <w:b/>
                <w:i/>
              </w:rPr>
              <w:t>12.0% senior unsecured convertible notes and related derivative liabilities</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July 2024 Notes</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32,969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17,965</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July 2024 Notes – related parties</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7,631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24,632</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Subtotal July 2024 Notes</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40,600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42,597</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July 2025 Note – related party</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1,443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July 2024 Notes derivative liability</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19,604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13,563</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July 2024 Notes derivative liability – related party</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12,615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21,127</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Subtotal July 2024 Notes derivative liability</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32,219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34,690</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July 2025 Note derivative liability – related party</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3,246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November 2025 Note derivative liability – related party</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1,488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Total 12.0% senior unsecured convertible notes and derivative liabilities</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79,487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77,287</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b/>
                <w:i/>
              </w:rPr>
            </w:pPr>
            <w:r>
              <w:rPr>
                <w:b/>
                <w:i/>
              </w:rPr>
              <w:t>7.0% senior unsecured convertible notes and derivative liabilities</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September 2024 Notes</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14,332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5,636</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September 2024 Notes – related parties</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2,346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476</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Subtotal September 2024 Notes</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16,678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6,112</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September 2025 Notes</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3,354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September 2024 Notes derivative liability</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37,930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55,474</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September 2024 Notes derivative liability – related parties</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5,870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6,958</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Subtotal September 2024 Notes derivative liability</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43,800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62,432</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September 2025 Notes derivative liability</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14,756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Total 7.0% senior unsecured convertible notes and derivative liabilities</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78,588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68,544</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Total notes payable and derivative liabilities</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158,075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145,831</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Less current portion</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Total senior unsecured convertible notes payable and derivative liabilities, net of current portion</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Balance sheet classification</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Current liabilities</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Notes payable, current portion</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2,786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Long-term liabilities</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Notes payable and derivative liabilities, net of current portion</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120,159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92,638</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Notes payable and derivative liabilities with related parties</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35,130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53,193</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$46.0 million of senior unsecured convertible notes (“July 2024 Notes”) consisting of $28.0 million in cash proceeds and $18.0 million arising from an exchange of debt (“Debt Exchange”) as described below under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Cash proceeds of $28.0 million included $18.0 million from the Rodgers Revocable Trust, a related party. The $18.0 million exchange of debt included $10.0 million issued to Carlyle. Carlyle was deemed to be a related party in the fiscal year ended December 29, 2024. Carlyle was no longer deemed a related party to the Company during the fiscal year ended December 28, 2025. Refer to </w:t>
      </w:r>
      <w:r>
        <w:rPr>
          <w:rFonts w:ascii="Times New Roman;Times;Serif" w:hAnsi="Times New Roman;Times;Serif"/>
          <w:b/>
          <w:i w:val="false"/>
          <w:caps w:val="false"/>
          <w:smallCaps w:val="false"/>
          <w:sz w:val="20"/>
        </w:rPr>
        <w:t xml:space="preserve">Note 2 –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 Of this amount $17.5 million was recognized as a debt discount to the $28.0 million cash proceeds and $11.2 million associated with the Debt Exchange was recognized as an expense in the calculation of the Company’s “Gain on the Troubled Debt Restructuring” on the Company’s consolidated statement of operations and comprehensive loss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Debt Exchange, the Company issued the Cantor Warrant, as described in </w:t>
      </w:r>
      <w:r>
        <w:rPr>
          <w:rFonts w:ascii="Times New Roman;Times;Serif" w:hAnsi="Times New Roman;Times;Serif"/>
          <w:b/>
          <w:i w:val="false"/>
          <w:caps w:val="false"/>
          <w:smallCaps w:val="false"/>
          <w:sz w:val="20"/>
        </w:rPr>
        <w:t>Note 14 – Common Stock and Common Stock Warrants</w:t>
      </w:r>
      <w:r>
        <w:rPr>
          <w:rFonts w:ascii="Times New Roman;Times;Serif" w:hAnsi="Times New Roman;Times;Serif"/>
          <w:b w:val="false"/>
          <w:i w:val="false"/>
          <w:caps w:val="false"/>
          <w:smallCaps w:val="false"/>
          <w:sz w:val="20"/>
        </w:rPr>
        <w:t xml:space="preserve">, for shares of the Company’s common stock. At issuance, the Cantor Warrant had a fair value of $1.4 million, of which $0.9 million was recorded as a debt discount, and $0.5 million was included in the calculation of the Company’s “Gain on the Troubled Debt Restructuring” on the Company’s consolidated statement of operations and comprehensive loss in the year ended December 29, 2024, as discussed below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December 28, 2025. Coupon interest, default interest and failure to file interest on the $18.0 million Debt Exchange were capitalized as part of the July 2024 Notes. Accordingly, the effective interest rate on the $18.0 million arising from the Debt Exchange is nil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financial covenants. The July 2024 Notes are not in default. However, due to the delayed filing of its Form 10-K for the year ended December 29, 2024, the Company was required to accrue incremental interest of 0.5% beginning April 16, 2025 through April 30, 2025, the date upon which the Form 10-K was filed. The interest accrued was not material. Due to the Company’s delayed filing of its Form 10Q for the third quarter ended September 28, 2025 (“Q3 2025 Form 10Q”), the Company was required to accrue incremental interest of 0.5% beginning November 17, 2025, through December 19, 2025, the date upon which the Q3 2025 Form 10Q was filed. The interest accrued was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158" w:type="dxa"/>
        <w:jc w:val="left"/>
        <w:tblInd w:w="0" w:type="dxa"/>
        <w:tblLayout w:type="fixed"/>
        <w:tblCellMar>
          <w:top w:w="0" w:type="dxa"/>
          <w:left w:w="0" w:type="dxa"/>
          <w:bottom w:w="0" w:type="dxa"/>
          <w:right w:w="0" w:type="dxa"/>
        </w:tblCellMar>
      </w:tblPr>
      <w:tblGrid>
        <w:gridCol w:w="3305"/>
        <w:gridCol w:w="90"/>
        <w:gridCol w:w="223"/>
        <w:gridCol w:w="981"/>
        <w:gridCol w:w="110"/>
        <w:gridCol w:w="90"/>
        <w:gridCol w:w="223"/>
        <w:gridCol w:w="981"/>
        <w:gridCol w:w="155"/>
      </w:tblGrid>
      <w:tr>
        <w:trPr/>
        <w:tc>
          <w:tcPr>
            <w:tcW w:w="33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5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 principal amount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59,587</w:t>
            </w:r>
          </w:p>
        </w:tc>
        <w:tc>
          <w:tcPr>
            <w:tcW w:w="155"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(16,201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2024 Notes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42,597</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$3.0 million and $4.6 million, respectively, with coupon interest expense of $2.2 million and $2.8 million, respectively, and debt discount and issuance costs of $0.8 million and $1.8 million, respectively. Of the coupon interest expense, related party interest expense was $1.5 million and $1.7 million in the fiscal years ended December 28, 2025 and December 29, 2024, respectively. Related party amortization expense was $0.7 million and $1.1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entered into an Exchange Agreement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with Carlyle and Kline Hill (as defined below) resulting in the Debt Exchange and providing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8"/>
        <w:gridCol w:w="9912"/>
      </w:tblGrid>
      <w:tr>
        <w:trPr/>
        <w:tc>
          <w:tcPr>
            <w:tcW w:w="10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105"/>
        <w:gridCol w:w="290"/>
        <w:gridCol w:w="8570"/>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$10.0 million to Carlyle as part of the July 2024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97"/>
        <w:gridCol w:w="9803"/>
      </w:tblGrid>
      <w:tr>
        <w:trPr/>
        <w:tc>
          <w:tcPr>
            <w:tcW w:w="10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previously issued warrant to Carlyle (“Carlyle Warrant”) for shares of the Company’s common stock was fixed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Troubled Debt Restructuring” on the Company’s consolidated statement of operations and comprehensive loss in the year ended December 29, 2024. The modification of the Carlyle Warrant also resulted in the reclassification of the Carlyle Warrant from liability to equity classification, resulting in an increase to additional paid-in capital of $7.3 million and a reduction in the warrant liability of $7.3 million. Carlyle exercised the warrant in full in the year ended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87"/>
        <w:gridCol w:w="9813"/>
      </w:tblGrid>
      <w:tr>
        <w:trPr/>
        <w:tc>
          <w:tcPr>
            <w:tcW w:w="10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2018 bridge notes, a portion of a revolving loan (“Revolving Loan”) and a secured credit facility (“Secured Credit Facility”), and the satisfaction of all obligations owed to Kline Hill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105"/>
        <w:gridCol w:w="275"/>
        <w:gridCol w:w="902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$8.0 million to Kline Hill as part of the July 2024 Notes; and</w:t>
            </w:r>
          </w:p>
        </w:tc>
      </w:tr>
    </w:tbl>
    <w:p>
      <w:pPr>
        <w:pStyle w:val="TextBody"/>
        <w:bidi w:val="0"/>
        <w:spacing w:before="0" w:after="0"/>
        <w:ind w:left="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05"/>
        <w:gridCol w:w="335"/>
        <w:gridCol w:w="6530"/>
      </w:tblGrid>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1,500,000 shares of the Company’s common stock to Kline Hill.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date of the cancellation under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Company’s indebtedness to CS Solis was $37.2 million and the indebtedness to Kline Hill was comprised of 2018 bridge notes of $11.7 million, a revolving loan balance of $3.9 million, and the Secured Credit Facility balance of $13.1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concluded that the transactions entered into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represented a troubled debt restructuring as the Company was experiencing financial difficulty, and the terms of the July 2024 Notes resulted in a concession to the Company. As the carrying amount of the debt exceeded the future undiscounted cash payments under the new terms on the date of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recorded a gain on the troubled debt restructuring of $22.3 million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year ended December 29, 2024, 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recognized (i) accretion of the liability of the debt in CS Solis as related party interest expense of $3.9 million, (ii) $0.7 million of interest on the 2018 bridge notes, and (iii) $1.0 million of interest on the Secured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894" w:type="dxa"/>
        <w:jc w:val="left"/>
        <w:tblInd w:w="0" w:type="dxa"/>
        <w:tblLayout w:type="fixed"/>
        <w:tblCellMar>
          <w:top w:w="0" w:type="dxa"/>
          <w:left w:w="0" w:type="dxa"/>
          <w:bottom w:w="0" w:type="dxa"/>
          <w:right w:w="0" w:type="dxa"/>
        </w:tblCellMar>
      </w:tblPr>
      <w:tblGrid>
        <w:gridCol w:w="4445"/>
        <w:gridCol w:w="90"/>
        <w:gridCol w:w="255"/>
        <w:gridCol w:w="949"/>
        <w:gridCol w:w="155"/>
      </w:tblGrid>
      <w:tr>
        <w:trPr/>
        <w:tc>
          <w:tcPr>
            <w:tcW w:w="44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5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5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5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2025 Note – related party</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15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2025 Note – related party</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$0.4 million with coupon interest expense of $0.3 million and debt discount and issuance costs of $0.1 million, all of which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89" w:type="dxa"/>
        <w:jc w:val="left"/>
        <w:tblInd w:w="0" w:type="dxa"/>
        <w:tblLayout w:type="fixed"/>
        <w:tblCellMar>
          <w:top w:w="0" w:type="dxa"/>
          <w:left w:w="0" w:type="dxa"/>
          <w:bottom w:w="0" w:type="dxa"/>
          <w:right w:w="0" w:type="dxa"/>
        </w:tblCellMar>
      </w:tblPr>
      <w:tblGrid>
        <w:gridCol w:w="4940"/>
        <w:gridCol w:w="90"/>
        <w:gridCol w:w="255"/>
        <w:gridCol w:w="949"/>
        <w:gridCol w:w="155"/>
      </w:tblGrid>
      <w:tr>
        <w:trPr/>
        <w:tc>
          <w:tcPr>
            <w:tcW w:w="4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5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5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5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15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November 2025 Note – related party</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less than $0.1 million with each of coupon interest and amortization of debt discount and issuance costs being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are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Refer to </w:t>
      </w:r>
      <w:r>
        <w:rPr>
          <w:rFonts w:ascii="Times New Roman;Times;Serif" w:hAnsi="Times New Roman;Times;Serif"/>
          <w:b/>
          <w:i w:val="false"/>
          <w:caps w:val="false"/>
          <w:smallCaps w:val="false"/>
          <w:sz w:val="20"/>
        </w:rPr>
        <w:t xml:space="preserve">Note 2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for further detail. The conversion option of this first tranche was required to be bifurcated as a derivative, and the Company recorded a derivative liability of $91.5 million on the issuance date. In connection with the derivative liability, the Company recorded a debt discount of $66.8 million at the date of issuance. As the fair value of the derivative liability exceeded the proceeds received, the remaining portion of the derivative liability of $24.7 million was recorded as a financing loss, of which $3.0 million was with a related party. At the date of issuance, the $66.8 million of notes were issued with a debt discount equal to the entire principal amount, resulting in an initial net carrying amount of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3815"/>
        <w:gridCol w:w="90"/>
        <w:gridCol w:w="223"/>
        <w:gridCol w:w="981"/>
        <w:gridCol w:w="110"/>
        <w:gridCol w:w="90"/>
        <w:gridCol w:w="223"/>
        <w:gridCol w:w="981"/>
        <w:gridCol w:w="155"/>
      </w:tblGrid>
      <w:tr>
        <w:trPr/>
        <w:tc>
          <w:tcPr>
            <w:tcW w:w="38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5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65,293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155"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(48,615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September 2024 Notes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16,678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$19.6 million and $5.4 million with coupon interest expense of $5.5 million and $1.4 million, respectively, and debt discount and issuance costs of $14.1 million and $4.0 million, respectively. Of the coupon interest expense, related party interest expense was $0.6 million and $0.2 million in the fiscal years ended December 28, 2025 and December 29, 2024, respectively. Related party amortization expense was $1.8 million and $0.5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$2.2 million debt discount and $1.4 million of debt issuance costs in connection with the September 2025 Notes. The debt issuance costs include an estimate of the value of a warrant that will be issued in the subsequent fiscal year to the entity that arranged the financing. The effective interest rate on the September 2025 Notes approximated 67% as of December 28, 2025.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194" w:type="dxa"/>
        <w:jc w:val="left"/>
        <w:tblInd w:w="0" w:type="dxa"/>
        <w:tblLayout w:type="fixed"/>
        <w:tblCellMar>
          <w:top w:w="0" w:type="dxa"/>
          <w:left w:w="0" w:type="dxa"/>
          <w:bottom w:w="0" w:type="dxa"/>
          <w:right w:w="0" w:type="dxa"/>
        </w:tblCellMar>
      </w:tblPr>
      <w:tblGrid>
        <w:gridCol w:w="4490"/>
        <w:gridCol w:w="90"/>
        <w:gridCol w:w="256"/>
        <w:gridCol w:w="1188"/>
        <w:gridCol w:w="170"/>
      </w:tblGrid>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pPr>
            <w:r>
              <w:rPr/>
              <w:t>September 2025 Notes</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22,000</w:t>
            </w:r>
          </w:p>
        </w:tc>
        <w:tc>
          <w:tcPr>
            <w:tcW w:w="17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pPr>
            <w:r>
              <w:rPr/>
              <w:t>Less Unamortized debt discount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(18,646</w:t>
            </w:r>
          </w:p>
        </w:tc>
        <w:tc>
          <w:tcPr>
            <w:tcW w:w="170" w:type="dxa"/>
            <w:tcBorders/>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both"/>
              <w:rPr/>
            </w:pPr>
            <w:r>
              <w:rPr/>
              <w:t>Net carrying amount of September 2025 Notes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3,354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$0.7 million with coupon interest of $0.4 million and amortization of debt discount and issuance costs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the sellers of Sunder (“Seller Note”) in connection with the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 Interest expense recognized on the Seller Note was $0.4 million in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the Company had a Revolving Loan due to Kline Hill and Rodgers Revocable Trust which is a related party. The Revolving Loan arrangement was entered into in 2020 and in 2023, the Rodgers Revocable Trust became a party to the Revolving Loan. The Revolving Loan has an annual interest rate equal to the greater of 7.75% or Prime plus 4.5%. In connection with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in July 2024, $3.5 million of the Revolving Loan, plus accrued interest owed to Kline Hill, was exchanged for a portion of the July 2024 Notes. The remaining principal balance of $1.5 million is payable to the Rodgers Revocable Trust and remains outstanding as of December 28, 2025.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interest expense recognized on this obligation in the fiscal years ended December 28, 2025 and December 29, 2024 was $0.2 million and $0.5 million, respectively. Of the interest expense recognized, related party interest expense was $0.2 million and $0.2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payments due in the next five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interest in connection with the exchanged notes, is as follows:</w:t>
      </w:r>
    </w:p>
    <w:p>
      <w:pPr>
        <w:pStyle w:val="TextBody"/>
        <w:bidi w:val="0"/>
        <w:spacing w:before="0" w:after="0"/>
        <w:ind w:left="0" w:right="0" w:hanging="0"/>
        <w:jc w:val="left"/>
        <w:rPr>
          <w:caps w:val="false"/>
          <w:smallCaps w:val="false"/>
        </w:rPr>
      </w:pPr>
      <w:r>
        <w:rPr>
          <w:caps w:val="false"/>
          <w:smallCaps w:val="false"/>
        </w:rPr>
        <w:t> </w:t>
      </w:r>
    </w:p>
    <w:tbl>
      <w:tblPr>
        <w:tblW w:w="3399" w:type="dxa"/>
        <w:jc w:val="left"/>
        <w:tblInd w:w="0" w:type="dxa"/>
        <w:tblLayout w:type="fixed"/>
        <w:tblCellMar>
          <w:top w:w="0" w:type="dxa"/>
          <w:left w:w="0" w:type="dxa"/>
          <w:bottom w:w="0" w:type="dxa"/>
          <w:right w:w="0" w:type="dxa"/>
        </w:tblCellMar>
      </w:tblPr>
      <w:tblGrid>
        <w:gridCol w:w="1550"/>
        <w:gridCol w:w="90"/>
        <w:gridCol w:w="286"/>
        <w:gridCol w:w="1338"/>
        <w:gridCol w:w="135"/>
      </w:tblGrid>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payment</w:t>
            </w:r>
          </w:p>
        </w:tc>
        <w:tc>
          <w:tcPr>
            <w:tcW w:w="13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90"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21,500</w:t>
            </w:r>
          </w:p>
        </w:tc>
        <w:tc>
          <w:tcPr>
            <w:tcW w:w="13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90" w:type="dxa"/>
            <w:tcBorders/>
            <w:vAlign w:val="center"/>
          </w:tcPr>
          <w:p>
            <w:pPr>
              <w:pStyle w:val="TableContents"/>
              <w:bidi w:val="0"/>
              <w:spacing w:before="0" w:after="283"/>
              <w:jc w:val="left"/>
              <w:rPr/>
            </w:pPr>
            <w:r>
              <w:rPr/>
              <w:t> </w:t>
            </w:r>
          </w:p>
        </w:tc>
        <w:tc>
          <w:tcPr>
            <w:tcW w:w="2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143,266</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vAlign w:val="center"/>
          </w:tcPr>
          <w:p>
            <w:pPr>
              <w:pStyle w:val="TableContents"/>
              <w:bidi w:val="0"/>
              <w:spacing w:before="0" w:after="283"/>
              <w:jc w:val="left"/>
              <w:rPr/>
            </w:pPr>
            <w:r>
              <w:rPr/>
              <w:t> </w:t>
            </w:r>
          </w:p>
        </w:tc>
        <w:tc>
          <w:tcPr>
            <w:tcW w:w="2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164,766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9819" w:type="dxa"/>
        <w:jc w:val="left"/>
        <w:tblInd w:w="0" w:type="dxa"/>
        <w:tblLayout w:type="fixed"/>
        <w:tblCellMar>
          <w:top w:w="0" w:type="dxa"/>
          <w:left w:w="0" w:type="dxa"/>
          <w:bottom w:w="0" w:type="dxa"/>
          <w:right w:w="0" w:type="dxa"/>
        </w:tblCellMar>
      </w:tblPr>
      <w:tblGrid>
        <w:gridCol w:w="6965"/>
        <w:gridCol w:w="90"/>
        <w:gridCol w:w="241"/>
        <w:gridCol w:w="964"/>
        <w:gridCol w:w="110"/>
        <w:gridCol w:w="90"/>
        <w:gridCol w:w="223"/>
        <w:gridCol w:w="981"/>
        <w:gridCol w:w="155"/>
      </w:tblGrid>
      <w:tr>
        <w:trPr/>
        <w:tc>
          <w:tcPr>
            <w:tcW w:w="6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0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155"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33,986</w:t>
            </w:r>
          </w:p>
        </w:tc>
        <w:tc>
          <w:tcPr>
            <w:tcW w:w="15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FACT public, private placement and working capital warrants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 with related party</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 with related party</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15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15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Loss on issuance of derivative liabilities </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Carlyle Warrants with related party</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2,869</w:t>
            </w:r>
          </w:p>
        </w:tc>
        <w:tc>
          <w:tcPr>
            <w:tcW w:w="15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redeemable convertible preferred stock warrant liability</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1,310</w:t>
            </w:r>
          </w:p>
        </w:tc>
        <w:tc>
          <w:tcPr>
            <w:tcW w:w="15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financing costs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(3,769</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net </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non-operating income, net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9,347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7,932</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$3.5 million and $0.3 million on the change in the fair value of derivative liabilities with related parties in the fiscal years ended December 28, 2025 and December 29, 2024, respectively.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290"/>
        <w:gridCol w:w="953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each of the years ended December 28, 2025 and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loss of $3.0 million on the issuance of a derivative liability with a related party in the fiscal year ended December 29,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290"/>
        <w:gridCol w:w="85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non-cash income with related party of $0.1 million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facilities under non-cancelable operating lease agreements. The Company leases vehicles under finance lease agreements. Operating and financing lease activity was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8813" w:type="dxa"/>
        <w:jc w:val="left"/>
        <w:tblInd w:w="0" w:type="dxa"/>
        <w:tblLayout w:type="fixed"/>
        <w:tblCellMar>
          <w:top w:w="0" w:type="dxa"/>
          <w:left w:w="0" w:type="dxa"/>
          <w:bottom w:w="0" w:type="dxa"/>
          <w:right w:w="0" w:type="dxa"/>
        </w:tblCellMar>
      </w:tblPr>
      <w:tblGrid>
        <w:gridCol w:w="5750"/>
        <w:gridCol w:w="90"/>
        <w:gridCol w:w="278"/>
        <w:gridCol w:w="926"/>
        <w:gridCol w:w="215"/>
        <w:gridCol w:w="90"/>
        <w:gridCol w:w="278"/>
        <w:gridCol w:w="926"/>
        <w:gridCol w:w="260"/>
      </w:tblGrid>
      <w:tr>
        <w:trPr/>
        <w:tc>
          <w:tcPr>
            <w:tcW w:w="5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26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6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cost</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cost:</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right-of-use assets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2,008</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lease liabilities</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cost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2,221</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cost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cost</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cost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1,633</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information</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1,886</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1,039</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discount rate:</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minimum lease payments under non-cancellable leases are as follows as of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2480"/>
        <w:gridCol w:w="90"/>
        <w:gridCol w:w="167"/>
        <w:gridCol w:w="558"/>
        <w:gridCol w:w="110"/>
        <w:gridCol w:w="90"/>
        <w:gridCol w:w="212"/>
        <w:gridCol w:w="708"/>
        <w:gridCol w:w="155"/>
      </w:tblGrid>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Finance</w:t>
              <w:br/>
              <w:t>Leases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Operating</w:t>
              <w:br/>
              <w:t>Leases</w:t>
            </w:r>
          </w:p>
        </w:tc>
        <w:tc>
          <w:tcPr>
            <w:tcW w:w="15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2,330</w:t>
            </w:r>
          </w:p>
        </w:tc>
        <w:tc>
          <w:tcPr>
            <w:tcW w:w="15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1,642</w:t>
            </w:r>
          </w:p>
        </w:tc>
        <w:tc>
          <w:tcPr>
            <w:tcW w:w="15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c>
          <w:tcPr>
            <w:tcW w:w="15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15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 and thereafter</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w:t>
            </w:r>
          </w:p>
        </w:tc>
        <w:tc>
          <w:tcPr>
            <w:tcW w:w="15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undiscounted liabilities</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5,810</w:t>
            </w:r>
          </w:p>
        </w:tc>
        <w:tc>
          <w:tcPr>
            <w:tcW w:w="15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imputed interest</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liabilities</w:t>
            </w:r>
          </w:p>
        </w:tc>
        <w:tc>
          <w:tcPr>
            <w:tcW w:w="90" w:type="dxa"/>
            <w:tcBorders/>
            <w:vAlign w:val="center"/>
          </w:tcPr>
          <w:p>
            <w:pPr>
              <w:pStyle w:val="TableContents"/>
              <w:bidi w:val="0"/>
              <w:spacing w:before="0" w:after="283"/>
              <w:jc w:val="left"/>
              <w:rPr/>
            </w:pPr>
            <w:r>
              <w:rPr/>
              <w:t> </w:t>
            </w:r>
          </w:p>
        </w:tc>
        <w:tc>
          <w:tcPr>
            <w:tcW w:w="167"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consolidated balance sheet includes the following lease liabilities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493" w:type="dxa"/>
        <w:jc w:val="left"/>
        <w:tblInd w:w="0" w:type="dxa"/>
        <w:tblLayout w:type="fixed"/>
        <w:tblCellMar>
          <w:top w:w="0" w:type="dxa"/>
          <w:left w:w="0" w:type="dxa"/>
          <w:bottom w:w="0" w:type="dxa"/>
          <w:right w:w="0" w:type="dxa"/>
        </w:tblCellMar>
      </w:tblPr>
      <w:tblGrid>
        <w:gridCol w:w="6680"/>
        <w:gridCol w:w="90"/>
        <w:gridCol w:w="278"/>
        <w:gridCol w:w="926"/>
        <w:gridCol w:w="90"/>
        <w:gridCol w:w="90"/>
        <w:gridCol w:w="278"/>
        <w:gridCol w:w="926"/>
        <w:gridCol w:w="135"/>
      </w:tblGrid>
      <w:tr>
        <w:trPr/>
        <w:tc>
          <w:tcPr>
            <w:tcW w:w="6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35"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35"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35"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current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1,412</w:t>
            </w:r>
          </w:p>
        </w:tc>
        <w:tc>
          <w:tcPr>
            <w:tcW w:w="135"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 (Other long-term liabilities)</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2,263</w:t>
            </w:r>
          </w:p>
        </w:tc>
        <w:tc>
          <w:tcPr>
            <w:tcW w:w="135"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3,675</w:t>
            </w:r>
          </w:p>
        </w:tc>
        <w:tc>
          <w:tcPr>
            <w:tcW w:w="135"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2,053</w:t>
            </w:r>
          </w:p>
        </w:tc>
        <w:tc>
          <w:tcPr>
            <w:tcW w:w="135"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 noncurrent (Other long-term liabilities)</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1,907</w:t>
            </w:r>
          </w:p>
        </w:tc>
        <w:tc>
          <w:tcPr>
            <w:tcW w:w="135"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893" w:type="dxa"/>
        <w:jc w:val="left"/>
        <w:tblInd w:w="0" w:type="dxa"/>
        <w:tblLayout w:type="fixed"/>
        <w:tblCellMar>
          <w:top w:w="0" w:type="dxa"/>
          <w:left w:w="0" w:type="dxa"/>
          <w:bottom w:w="0" w:type="dxa"/>
          <w:right w:w="0" w:type="dxa"/>
        </w:tblCellMar>
      </w:tblPr>
      <w:tblGrid>
        <w:gridCol w:w="7040"/>
        <w:gridCol w:w="90"/>
        <w:gridCol w:w="255"/>
        <w:gridCol w:w="949"/>
        <w:gridCol w:w="110"/>
        <w:gridCol w:w="90"/>
        <w:gridCol w:w="278"/>
        <w:gridCol w:w="926"/>
        <w:gridCol w:w="155"/>
      </w:tblGrid>
      <w:tr>
        <w:trPr/>
        <w:tc>
          <w:tcPr>
            <w:tcW w:w="7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155" w:type="dxa"/>
            <w:tcBorders/>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beginning of period</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4,849</w:t>
            </w:r>
          </w:p>
        </w:tc>
        <w:tc>
          <w:tcPr>
            <w:tcW w:w="155"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liability from Business Combination</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w:t>
            </w:r>
          </w:p>
        </w:tc>
        <w:tc>
          <w:tcPr>
            <w:tcW w:w="155"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Accruals for new warranties issued</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w:t>
            </w:r>
          </w:p>
        </w:tc>
        <w:tc>
          <w:tcPr>
            <w:tcW w:w="155"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Settlements and other</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end of period</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155"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sheet classification</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warranty current (Classified in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2,531</w:t>
            </w:r>
          </w:p>
        </w:tc>
        <w:tc>
          <w:tcPr>
            <w:tcW w:w="155"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noncurrent</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3,437</w:t>
            </w:r>
          </w:p>
        </w:tc>
        <w:tc>
          <w:tcPr>
            <w:tcW w:w="155"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warranty liability</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and $7.7 million recorded within accrued expenses and other current liabilities on its consolidated balance sheets as of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$3.5 million of outstanding letters of credit as of December 28, 2025 and December 29, 2024.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$3.8 million at each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loss from continuing and discontinued operations before provision for income taxes for the fiscal years ended December 28, 2025 and December 29, 2024,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753" w:type="dxa"/>
        <w:jc w:val="left"/>
        <w:tblInd w:w="0" w:type="dxa"/>
        <w:tblLayout w:type="fixed"/>
        <w:tblCellMar>
          <w:top w:w="0" w:type="dxa"/>
          <w:left w:w="0" w:type="dxa"/>
          <w:bottom w:w="0" w:type="dxa"/>
          <w:right w:w="0" w:type="dxa"/>
        </w:tblCellMar>
      </w:tblPr>
      <w:tblGrid>
        <w:gridCol w:w="5270"/>
        <w:gridCol w:w="90"/>
        <w:gridCol w:w="267"/>
        <w:gridCol w:w="1237"/>
        <w:gridCol w:w="125"/>
        <w:gridCol w:w="90"/>
        <w:gridCol w:w="267"/>
        <w:gridCol w:w="1237"/>
        <w:gridCol w:w="170"/>
      </w:tblGrid>
      <w:tr>
        <w:trPr/>
        <w:tc>
          <w:tcPr>
            <w:tcW w:w="5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7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Domestic</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(42,676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(54,444</w:t>
            </w:r>
          </w:p>
        </w:tc>
        <w:tc>
          <w:tcPr>
            <w:tcW w:w="170" w:type="dxa"/>
            <w:tcBorders/>
            <w:shd w:fill="CCEEFF" w:val="clear"/>
            <w:vAlign w:val="center"/>
          </w:tcPr>
          <w:p>
            <w:pPr>
              <w:pStyle w:val="TableContents"/>
              <w:bidi w:val="0"/>
              <w:spacing w:before="0" w:after="283"/>
              <w:jc w:val="left"/>
              <w:rPr/>
            </w:pPr>
            <w:r>
              <w:rPr/>
              <w:t>)</w:t>
            </w:r>
          </w:p>
        </w:tc>
      </w:tr>
      <w:tr>
        <w:trPr/>
        <w:tc>
          <w:tcPr>
            <w:tcW w:w="5270" w:type="dxa"/>
            <w:tcBorders/>
            <w:vAlign w:val="center"/>
          </w:tcPr>
          <w:p>
            <w:pPr>
              <w:pStyle w:val="TableContents"/>
              <w:bidi w:val="0"/>
              <w:spacing w:before="0" w:after="283"/>
              <w:jc w:val="left"/>
              <w:rPr/>
            </w:pPr>
            <w:r>
              <w:rPr/>
              <w:t>Foreign</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(54,444</w:t>
            </w:r>
          </w:p>
        </w:tc>
        <w:tc>
          <w:tcPr>
            <w:tcW w:w="170" w:type="dxa"/>
            <w:tcBorders/>
            <w:shd w:fill="CCEEFF" w:val="clear"/>
            <w:vAlign w:val="center"/>
          </w:tcPr>
          <w:p>
            <w:pPr>
              <w:pStyle w:val="TableContents"/>
              <w:bidi w:val="0"/>
              <w:spacing w:before="0" w:after="283"/>
              <w:jc w:val="left"/>
              <w:rPr/>
            </w:pPr>
            <w:r>
              <w:rPr/>
              <w:t>)</w:t>
            </w:r>
          </w:p>
        </w:tc>
      </w:tr>
      <w:tr>
        <w:trPr/>
        <w:tc>
          <w:tcPr>
            <w:tcW w:w="5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Loss from discontinued operations before income taxes</w:t>
            </w:r>
          </w:p>
        </w:tc>
        <w:tc>
          <w:tcPr>
            <w:tcW w:w="90" w:type="dxa"/>
            <w:tcBorders/>
            <w:shd w:fill="CCEEFF" w:val="clear"/>
            <w:vAlign w:val="center"/>
          </w:tcPr>
          <w:p>
            <w:pPr>
              <w:pStyle w:val="TableContents"/>
              <w:bidi w:val="0"/>
              <w:spacing w:before="0" w:after="283"/>
              <w:jc w:val="left"/>
              <w:rPr/>
            </w:pPr>
            <w:r>
              <w:rPr/>
              <w:t> </w:t>
            </w:r>
          </w:p>
        </w:tc>
        <w:tc>
          <w:tcPr>
            <w:tcW w:w="2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(1,100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(2,007</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benefit from continuing and discontinued operations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433" w:type="dxa"/>
        <w:jc w:val="left"/>
        <w:tblInd w:w="0" w:type="dxa"/>
        <w:tblLayout w:type="fixed"/>
        <w:tblCellMar>
          <w:top w:w="0" w:type="dxa"/>
          <w:left w:w="0" w:type="dxa"/>
          <w:bottom w:w="0" w:type="dxa"/>
          <w:right w:w="0" w:type="dxa"/>
        </w:tblCellMar>
      </w:tblPr>
      <w:tblGrid>
        <w:gridCol w:w="6020"/>
        <w:gridCol w:w="90"/>
        <w:gridCol w:w="336"/>
        <w:gridCol w:w="1168"/>
        <w:gridCol w:w="90"/>
        <w:gridCol w:w="90"/>
        <w:gridCol w:w="206"/>
        <w:gridCol w:w="1298"/>
        <w:gridCol w:w="135"/>
      </w:tblGrid>
      <w:tr>
        <w:trPr/>
        <w:tc>
          <w:tcPr>
            <w:tcW w:w="6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135"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Current income tax expense</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Federal</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0"/>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State</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278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Total current income tax expense</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Deferred income tax expense</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Federal</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State</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Total deferred income tax expense</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1,300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Income tax expense from continuing operations</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Income tax expense as a component of discontinued operations</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ASU 2023-09 prospectively for the fiscal year ended December 28, 2025. The following table presents required disclosure pursuant of ASU 2023-09 and reconciles the Company’s federal statutory tax amount and rate, based on its results from continuing operations, to its actual effective amount and rate:</w:t>
      </w:r>
    </w:p>
    <w:p>
      <w:pPr>
        <w:pStyle w:val="TextBody"/>
        <w:bidi w:val="0"/>
        <w:spacing w:before="0" w:after="0"/>
        <w:ind w:left="0" w:right="0" w:hanging="0"/>
        <w:jc w:val="both"/>
        <w:rPr>
          <w:caps w:val="false"/>
          <w:smallCaps w:val="false"/>
        </w:rPr>
      </w:pPr>
      <w:r>
        <w:rPr>
          <w:caps w:val="false"/>
          <w:smallCaps w:val="false"/>
        </w:rPr>
        <w:t> </w:t>
      </w:r>
    </w:p>
    <w:tbl>
      <w:tblPr>
        <w:tblW w:w="6518" w:type="dxa"/>
        <w:jc w:val="left"/>
        <w:tblInd w:w="0" w:type="dxa"/>
        <w:tblLayout w:type="fixed"/>
        <w:tblCellMar>
          <w:top w:w="0" w:type="dxa"/>
          <w:left w:w="0" w:type="dxa"/>
          <w:bottom w:w="0" w:type="dxa"/>
          <w:right w:w="0" w:type="dxa"/>
        </w:tblCellMar>
      </w:tblPr>
      <w:tblGrid>
        <w:gridCol w:w="3905"/>
        <w:gridCol w:w="90"/>
        <w:gridCol w:w="182"/>
        <w:gridCol w:w="767"/>
        <w:gridCol w:w="125"/>
        <w:gridCol w:w="90"/>
        <w:gridCol w:w="236"/>
        <w:gridCol w:w="758"/>
        <w:gridCol w:w="365"/>
      </w:tblGrid>
      <w:tr>
        <w:trPr/>
        <w:tc>
          <w:tcPr>
            <w:tcW w:w="3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Dollars (</w:t>
            </w:r>
            <w:r>
              <w:rPr>
                <w:rFonts w:ascii="Times New Roman;Times;Serif" w:hAnsi="Times New Roman;Times;Serif"/>
                <w:b/>
                <w:i/>
                <w:sz w:val="20"/>
              </w:rPr>
              <w:t>in</w:t>
              <w:br/>
              <w:t>thousands</w:t>
            </w: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Effect on</w:t>
              <w:br/>
              <w:t>Effective</w:t>
              <w:br/>
              <w:t>Tax Rate</w:t>
            </w:r>
          </w:p>
        </w:tc>
        <w:tc>
          <w:tcPr>
            <w:tcW w:w="365" w:type="dxa"/>
            <w:tcBorders/>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Federal tax (benefit) at statutory rate</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67" w:type="dxa"/>
            <w:tcBorders/>
            <w:shd w:fill="CCEEFF" w:val="clear"/>
            <w:vAlign w:val="center"/>
          </w:tcPr>
          <w:p>
            <w:pPr>
              <w:pStyle w:val="TableContents"/>
              <w:bidi w:val="0"/>
              <w:spacing w:before="0" w:after="283"/>
              <w:jc w:val="right"/>
              <w:rPr/>
            </w:pPr>
            <w:r>
              <w:rPr/>
              <w:t>(8,962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income taxes, net of federal tax benefit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378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(0.9</w:t>
            </w:r>
          </w:p>
        </w:tc>
        <w:tc>
          <w:tcPr>
            <w:tcW w:w="365" w:type="dxa"/>
            <w:tcBorders/>
            <w:vAlign w:val="center"/>
          </w:tcPr>
          <w:p>
            <w:pPr>
              <w:pStyle w:val="TableContents"/>
              <w:bidi w:val="0"/>
              <w:spacing w:before="0" w:after="283"/>
              <w:ind w:left="0" w:right="0" w:hanging="180"/>
              <w:jc w:val="left"/>
              <w:rPr/>
            </w:pPr>
            <w:r>
              <w:rPr/>
              <w:t>)</w:t>
            </w:r>
          </w:p>
        </w:tc>
      </w:tr>
      <w:tr>
        <w:trPr/>
        <w:tc>
          <w:tcPr>
            <w:tcW w:w="3905" w:type="dxa"/>
            <w:tcBorders/>
            <w:shd w:fill="CCEEFF" w:val="clear"/>
            <w:vAlign w:val="center"/>
          </w:tcPr>
          <w:p>
            <w:pPr>
              <w:pStyle w:val="TableContents"/>
              <w:bidi w:val="0"/>
              <w:spacing w:before="0" w:after="283"/>
              <w:jc w:val="left"/>
              <w:rPr/>
            </w:pPr>
            <w:r>
              <w:rPr/>
              <w:t>Foreign tax effects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0"/>
              <w:jc w:val="right"/>
              <w:rPr/>
            </w:pPr>
            <w:r>
              <w:rPr/>
              <w:t>—</w:t>
            </w:r>
          </w:p>
        </w:tc>
        <w:tc>
          <w:tcPr>
            <w:tcW w:w="365" w:type="dxa"/>
            <w:tcBorders/>
            <w:shd w:fill="CCEEFF" w:val="clear"/>
            <w:vAlign w:val="center"/>
          </w:tcPr>
          <w:p>
            <w:pPr>
              <w:pStyle w:val="TableContents"/>
              <w:bidi w:val="0"/>
              <w:spacing w:before="0" w:after="283"/>
              <w:ind w:left="0" w:right="0" w:hanging="180"/>
              <w:jc w:val="left"/>
              <w:rPr/>
            </w:pPr>
            <w:r>
              <w:rPr/>
              <w:t> </w:t>
            </w:r>
          </w:p>
        </w:tc>
      </w:tr>
      <w:tr>
        <w:trPr/>
        <w:tc>
          <w:tcPr>
            <w:tcW w:w="3905" w:type="dxa"/>
            <w:tcBorders/>
            <w:vAlign w:val="center"/>
          </w:tcPr>
          <w:p>
            <w:pPr>
              <w:pStyle w:val="TableContents"/>
              <w:bidi w:val="0"/>
              <w:spacing w:before="0" w:after="283"/>
              <w:jc w:val="left"/>
              <w:rPr/>
            </w:pPr>
            <w:r>
              <w:rPr/>
              <w:t>Tax law changes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0"/>
              <w:jc w:val="right"/>
              <w:rPr/>
            </w:pPr>
            <w:r>
              <w:rPr/>
              <w:t>—</w:t>
            </w:r>
          </w:p>
        </w:tc>
        <w:tc>
          <w:tcPr>
            <w:tcW w:w="365" w:type="dxa"/>
            <w:tcBorders/>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Effect of cross-border tax laws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0"/>
              <w:jc w:val="right"/>
              <w:rPr/>
            </w:pPr>
            <w:r>
              <w:rPr/>
              <w:t>—</w:t>
            </w:r>
          </w:p>
        </w:tc>
        <w:tc>
          <w:tcPr>
            <w:tcW w:w="365" w:type="dxa"/>
            <w:tcBorders/>
            <w:shd w:fill="CCEEFF" w:val="clear"/>
            <w:vAlign w:val="center"/>
          </w:tcPr>
          <w:p>
            <w:pPr>
              <w:pStyle w:val="TableContents"/>
              <w:bidi w:val="0"/>
              <w:spacing w:before="0" w:after="283"/>
              <w:ind w:left="0" w:right="0" w:hanging="180"/>
              <w:jc w:val="left"/>
              <w:rPr/>
            </w:pPr>
            <w:r>
              <w:rPr/>
              <w:t> </w:t>
            </w:r>
          </w:p>
        </w:tc>
      </w:tr>
      <w:tr>
        <w:trPr/>
        <w:tc>
          <w:tcPr>
            <w:tcW w:w="3905" w:type="dxa"/>
            <w:tcBorders/>
            <w:vAlign w:val="center"/>
          </w:tcPr>
          <w:p>
            <w:pPr>
              <w:pStyle w:val="TableContents"/>
              <w:bidi w:val="0"/>
              <w:spacing w:before="0" w:after="283"/>
              <w:jc w:val="left"/>
              <w:rPr/>
            </w:pPr>
            <w:r>
              <w:rPr/>
              <w:t>Tax credits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0"/>
              <w:jc w:val="right"/>
              <w:rPr/>
            </w:pPr>
            <w:r>
              <w:rPr/>
              <w:t>—</w:t>
            </w:r>
          </w:p>
        </w:tc>
        <w:tc>
          <w:tcPr>
            <w:tcW w:w="365" w:type="dxa"/>
            <w:tcBorders/>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Valuation allowance</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11,328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(26.6</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3905" w:type="dxa"/>
            <w:tcBorders/>
            <w:vAlign w:val="center"/>
          </w:tcPr>
          <w:p>
            <w:pPr>
              <w:pStyle w:val="TableContents"/>
              <w:bidi w:val="0"/>
              <w:spacing w:before="0" w:after="283"/>
              <w:jc w:val="left"/>
              <w:rPr/>
            </w:pPr>
            <w:r>
              <w:rPr/>
              <w:t>Nondeductible items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0"/>
              <w:jc w:val="right"/>
              <w:rPr/>
            </w:pPr>
            <w:r>
              <w:rPr/>
              <w:t>—</w:t>
            </w:r>
          </w:p>
        </w:tc>
        <w:tc>
          <w:tcPr>
            <w:tcW w:w="365" w:type="dxa"/>
            <w:tcBorders/>
            <w:vAlign w:val="center"/>
          </w:tcPr>
          <w:p>
            <w:pPr>
              <w:pStyle w:val="TableContents"/>
              <w:bidi w:val="0"/>
              <w:spacing w:before="0" w:after="283"/>
              <w:ind w:left="0" w:right="0" w:hanging="177"/>
              <w:jc w:val="left"/>
              <w:rPr/>
            </w:pPr>
            <w:r>
              <w:rPr/>
              <w:t> </w:t>
            </w:r>
          </w:p>
        </w:tc>
      </w:tr>
      <w:tr>
        <w:trPr/>
        <w:tc>
          <w:tcPr>
            <w:tcW w:w="3905" w:type="dxa"/>
            <w:tcBorders/>
            <w:shd w:fill="CCEEFF" w:val="clear"/>
            <w:vAlign w:val="center"/>
          </w:tcPr>
          <w:p>
            <w:pPr>
              <w:pStyle w:val="TableContents"/>
              <w:bidi w:val="0"/>
              <w:spacing w:before="0" w:after="283"/>
              <w:jc w:val="left"/>
              <w:rPr/>
            </w:pPr>
            <w:r>
              <w:rPr/>
              <w:t>Warranty liability</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588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(1.4</w:t>
            </w:r>
          </w:p>
        </w:tc>
        <w:tc>
          <w:tcPr>
            <w:tcW w:w="365" w:type="dxa"/>
            <w:tcBorders/>
            <w:shd w:fill="CCEEFF" w:val="clear"/>
            <w:vAlign w:val="center"/>
          </w:tcPr>
          <w:p>
            <w:pPr>
              <w:pStyle w:val="TableContents"/>
              <w:bidi w:val="0"/>
              <w:spacing w:before="0" w:after="283"/>
              <w:ind w:left="0" w:right="0" w:hanging="177"/>
              <w:jc w:val="left"/>
              <w:rPr/>
            </w:pPr>
            <w:r>
              <w:rPr/>
              <w:t>)</w:t>
            </w:r>
          </w:p>
        </w:tc>
      </w:tr>
      <w:tr>
        <w:trPr/>
        <w:tc>
          <w:tcPr>
            <w:tcW w:w="3905" w:type="dxa"/>
            <w:tcBorders/>
            <w:vAlign w:val="center"/>
          </w:tcPr>
          <w:p>
            <w:pPr>
              <w:pStyle w:val="TableContents"/>
              <w:bidi w:val="0"/>
              <w:spacing w:before="0" w:after="283"/>
              <w:jc w:val="left"/>
              <w:rPr/>
            </w:pPr>
            <w:r>
              <w:rPr/>
              <w:t>Other nondeductible items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276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(0.6</w:t>
            </w:r>
          </w:p>
        </w:tc>
        <w:tc>
          <w:tcPr>
            <w:tcW w:w="365" w:type="dxa"/>
            <w:tcBorders/>
            <w:vAlign w:val="center"/>
          </w:tcPr>
          <w:p>
            <w:pPr>
              <w:pStyle w:val="TableContents"/>
              <w:bidi w:val="0"/>
              <w:spacing w:before="0" w:after="283"/>
              <w:ind w:left="0" w:right="0" w:hanging="180"/>
              <w:jc w:val="left"/>
              <w:rPr/>
            </w:pPr>
            <w:r>
              <w:rPr/>
              <w:t>)</w:t>
            </w:r>
          </w:p>
        </w:tc>
      </w:tr>
      <w:tr>
        <w:trPr/>
        <w:tc>
          <w:tcPr>
            <w:tcW w:w="3905" w:type="dxa"/>
            <w:tcBorders/>
            <w:shd w:fill="CCEEFF" w:val="clear"/>
            <w:vAlign w:val="center"/>
          </w:tcPr>
          <w:p>
            <w:pPr>
              <w:pStyle w:val="TableContents"/>
              <w:bidi w:val="0"/>
              <w:spacing w:before="0" w:after="283"/>
              <w:jc w:val="left"/>
              <w:rPr/>
            </w:pPr>
            <w:r>
              <w:rPr/>
              <w:t>Changes in unrecognized tax benefits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0"/>
              <w:jc w:val="right"/>
              <w:rPr/>
            </w:pPr>
            <w:r>
              <w:rPr/>
              <w:t>—</w:t>
            </w:r>
          </w:p>
        </w:tc>
        <w:tc>
          <w:tcPr>
            <w:tcW w:w="365" w:type="dxa"/>
            <w:tcBorders/>
            <w:shd w:fill="CCEEFF" w:val="clear"/>
            <w:vAlign w:val="center"/>
          </w:tcPr>
          <w:p>
            <w:pPr>
              <w:pStyle w:val="TableContents"/>
              <w:bidi w:val="0"/>
              <w:spacing w:before="0" w:after="283"/>
              <w:ind w:left="0" w:right="0" w:hanging="180"/>
              <w:jc w:val="left"/>
              <w:rPr/>
            </w:pPr>
            <w:r>
              <w:rPr/>
              <w:t> </w:t>
            </w:r>
          </w:p>
        </w:tc>
      </w:tr>
      <w:tr>
        <w:trPr/>
        <w:tc>
          <w:tcPr>
            <w:tcW w:w="3905" w:type="dxa"/>
            <w:tcBorders/>
            <w:vAlign w:val="center"/>
          </w:tcPr>
          <w:p>
            <w:pPr>
              <w:pStyle w:val="TableContents"/>
              <w:bidi w:val="0"/>
              <w:spacing w:before="0" w:after="283"/>
              <w:jc w:val="left"/>
              <w:rPr/>
            </w:pPr>
            <w:r>
              <w:rPr/>
              <w:t>Deferred tax true-up</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tcMar>
              <w:bottom w:w="28" w:type="dxa"/>
            </w:tcMar>
            <w:vAlign w:val="center"/>
          </w:tcPr>
          <w:p>
            <w:pPr>
              <w:pStyle w:val="TableContents"/>
              <w:bidi w:val="0"/>
              <w:spacing w:before="0" w:after="283"/>
              <w:jc w:val="right"/>
              <w:rPr/>
            </w:pPr>
            <w:r>
              <w:rPr/>
              <w:t>(2,030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tcMar>
              <w:bottom w:w="28" w:type="dxa"/>
            </w:tcMar>
            <w:vAlign w:val="center"/>
          </w:tcPr>
          <w:p>
            <w:pPr>
              <w:pStyle w:val="TableContents"/>
              <w:bidi w:val="0"/>
              <w:spacing w:before="0" w:after="283"/>
              <w:jc w:val="right"/>
              <w:rPr/>
            </w:pPr>
            <w:r>
              <w:rPr/>
              <w:t>4.8</w:t>
            </w:r>
          </w:p>
        </w:tc>
        <w:tc>
          <w:tcPr>
            <w:tcW w:w="365" w:type="dxa"/>
            <w:tcBorders/>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Total provision</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7"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8" w:type="dxa"/>
            <w:tcBorders>
              <w:bottom w:val="double" w:sz="10" w:space="0" w:color="000000"/>
            </w:tcBorders>
            <w:shd w:fill="CCEEFF" w:val="clear"/>
            <w:tcMar>
              <w:bottom w:w="28" w:type="dxa"/>
            </w:tcMar>
            <w:vAlign w:val="center"/>
          </w:tcPr>
          <w:p>
            <w:pPr>
              <w:pStyle w:val="TableContents"/>
              <w:bidi w:val="0"/>
              <w:spacing w:before="0" w:after="283"/>
              <w:jc w:val="right"/>
              <w:rPr/>
            </w:pPr>
            <w:r>
              <w:rPr/>
              <w:t>(3.7</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position w:val="8"/>
                <w:sz w:val="19"/>
              </w:rPr>
            </w:pPr>
            <w:r>
              <w:rPr>
                <w:position w:val="8"/>
                <w:sz w:val="19"/>
              </w:rPr>
              <w:t>(1)</w:t>
            </w:r>
          </w:p>
        </w:tc>
        <w:tc>
          <w:tcPr>
            <w:tcW w:w="9860" w:type="dxa"/>
            <w:tcBorders/>
            <w:vAlign w:val="center"/>
          </w:tcPr>
          <w:p>
            <w:pPr>
              <w:pStyle w:val="TableContents"/>
              <w:bidi w:val="0"/>
              <w:spacing w:before="0" w:after="283"/>
              <w:jc w:val="both"/>
              <w:rPr/>
            </w:pPr>
            <w:r>
              <w:rPr/>
              <w:t>State taxes in California made up the majority (greater than 50 percent) of the tax effect in this category.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represents the required disclosures prior to the Company’s adoption of ASU 2023-09 and is a reconciliation of the Company’s income tax applied at the federal statutory income tax rate compared to the income tax provision reported on its consolidated statements of operations for continuing operations.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219" w:type="dxa"/>
        <w:jc w:val="left"/>
        <w:tblInd w:w="0" w:type="dxa"/>
        <w:tblLayout w:type="fixed"/>
        <w:tblCellMar>
          <w:top w:w="0" w:type="dxa"/>
          <w:left w:w="0" w:type="dxa"/>
          <w:bottom w:w="0" w:type="dxa"/>
          <w:right w:w="0" w:type="dxa"/>
        </w:tblCellMar>
      </w:tblPr>
      <w:tblGrid>
        <w:gridCol w:w="3725"/>
        <w:gridCol w:w="90"/>
        <w:gridCol w:w="231"/>
        <w:gridCol w:w="1018"/>
        <w:gridCol w:w="155"/>
      </w:tblGrid>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br/>
              <w:t>Ended</w:t>
            </w:r>
          </w:p>
        </w:tc>
        <w:tc>
          <w:tcPr>
            <w:tcW w:w="15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29, </w:t>
              <w:br/>
              <w:t>2024</w:t>
            </w:r>
          </w:p>
        </w:tc>
        <w:tc>
          <w:tcPr>
            <w:tcW w:w="155"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federal income tax</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(11,433</w:t>
            </w:r>
          </w:p>
        </w:tc>
        <w:tc>
          <w:tcPr>
            <w:tcW w:w="15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income taxes, net of federal tax benefits</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w:t>
            </w:r>
          </w:p>
        </w:tc>
        <w:tc>
          <w:tcPr>
            <w:tcW w:w="15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compensation</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adjustments</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w:t>
            </w:r>
          </w:p>
        </w:tc>
        <w:tc>
          <w:tcPr>
            <w:tcW w:w="15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Nondeductible items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extinguishment</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(6,571</w:t>
            </w:r>
          </w:p>
        </w:tc>
        <w:tc>
          <w:tcPr>
            <w:tcW w:w="15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earnings taxed at different rates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Forward purchase agreements</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changes in tax rates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year adjustments</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2,058</w:t>
            </w:r>
          </w:p>
        </w:tc>
        <w:tc>
          <w:tcPr>
            <w:tcW w:w="155"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allowance</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16,171</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90" w:type="dxa"/>
            <w:tcBorders/>
            <w:vAlign w:val="center"/>
          </w:tcPr>
          <w:p>
            <w:pPr>
              <w:pStyle w:val="TableContents"/>
              <w:bidi w:val="0"/>
              <w:spacing w:before="0" w:after="283"/>
              <w:jc w:val="left"/>
              <w:rPr/>
            </w:pPr>
            <w:r>
              <w:rPr/>
              <w:t> </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155"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Provision</w:t>
            </w:r>
          </w:p>
        </w:tc>
        <w:tc>
          <w:tcPr>
            <w:tcW w:w="9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components of deferred tax assets and liabilities are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013" w:type="dxa"/>
        <w:jc w:val="left"/>
        <w:tblInd w:w="0" w:type="dxa"/>
        <w:tblLayout w:type="fixed"/>
        <w:tblCellMar>
          <w:top w:w="0" w:type="dxa"/>
          <w:left w:w="0" w:type="dxa"/>
          <w:bottom w:w="0" w:type="dxa"/>
          <w:right w:w="0" w:type="dxa"/>
        </w:tblCellMar>
      </w:tblPr>
      <w:tblGrid>
        <w:gridCol w:w="3650"/>
        <w:gridCol w:w="90"/>
        <w:gridCol w:w="256"/>
        <w:gridCol w:w="1188"/>
        <w:gridCol w:w="125"/>
        <w:gridCol w:w="90"/>
        <w:gridCol w:w="256"/>
        <w:gridCol w:w="1188"/>
        <w:gridCol w:w="170"/>
      </w:tblGrid>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b/>
              </w:rPr>
            </w:pPr>
            <w:r>
              <w:rPr>
                <w:b/>
              </w:rPr>
              <w:t>Deferred income tax assets</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Net operating loss</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35,792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34,749</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Debt derivatives</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27,508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24,591</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Bad debt reserve</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10,543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431</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Stock based compensation</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769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452</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Lease liability</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1,657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1,512</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Other reserves</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4,633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3,381</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Interest expense carryover</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7,267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7,005</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Intangibles</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1,447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1,279</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Capitalized research and development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705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824</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2,556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3,336</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92,877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77,560</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Valuation allowance</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(70,253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(55,714</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Net deferred tax assets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22,624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b/>
              </w:rPr>
            </w:pPr>
            <w:r>
              <w:rPr>
                <w:b/>
              </w:rPr>
              <w:t>Deferred income tax liabilities</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Convertible loan discount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(21,731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(19,175</w:t>
            </w:r>
          </w:p>
        </w:tc>
        <w:tc>
          <w:tcPr>
            <w:tcW w:w="170" w:type="dxa"/>
            <w:tcBorders/>
            <w:shd w:fill="CCEEFF" w:val="clear"/>
            <w:vAlign w:val="center"/>
          </w:tcPr>
          <w:p>
            <w:pPr>
              <w:pStyle w:val="TableContents"/>
              <w:bidi w:val="0"/>
              <w:spacing w:before="0" w:after="283"/>
              <w:jc w:val="left"/>
              <w:rPr/>
            </w:pPr>
            <w:r>
              <w:rPr/>
              <w:t>)</w:t>
            </w:r>
          </w:p>
        </w:tc>
      </w:tr>
      <w:tr>
        <w:trPr/>
        <w:tc>
          <w:tcPr>
            <w:tcW w:w="365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(2,193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(2,671</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Total deferred tax liabilities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(23,924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70" w:type="dxa"/>
            <w:tcBorders/>
            <w:shd w:fill="CCEEFF" w:val="clear"/>
            <w:vAlign w:val="center"/>
          </w:tcPr>
          <w:p>
            <w:pPr>
              <w:pStyle w:val="TableContents"/>
              <w:bidi w:val="0"/>
              <w:spacing w:before="0" w:after="283"/>
              <w:jc w:val="left"/>
              <w:rPr/>
            </w:pPr>
            <w:r>
              <w:rPr/>
              <w:t>)</w:t>
            </w:r>
          </w:p>
        </w:tc>
      </w:tr>
      <w:tr>
        <w:trPr/>
        <w:tc>
          <w:tcPr>
            <w:tcW w:w="3650" w:type="dxa"/>
            <w:tcBorders/>
            <w:vAlign w:val="center"/>
          </w:tcPr>
          <w:p>
            <w:pPr>
              <w:pStyle w:val="TableContents"/>
              <w:bidi w:val="0"/>
              <w:spacing w:before="0" w:after="283"/>
              <w:jc w:val="left"/>
              <w:rPr/>
            </w:pPr>
            <w:r>
              <w:rPr/>
              <w:t>Net deferred tax liability</w:t>
            </w:r>
          </w:p>
        </w:tc>
        <w:tc>
          <w:tcPr>
            <w:tcW w:w="90" w:type="dxa"/>
            <w:tcBorders/>
            <w:vAlign w:val="center"/>
          </w:tcPr>
          <w:p>
            <w:pPr>
              <w:pStyle w:val="TableContents"/>
              <w:bidi w:val="0"/>
              <w:spacing w:before="0" w:after="283"/>
              <w:jc w:val="left"/>
              <w:rPr/>
            </w:pPr>
            <w:r>
              <w:rPr/>
              <w:t> </w:t>
            </w:r>
          </w:p>
        </w:tc>
        <w:tc>
          <w:tcPr>
            <w:tcW w:w="256" w:type="dxa"/>
            <w:tcBorders>
              <w:bottom w:val="double" w:sz="10" w:space="0" w:color="000000"/>
            </w:tcBorders>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tcMar>
              <w:bottom w:w="28" w:type="dxa"/>
            </w:tcMar>
            <w:vAlign w:val="center"/>
          </w:tcPr>
          <w:p>
            <w:pPr>
              <w:pStyle w:val="TableContents"/>
              <w:bidi w:val="0"/>
              <w:spacing w:before="0" w:after="283"/>
              <w:jc w:val="right"/>
              <w:rPr/>
            </w:pPr>
            <w:r>
              <w:rPr/>
              <w:t>(1,300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bottom w:val="double" w:sz="10" w:space="0" w:color="000000"/>
            </w:tcBorders>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regularly assesses its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or realizable deferred tax assets, the Company will adjust its valuation allowance with a corresponding impact to the provision for income taxes in the period in which such determination is made. The Company’s management believes that, based upon a number of factors, it is more likely than not that all or some portion of the deferred tax assets will not be realized. Accordingly, for the fiscal years ended December 28, 2025 and December 29, 2024, the Company provided a valuation allowance against its U.S. net deferred tax assets of $70.3 million and $55.7 million, respectively. The net change in the valuation allowance was an increase of $14.6 million and $17.3 million in the fiscal years ended December 28,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 Company had net operating loss carryforwards for federal and state income tax purposes of approximately $131.4 million and $114.8 million, respectively. Excluding $115.3 million of federal net operating losses which carryforward indefinitely, the net operating loss carryforwards will expire between 2030 and 2044.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IRC Section 382 and similar provisions. Such limitations may result in the expiration of these carryforwards before their utilization. The Company’s acquired net operating loss carryforwards have been reduced based on the estimated amount which will be lost due to these limitations. If the Company has experienced subsequent ownership changes, the Company’s losses may be further limited, which may result in the expiration of net operating losses before utilization. To date, Company has not yet completed a Section 382 ownership change analysis. During the fiscal year ended December 29, 2024, the Company had undergone restructuring and strategic transformation, including the completion of the SunPower Businesses. As a result of the change in facts and lack of certainty regarding the acquired losses of the legacy Solaria business, the Company wrote off the remaining acquired net operating losses as the Company does not intend to pursue the potential tax benefits as it believes those benefits will be lost due to the continuation of business enterprise rules. As a result, the corresponding uncertain tax position was also reversed as the Company does not intend to pursue utilization of those attributes.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for federal and various state jurisdictions as well as foreign jurisdictions each of which have varying statutes of limitations. The Company is in the process of filing returns for prior years, and the penalties related to the delinquent filings are not material. Due to the history of losses, the Company’s tax years remain open for examination by all tax authorities since inception. The Company is not currently under examination in any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unrecognized tax benefits as of December 28, 2025 and December 29, 2024, respectively. The reversal of the uncertain tax benefits would not affect the Company’s effective tax rate to the extent that it continues to maintain a full valuation allowance against its deferred tax assets. As outlined above, the reduction in the uncertain tax positions during the fiscal year ended December 29, 2024, is a result of the Company’s decision to forgo the right to certain acquired attributes for which the Company does not intend to claim any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tabular reconciliation of the total amounts of unrecognized tax benefits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4100"/>
        <w:gridCol w:w="90"/>
        <w:gridCol w:w="181"/>
        <w:gridCol w:w="1024"/>
        <w:gridCol w:w="90"/>
        <w:gridCol w:w="90"/>
        <w:gridCol w:w="223"/>
        <w:gridCol w:w="982"/>
        <w:gridCol w:w="155"/>
      </w:tblGrid>
      <w:tr>
        <w:trPr/>
        <w:tc>
          <w:tcPr>
            <w:tcW w:w="4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15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15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beginning of year</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15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prior year tax positions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current year tax positions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Decreases related to prior year tax positions</w:t>
            </w:r>
          </w:p>
        </w:tc>
        <w:tc>
          <w:tcPr>
            <w:tcW w:w="90"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end of year</w:t>
            </w:r>
          </w:p>
        </w:tc>
        <w:tc>
          <w:tcPr>
            <w:tcW w:w="9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within the income tax expense line in its consolidated statements of operations and comprehensive loss. Accrued interest and penalties are included as part of income tax payable in the consolidated balance sheets. No accrued interest or penalties have been recorded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pay any federal, state or foreign income taxes during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provided U.S. income or foreign withholding taxes on the undistributed earnings of its foreign subsidiary as of December 28, 2025 or December 29, 2024, as there are no undistributed earnings within the foreign subsidiaries, which were inactive throughout the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enacted on July 4, 2025 contains significant changes to corporate taxation, including accelerated deductions for capital expenditures, expensing of research and development costs incurred in the U.S., and increased deductibility of interest expense. As the Company maintains a full valuation allowance against its deferred tax assets, any adjustments to the gross value of these assets resulting from the enactment of the OBBBA were offset by a corresponding change in the valuation allowance, resulting in no net impact to the consolidated financial statements. The Company will continue to monitor the impact of the OBBBA as additional guidance is issued and further provisions become effective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Common Stock and Common Stock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December 28, 2025. No preferred stock has been issued and none are outstanding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White Lion Amended SPA, the Company issued 4.0 million and 2.9 million shares of the Company’s common stock for proceeds of $6.7 million and $6.7 million in the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i w:val="false"/>
          <w:caps w:val="false"/>
          <w:smallCaps w:val="false"/>
          <w:sz w:val="20"/>
        </w:rPr>
        <w:t>Note 20 – Subsequent Events</w:t>
      </w:r>
      <w:r>
        <w:rPr>
          <w:rFonts w:ascii="Times New Roman;Times;Serif" w:hAnsi="Times New Roman;Times;Serif"/>
          <w:b w:val="false"/>
          <w:i w:val="false"/>
          <w:caps w:val="false"/>
          <w:smallCaps w:val="false"/>
          <w:sz w:val="20"/>
        </w:rPr>
        <w:t xml:space="preserve"> for information regarding an amendment to the White Lion SPA entered into on after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the Employee Stock Purchase Plan (the “ESPP Plan”) in July 2023. All qualified employees may voluntarily enroll to purchase the Company’s common stock through payroll deductions at a price equal to 85% of the lower of the fair market value of the stock in the offering period or the applicable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98"/>
        <w:gridCol w:w="90"/>
        <w:gridCol w:w="101"/>
        <w:gridCol w:w="1104"/>
        <w:gridCol w:w="91"/>
        <w:gridCol w:w="91"/>
        <w:gridCol w:w="101"/>
        <w:gridCol w:w="1104"/>
        <w:gridCol w:w="90"/>
        <w:gridCol w:w="90"/>
        <w:gridCol w:w="186"/>
        <w:gridCol w:w="626"/>
        <w:gridCol w:w="90"/>
        <w:gridCol w:w="90"/>
        <w:gridCol w:w="1453"/>
      </w:tblGrid>
      <w:tr>
        <w:trPr/>
        <w:tc>
          <w:tcPr>
            <w:tcW w:w="48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9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Potential shares of common</w:t>
              <w:br/>
              <w:t>stock as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center"/>
              <w:rPr/>
            </w:pPr>
            <w:r>
              <w:rPr/>
              <w:t> </w:t>
            </w:r>
          </w:p>
        </w:tc>
      </w:tr>
      <w:tr>
        <w:trPr/>
        <w:tc>
          <w:tcPr>
            <w:tcW w:w="48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 date</w:t>
            </w:r>
          </w:p>
        </w:tc>
      </w:tr>
      <w:tr>
        <w:trPr/>
        <w:tc>
          <w:tcPr>
            <w:tcW w:w="489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Liability classified warrants</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2"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center"/>
              <w:rPr/>
            </w:pPr>
            <w:r>
              <w:rPr/>
              <w:t> </w:t>
            </w:r>
          </w:p>
        </w:tc>
      </w:tr>
      <w:tr>
        <w:trPr/>
        <w:tc>
          <w:tcPr>
            <w:tcW w:w="489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89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liability classified warrants</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center"/>
              <w:rPr/>
            </w:pPr>
            <w:r>
              <w:rPr/>
              <w:t> </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 classified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pPr>
            <w:r>
              <w:rPr/>
              <w:t> </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B Warrants (converted to common stock warrants)</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February 2026</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 Warrants (converted to common stock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2026</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C-1 Warrants (converted to common stock warrants)</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January 2030</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Common Stock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October 2031</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2023 Common Stock Warrants</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2028</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Warrants Issued in 2023 (“Merger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18, 2033</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Ayna Warrant</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June 2029</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Cantor Warrant</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3,066,141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3,066,141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equity classified warrants</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10,061,930</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16,061,930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center"/>
              <w:rPr/>
            </w:pPr>
            <w:r>
              <w:rPr/>
              <w:t> </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potential shares of common stock</w:t>
            </w:r>
          </w:p>
        </w:tc>
        <w:tc>
          <w:tcPr>
            <w:tcW w:w="9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25,670,265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31,670,265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(as defined below) which was not issued as of December 28, 2025.</w:t>
            </w:r>
          </w:p>
        </w:tc>
      </w:tr>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Ayna Warrant was accounted for under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as it met the conditions for equity classification, and therefore, the Ayna Warrant was not subsequently remeasured in future periods. The Company recognized expense of $9.2 million in the year ended December 29, 2024 for the 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Ayna Warrant became fully exercisable for the 6,000,000 shares of the Company’s common stock on September 9, 2024. The Ayna Warrant was exercised in full for cash of $0.06 million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Cantor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a warrant (“Cantor Warrant”) to a Cantor Fitzgerald &amp; Co., (“Cantor”) to purchase 3,066,141 shares of the Company’s common stock in exchange for services provided in the issuance of the July 2024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and reduced the gain on the troubled debt restructuring recognized in the Company’s annual consolidated statement of operations and comprehensive loss for fiscal 2024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The fair value of the Cantor Warrant was derived using the Black-Scholes model with the following assumptions: expected volatility of 55%; risk-free interest rate of 4.2%; expected term of 5 years; and no dividend yield. The fair value of this warrant is recorded within additional paid-in capital on the Company’s consolidated balance sheets and has not been subsequently remeasured in future periods as it met the conditions for equity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of common stock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593" w:type="dxa"/>
        <w:jc w:val="left"/>
        <w:tblInd w:w="0" w:type="dxa"/>
        <w:tblLayout w:type="fixed"/>
        <w:tblCellMar>
          <w:top w:w="0" w:type="dxa"/>
          <w:left w:w="0" w:type="dxa"/>
          <w:bottom w:w="0" w:type="dxa"/>
          <w:right w:w="0" w:type="dxa"/>
        </w:tblCellMar>
      </w:tblPr>
      <w:tblGrid>
        <w:gridCol w:w="5300"/>
        <w:gridCol w:w="90"/>
        <w:gridCol w:w="97"/>
        <w:gridCol w:w="1347"/>
        <w:gridCol w:w="90"/>
        <w:gridCol w:w="90"/>
        <w:gridCol w:w="97"/>
        <w:gridCol w:w="1347"/>
        <w:gridCol w:w="135"/>
      </w:tblGrid>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Common stock warrants</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25,670,265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31,670,265</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Employee stock purchase plan</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3,174,434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2,628,996</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Stock options and RSUs, issued and outstanding</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19,164,660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11,979,368</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Stock options and RSUs, authorized for future issuance</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11,603,508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2,577,895</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SAFE Agreement</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2,750,000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2,750,000</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Forward purchase agreements</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6,720,000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6,720,000</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Convertible notes</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82,460,428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58,579,636</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Deferred purchase price consideration</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tcMar>
              <w:bottom w:w="28" w:type="dxa"/>
            </w:tcMar>
            <w:vAlign w:val="center"/>
          </w:tcPr>
          <w:p>
            <w:pPr>
              <w:pStyle w:val="TableContents"/>
              <w:bidi w:val="0"/>
              <w:spacing w:before="0" w:after="283"/>
              <w:jc w:val="right"/>
              <w:rPr/>
            </w:pPr>
            <w:r>
              <w:rPr/>
              <w:t>11,640,506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Total shares reserved</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double" w:sz="10" w:space="0" w:color="000000"/>
            </w:tcBorders>
            <w:shd w:fill="CCEEFF" w:val="clear"/>
            <w:tcMar>
              <w:bottom w:w="28" w:type="dxa"/>
            </w:tcMar>
            <w:vAlign w:val="center"/>
          </w:tcPr>
          <w:p>
            <w:pPr>
              <w:pStyle w:val="TableContents"/>
              <w:bidi w:val="0"/>
              <w:spacing w:before="0" w:after="283"/>
              <w:jc w:val="right"/>
              <w:rPr/>
            </w:pPr>
            <w:r>
              <w:rPr/>
              <w:t>163,183,801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double" w:sz="10" w:space="0" w:color="000000"/>
            </w:tcBorders>
            <w:shd w:fill="CCEEFF" w:val="clear"/>
            <w:tcMar>
              <w:bottom w:w="28" w:type="dxa"/>
            </w:tcMar>
            <w:vAlign w:val="center"/>
          </w:tcPr>
          <w:p>
            <w:pPr>
              <w:pStyle w:val="TableContents"/>
              <w:bidi w:val="0"/>
              <w:spacing w:before="0" w:after="283"/>
              <w:jc w:val="right"/>
              <w:rPr/>
            </w:pPr>
            <w:r>
              <w:rPr/>
              <w:t>116,906,160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the Company’s common stock may be issued under the 2023 Plan. In addition, the number of shares of the Company’s common stock reserved for issuance under the 2023 Plan automatically increases on January 1 of each year, effective January 1, 2024 through January 1, 2033, in an amount equal to the lesser of (1) 4% of the total number of shares of the Company’s common stock outstanding on December 31 of the preceding year, or (2) a lesser number of shares of the Company’s common stock determined by the Company’s Board of Directors prior to the date of the increase. The maximum number of shares of the Company’s common stock that may be issued on the exercise of incentive stock options (“ISOs”) under the 2023 Plan is three times the number of shares available for issuance upon the 2023 Plan becoming effective (or 26,289,966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awards were granted under the Amended and Restated Complete Solaria Omnibus Incentive Plan (“2022 Plan”), the Complete Solar 2011 Stock Plan (“2011 Plan”), the Solaria Corporation 2016 Stock Plan (“2016 Plan”) and the Solaria Corporation 2006 Stock Plan (“2006 Plan”) (collectively with the 2023 Plan, “the Plans”). 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28, 2025 are also generally recognized under the cliff vesting schedule that is recognized equally over the vesting period of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7"/>
        <w:gridCol w:w="90"/>
        <w:gridCol w:w="90"/>
        <w:gridCol w:w="1130"/>
        <w:gridCol w:w="125"/>
        <w:gridCol w:w="90"/>
        <w:gridCol w:w="272"/>
        <w:gridCol w:w="753"/>
        <w:gridCol w:w="90"/>
        <w:gridCol w:w="90"/>
        <w:gridCol w:w="205"/>
        <w:gridCol w:w="1075"/>
        <w:gridCol w:w="90"/>
        <w:gridCol w:w="90"/>
        <w:gridCol w:w="268"/>
        <w:gridCol w:w="934"/>
        <w:gridCol w:w="136"/>
      </w:tblGrid>
      <w:tr>
        <w:trPr/>
        <w:tc>
          <w:tcPr>
            <w:tcW w:w="467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Outstanding –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11,716,646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3.48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8.53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934" w:type="dxa"/>
            <w:tcBorders/>
            <w:shd w:fill="CCEEFF" w:val="clear"/>
            <w:vAlign w:val="center"/>
          </w:tcPr>
          <w:p>
            <w:pPr>
              <w:pStyle w:val="TableContents"/>
              <w:bidi w:val="0"/>
              <w:spacing w:before="0" w:after="283"/>
              <w:jc w:val="right"/>
              <w:rPr/>
            </w:pPr>
            <w:r>
              <w:rPr/>
              <w:t>2,756</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677" w:type="dxa"/>
            <w:tcBorders/>
            <w:vAlign w:val="center"/>
          </w:tcPr>
          <w:p>
            <w:pPr>
              <w:pStyle w:val="TableContents"/>
              <w:bidi w:val="0"/>
              <w:spacing w:before="0" w:after="283"/>
              <w:jc w:val="left"/>
              <w:rPr/>
            </w:pPr>
            <w:r>
              <w:rPr/>
              <w:t>Options 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6,121,251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0.93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Options 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(398,883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0.77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39</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677" w:type="dxa"/>
            <w:tcBorders/>
            <w:vAlign w:val="center"/>
          </w:tcPr>
          <w:p>
            <w:pPr>
              <w:pStyle w:val="TableContents"/>
              <w:bidi w:val="0"/>
              <w:spacing w:before="0" w:after="283"/>
              <w:jc w:val="left"/>
              <w:rPr/>
            </w:pPr>
            <w:r>
              <w:rPr/>
              <w:t>Options cancelled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(7,441,781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0.17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Outstanding – December 29,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9,997,233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2.77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6,356</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677" w:type="dxa"/>
            <w:tcBorders/>
            <w:vAlign w:val="center"/>
          </w:tcPr>
          <w:p>
            <w:pPr>
              <w:pStyle w:val="TableContents"/>
              <w:bidi w:val="0"/>
              <w:spacing w:before="0" w:after="283"/>
              <w:jc w:val="left"/>
              <w:rPr/>
            </w:pPr>
            <w:r>
              <w:rPr/>
              <w:t>Options 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Options 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(712,467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0.72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83</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677" w:type="dxa"/>
            <w:tcBorders/>
            <w:vAlign w:val="center"/>
          </w:tcPr>
          <w:p>
            <w:pPr>
              <w:pStyle w:val="TableContents"/>
              <w:bidi w:val="0"/>
              <w:spacing w:before="0" w:after="283"/>
              <w:jc w:val="left"/>
              <w:rPr/>
            </w:pPr>
            <w:r>
              <w:rPr/>
              <w:t>Options cancelled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(4,354,466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2.69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Outstanding –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1,903</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677" w:type="dxa"/>
            <w:tcBorders/>
            <w:vAlign w:val="center"/>
          </w:tcPr>
          <w:p>
            <w:pPr>
              <w:pStyle w:val="TableContents"/>
              <w:bidi w:val="0"/>
              <w:spacing w:before="0" w:after="283"/>
              <w:jc w:val="left"/>
              <w:rPr/>
            </w:pPr>
            <w:r>
              <w:rPr/>
              <w:t>Vested and expected to vest— December 28,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4,930,300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4.62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5.58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1,903</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Vested and exercisable—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1,909,809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5.94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635</w:t>
            </w:r>
          </w:p>
        </w:tc>
        <w:tc>
          <w:tcPr>
            <w:tcW w:w="1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during the fiscal years ended 2025 and 2024 was $0.4 million and $1.9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5179" w:type="dxa"/>
        <w:jc w:val="left"/>
        <w:tblInd w:w="0" w:type="dxa"/>
        <w:tblLayout w:type="fixed"/>
        <w:tblCellMar>
          <w:top w:w="0" w:type="dxa"/>
          <w:left w:w="0" w:type="dxa"/>
          <w:bottom w:w="0" w:type="dxa"/>
          <w:right w:w="0" w:type="dxa"/>
        </w:tblCellMar>
      </w:tblPr>
      <w:tblGrid>
        <w:gridCol w:w="2645"/>
        <w:gridCol w:w="90"/>
        <w:gridCol w:w="90"/>
        <w:gridCol w:w="980"/>
        <w:gridCol w:w="110"/>
        <w:gridCol w:w="90"/>
        <w:gridCol w:w="257"/>
        <w:gridCol w:w="782"/>
        <w:gridCol w:w="135"/>
      </w:tblGrid>
      <w:tr>
        <w:trPr/>
        <w:tc>
          <w:tcPr>
            <w:tcW w:w="26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RSUs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Weighted </w:t>
              <w:br/>
              <w:t xml:space="preserve">Average </w:t>
              <w:br/>
              <w:t xml:space="preserve">Grant Date </w:t>
              <w:br/>
              <w:t>Fair Value</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58,097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2,593,097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(669,059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29,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1,982,135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22,235,871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1.73</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(4,632,212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(5,351,434</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14,234,360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during the fiscal years ended 2025 and 2024 was $8.1 million and $1.2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grant-date fair value of stock options using the Black-Scholes-Merton option-pricing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assumptions were used to calculate the fair value of stock-based compensation for the options granted in the fiscal year ended December 29, 2024:</w:t>
      </w:r>
    </w:p>
    <w:p>
      <w:pPr>
        <w:pStyle w:val="TextBody"/>
        <w:bidi w:val="0"/>
        <w:spacing w:before="0" w:after="0"/>
        <w:ind w:left="0" w:right="0" w:hanging="0"/>
        <w:jc w:val="left"/>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2030"/>
        <w:gridCol w:w="90"/>
        <w:gridCol w:w="90"/>
        <w:gridCol w:w="1385"/>
        <w:gridCol w:w="260"/>
      </w:tblGrid>
      <w:tr>
        <w:trPr/>
        <w:tc>
          <w:tcPr>
            <w:tcW w:w="2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 (in years)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 – 6.32</w:t>
            </w:r>
          </w:p>
        </w:tc>
        <w:tc>
          <w:tcPr>
            <w:tcW w:w="260"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58.45% – 62.39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 – 4.71</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term</w:t>
      </w:r>
      <w:r>
        <w:rPr>
          <w:rFonts w:ascii="Times New Roman;Times;Serif" w:hAnsi="Times New Roman;Times;Serif"/>
          <w:b w:val="false"/>
          <w:i w:val="false"/>
          <w:caps w:val="false"/>
          <w:smallCaps w:val="false"/>
          <w:sz w:val="20"/>
        </w:rPr>
        <w:t xml:space="preserve"> — The Company uses the simplified method to calculate the expected term of stock option grants to employees as the Company does not have sufficient comparable historical exercise data to provide a reasonable basis upon which to estimate the expected term of stock options granted to employees. The expected term equals the arithmetic average of the vesting term and the original contractual term of the option (generally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Due to the Company’s limited operating history and a lack of company specific historical and implied volatility data, the Company has based its estimate of 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rate assumption is based on U.S. Treasury instruments with maturities similar to the expected term of the Company’s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dividends</w:t>
      </w:r>
      <w:r>
        <w:rPr>
          <w:rFonts w:ascii="Times New Roman;Times;Serif" w:hAnsi="Times New Roman;Times;Serif"/>
          <w:b w:val="false"/>
          <w:i w:val="false"/>
          <w:caps w:val="false"/>
          <w:smallCaps w:val="false"/>
          <w:sz w:val="20"/>
        </w:rPr>
        <w:t xml:space="preserve"> — The Company has not issued any dividends in its history and does not expect to issue dividends over the life of the options and therefore has estimated the dividend yield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Fair value of common stock</w:t>
      </w:r>
      <w:r>
        <w:rPr>
          <w:rFonts w:ascii="Times New Roman;Times;Serif" w:hAnsi="Times New Roman;Times;Serif"/>
          <w:b w:val="false"/>
          <w:i w:val="false"/>
          <w:caps w:val="false"/>
          <w:smallCaps w:val="false"/>
          <w:sz w:val="20"/>
        </w:rPr>
        <w:t xml:space="preserve"> — The fair value of the shares of common stock underlying the stock-based awards is based on the price of the Company’s common stock in the open market on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23" w:type="dxa"/>
        <w:jc w:val="left"/>
        <w:tblInd w:w="0" w:type="dxa"/>
        <w:tblLayout w:type="fixed"/>
        <w:tblCellMar>
          <w:top w:w="0" w:type="dxa"/>
          <w:left w:w="0" w:type="dxa"/>
          <w:bottom w:w="0" w:type="dxa"/>
          <w:right w:w="0" w:type="dxa"/>
        </w:tblCellMar>
      </w:tblPr>
      <w:tblGrid>
        <w:gridCol w:w="3920"/>
        <w:gridCol w:w="90"/>
        <w:gridCol w:w="278"/>
        <w:gridCol w:w="1166"/>
        <w:gridCol w:w="95"/>
        <w:gridCol w:w="95"/>
        <w:gridCol w:w="322"/>
        <w:gridCol w:w="1122"/>
        <w:gridCol w:w="135"/>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pPr>
            <w:r>
              <w:rPr/>
              <w:t>Cost of revenues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3,003</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157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2,618</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598</w:t>
            </w:r>
          </w:p>
        </w:tc>
        <w:tc>
          <w:tcPr>
            <w:tcW w:w="135"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4,867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2,312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left"/>
              <w:rPr/>
            </w:pPr>
            <w:r>
              <w:rPr/>
              <w:t>Total stock-based compensation expense</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10,488</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22" w:type="dxa"/>
            <w:tcBorders>
              <w:bottom w:val="double" w:sz="10" w:space="0" w:color="000000"/>
            </w:tcBorders>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tcMar>
              <w:bottom w:w="28" w:type="dxa"/>
            </w:tcMar>
            <w:vAlign w:val="center"/>
          </w:tcPr>
          <w:p>
            <w:pPr>
              <w:pStyle w:val="TableContents"/>
              <w:bidi w:val="0"/>
              <w:spacing w:before="0" w:after="283"/>
              <w:jc w:val="right"/>
              <w:rPr/>
            </w:pPr>
            <w:r>
              <w:rPr/>
              <w:t>3,067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was a total of $1.1 million and $23.1 million of unrecognized stock-based compensation costs related to service-based options and RSUs, respectively. Such compensation cost is expected to be recognized over a weighted-average period of approximately 2.4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Company’s Board of Directors approved the modification to accelerate the vesting of 788,192 options, for employees that were terminated. Additionally, the Board of Directors approved an extension of the post termination exercise period for 4,343,172 vested options of terminated employees in the fiscal years ended December 29, 2024. In connection with the modifications, the Company recorded incremental stock-based compensation expense of $0.7 million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Basic and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loss per share. No dividends were declared or paid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computation of the Company’s basic and diluted net loss per share attributable to common stockholders </w:t>
      </w:r>
      <w:r>
        <w:rPr>
          <w:rFonts w:ascii="Times New Roman;Times;Serif" w:hAnsi="Times New Roman;Times;Serif"/>
          <w:b w:val="false"/>
          <w:i/>
          <w:caps w:val="false"/>
          <w:smallCaps w:val="false"/>
          <w:sz w:val="20"/>
        </w:rPr>
        <w:t>(in thousands, except share and per share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1"/>
        <w:gridCol w:w="90"/>
        <w:gridCol w:w="186"/>
        <w:gridCol w:w="1247"/>
        <w:gridCol w:w="125"/>
        <w:gridCol w:w="90"/>
        <w:gridCol w:w="186"/>
        <w:gridCol w:w="1247"/>
        <w:gridCol w:w="173"/>
      </w:tblGrid>
      <w:tr>
        <w:trPr/>
        <w:tc>
          <w:tcPr>
            <w:tcW w:w="686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73" w:type="dxa"/>
            <w:tcBorders/>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center"/>
              <w:rPr>
                <w:b/>
              </w:rPr>
            </w:pPr>
            <w:r>
              <w:rPr>
                <w:b/>
              </w:rPr>
              <w:t>December 29,</w:t>
            </w:r>
          </w:p>
        </w:tc>
        <w:tc>
          <w:tcPr>
            <w:tcW w:w="173" w:type="dxa"/>
            <w:tcBorders/>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3" w:type="dxa"/>
            <w:tcBorders/>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left"/>
              <w:rPr>
                <w:b/>
              </w:rPr>
            </w:pPr>
            <w:r>
              <w:rPr>
                <w:b/>
              </w:rPr>
              <w:t>Numerator for basic loss per share:</w:t>
            </w:r>
          </w:p>
        </w:tc>
        <w:tc>
          <w:tcPr>
            <w:tcW w:w="9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(44,254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(54,444</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pPr>
            <w:r>
              <w:rPr/>
              <w:t>Net loss from discontinued operations</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173" w:type="dxa"/>
            <w:tcBorders/>
            <w:vAlign w:val="center"/>
          </w:tcPr>
          <w:p>
            <w:pPr>
              <w:pStyle w:val="TableContents"/>
              <w:bidi w:val="0"/>
              <w:spacing w:before="0" w:after="283"/>
              <w:jc w:val="left"/>
              <w:rPr/>
            </w:pPr>
            <w:r>
              <w:rPr/>
              <w:t>)</w:t>
            </w:r>
          </w:p>
        </w:tc>
      </w:tr>
      <w:tr>
        <w:trPr/>
        <w:tc>
          <w:tcPr>
            <w:tcW w:w="686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b/>
              </w:rPr>
            </w:pPr>
            <w:r>
              <w:rPr>
                <w:b/>
              </w:rPr>
              <w:t>Numerator for diluted loss per share</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Impact of September 2024 Notes derivative liability and interest expense, net of tax</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(35,886</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tcMar>
              <w:bottom w:w="28" w:type="dxa"/>
            </w:tcMar>
            <w:vAlign w:val="center"/>
          </w:tcPr>
          <w:p>
            <w:pPr>
              <w:pStyle w:val="TableContents"/>
              <w:bidi w:val="0"/>
              <w:spacing w:before="0" w:after="283"/>
              <w:jc w:val="right"/>
              <w:rPr/>
            </w:pPr>
            <w:r>
              <w:rPr/>
              <w:t>(45,354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tcMar>
              <w:bottom w:w="28" w:type="dxa"/>
            </w:tcMar>
            <w:vAlign w:val="center"/>
          </w:tcPr>
          <w:p>
            <w:pPr>
              <w:pStyle w:val="TableContents"/>
              <w:bidi w:val="0"/>
              <w:spacing w:before="0" w:after="283"/>
              <w:jc w:val="right"/>
              <w:rPr/>
            </w:pPr>
            <w:r>
              <w:rPr/>
              <w:t>(92,337</w:t>
            </w:r>
          </w:p>
        </w:tc>
        <w:tc>
          <w:tcPr>
            <w:tcW w:w="173" w:type="dxa"/>
            <w:tcBorders/>
            <w:vAlign w:val="center"/>
          </w:tcPr>
          <w:p>
            <w:pPr>
              <w:pStyle w:val="TableContents"/>
              <w:bidi w:val="0"/>
              <w:spacing w:before="0" w:after="283"/>
              <w:jc w:val="left"/>
              <w:rPr/>
            </w:pPr>
            <w:r>
              <w:rPr/>
              <w:t>)</w:t>
            </w:r>
          </w:p>
        </w:tc>
      </w:tr>
      <w:tr>
        <w:trPr/>
        <w:tc>
          <w:tcPr>
            <w:tcW w:w="6861" w:type="dxa"/>
            <w:tcBorders/>
            <w:shd w:fill="CCEEFF" w:val="clear"/>
            <w:vAlign w:val="center"/>
          </w:tcPr>
          <w:p>
            <w:pPr>
              <w:pStyle w:val="TableContents"/>
              <w:bidi w:val="0"/>
              <w:spacing w:before="0" w:after="283"/>
              <w:jc w:val="left"/>
              <w:rPr>
                <w:b/>
              </w:rPr>
            </w:pPr>
            <w:r>
              <w:rPr>
                <w:b/>
              </w:rPr>
              <w:t>Denominator:</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left"/>
              <w:rPr/>
            </w:pPr>
            <w:r>
              <w:rPr/>
              <w:t>Weighted average shares:</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Denominator for basic loss per share</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87,108,928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66,655,837</w:t>
            </w:r>
          </w:p>
        </w:tc>
        <w:tc>
          <w:tcPr>
            <w:tcW w:w="173" w:type="dxa"/>
            <w:tcBorders/>
            <w:shd w:fill="CCEEFF" w:val="clear"/>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left"/>
              <w:rPr/>
            </w:pPr>
            <w:r>
              <w:rPr/>
              <w:t>Effect of dilutive securities:</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September 2024 Notes derivative liability</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9,137,711</w:t>
            </w:r>
          </w:p>
        </w:tc>
        <w:tc>
          <w:tcPr>
            <w:tcW w:w="173" w:type="dxa"/>
            <w:tcBorders/>
            <w:shd w:fill="CCEEFF" w:val="clear"/>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left"/>
              <w:rPr/>
            </w:pPr>
            <w:r>
              <w:rPr/>
              <w:t>Denominator for diluted loss per share</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7" w:type="dxa"/>
            <w:tcBorders>
              <w:bottom w:val="double" w:sz="10" w:space="0" w:color="000000"/>
            </w:tcBorders>
            <w:tcMar>
              <w:bottom w:w="28" w:type="dxa"/>
            </w:tcMar>
            <w:vAlign w:val="center"/>
          </w:tcPr>
          <w:p>
            <w:pPr>
              <w:pStyle w:val="TableContents"/>
              <w:bidi w:val="0"/>
              <w:spacing w:before="0" w:after="283"/>
              <w:jc w:val="right"/>
              <w:rPr/>
            </w:pPr>
            <w:r>
              <w:rPr/>
              <w:t>87,108,928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7" w:type="dxa"/>
            <w:tcBorders>
              <w:bottom w:val="double" w:sz="10" w:space="0" w:color="000000"/>
            </w:tcBorders>
            <w:tcMar>
              <w:bottom w:w="28" w:type="dxa"/>
            </w:tcMar>
            <w:vAlign w:val="center"/>
          </w:tcPr>
          <w:p>
            <w:pPr>
              <w:pStyle w:val="TableContents"/>
              <w:bidi w:val="0"/>
              <w:spacing w:before="0" w:after="283"/>
              <w:jc w:val="right"/>
              <w:rPr/>
            </w:pPr>
            <w:r>
              <w:rPr/>
              <w:t>75,793,548</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b/>
              </w:rPr>
            </w:pPr>
            <w:r>
              <w:rPr>
                <w:b/>
              </w:rPr>
              <w:t>Net loss per share:</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(0.82</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pPr>
            <w:r>
              <w:rPr/>
              <w:t>Discontinued operations</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(0.03</w:t>
            </w:r>
          </w:p>
        </w:tc>
        <w:tc>
          <w:tcPr>
            <w:tcW w:w="173" w:type="dxa"/>
            <w:tcBorders/>
            <w:vAlign w:val="center"/>
          </w:tcPr>
          <w:p>
            <w:pPr>
              <w:pStyle w:val="TableContents"/>
              <w:bidi w:val="0"/>
              <w:spacing w:before="0" w:after="283"/>
              <w:jc w:val="left"/>
              <w:rPr/>
            </w:pPr>
            <w:r>
              <w:rPr/>
              <w:t>)</w:t>
            </w:r>
          </w:p>
        </w:tc>
      </w:tr>
      <w:tr>
        <w:trPr/>
        <w:tc>
          <w:tcPr>
            <w:tcW w:w="686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pPr>
            <w:r>
              <w:rPr/>
              <w:t>Diluted</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(1.19</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pPr>
            <w:r>
              <w:rPr/>
              <w:t>Discontinued operations</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(0.03</w:t>
            </w:r>
          </w:p>
        </w:tc>
        <w:tc>
          <w:tcPr>
            <w:tcW w:w="173" w:type="dxa"/>
            <w:tcBorders/>
            <w:vAlign w:val="center"/>
          </w:tcPr>
          <w:p>
            <w:pPr>
              <w:pStyle w:val="TableContents"/>
              <w:bidi w:val="0"/>
              <w:spacing w:before="0" w:after="283"/>
              <w:jc w:val="left"/>
              <w:rPr/>
            </w:pPr>
            <w:r>
              <w:rPr/>
              <w:t>)</w:t>
            </w:r>
          </w:p>
        </w:tc>
      </w:tr>
      <w:tr>
        <w:trPr/>
        <w:tc>
          <w:tcPr>
            <w:tcW w:w="686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7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net loss per share attributable to common stockholders is inclusive of warrants with an insignificant exercise price and the minimum number of shares to be issued in connection with the deferred consideration related to the Ambia acquisition. The Company’s calculation of the weighted average shares outstanding with an insignificant exercise price was 234,610 and 3,427,324 warrants (which assumes that the warrants were outstanding as of the beginning of the period or the date of the grant, whichever is earlier) for the fiscal years ended December 28, 2025, and December 29, 2024, respectively. The computation of diluted net loss per share attributable to common stockholders is inclusive of the impact of the Company’s September 2024 Notes (which were dilutive) using the if-converted method for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523" w:type="dxa"/>
        <w:jc w:val="left"/>
        <w:tblInd w:w="0" w:type="dxa"/>
        <w:tblLayout w:type="fixed"/>
        <w:tblCellMar>
          <w:top w:w="0" w:type="dxa"/>
          <w:left w:w="0" w:type="dxa"/>
          <w:bottom w:w="0" w:type="dxa"/>
          <w:right w:w="0" w:type="dxa"/>
        </w:tblCellMar>
      </w:tblPr>
      <w:tblGrid>
        <w:gridCol w:w="6230"/>
        <w:gridCol w:w="90"/>
        <w:gridCol w:w="97"/>
        <w:gridCol w:w="1347"/>
        <w:gridCol w:w="90"/>
        <w:gridCol w:w="90"/>
        <w:gridCol w:w="106"/>
        <w:gridCol w:w="1338"/>
        <w:gridCol w:w="135"/>
      </w:tblGrid>
      <w:tr>
        <w:trPr/>
        <w:tc>
          <w:tcPr>
            <w:tcW w:w="6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pPr>
            <w:r>
              <w:rPr/>
              <w:t>Common stock warrants</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218,847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25,434,069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pPr>
            <w:r>
              <w:rPr/>
              <w:t>Convertible notes</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82,460,428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27,364,717</w:t>
            </w:r>
          </w:p>
        </w:tc>
        <w:tc>
          <w:tcPr>
            <w:tcW w:w="135"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pPr>
            <w:r>
              <w:rPr/>
              <w:t>Stock options and RSUs issued and outstanding</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8,084,064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11,979,368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pPr>
            <w:r>
              <w:rPr/>
              <w:t>Third SAFE Agreement</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2,750,000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pPr>
            <w:r>
              <w:rPr/>
              <w:t>Deferred consideration shares</w:t>
            </w:r>
          </w:p>
        </w:tc>
        <w:tc>
          <w:tcPr>
            <w:tcW w:w="9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center"/>
          </w:tcPr>
          <w:p>
            <w:pPr>
              <w:pStyle w:val="TableContents"/>
              <w:bidi w:val="0"/>
              <w:spacing w:before="0" w:after="283"/>
              <w:jc w:val="right"/>
              <w:rPr/>
            </w:pPr>
            <w:r>
              <w:rPr/>
              <w:t>11,640,506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pPr>
            <w:r>
              <w:rPr/>
              <w:t>Potential common shares excluded from diluted net loss per share</w:t>
            </w:r>
          </w:p>
        </w:tc>
        <w:tc>
          <w:tcPr>
            <w:tcW w:w="90" w:type="dxa"/>
            <w:tcBorders/>
            <w:vAlign w:val="center"/>
          </w:tcPr>
          <w:p>
            <w:pPr>
              <w:pStyle w:val="TableContents"/>
              <w:bidi w:val="0"/>
              <w:spacing w:before="0" w:after="283"/>
              <w:jc w:val="left"/>
              <w:rPr/>
            </w:pPr>
            <w:r>
              <w:rPr/>
              <w:t> </w:t>
            </w:r>
          </w:p>
        </w:tc>
        <w:tc>
          <w:tcPr>
            <w:tcW w:w="97" w:type="dxa"/>
            <w:tcBorders>
              <w:bottom w:val="double" w:sz="10" w:space="0" w:color="000000"/>
            </w:tcBorders>
            <w:tcMar>
              <w:bottom w:w="28" w:type="dxa"/>
            </w:tcMar>
            <w:vAlign w:val="center"/>
          </w:tcPr>
          <w:p>
            <w:pPr>
              <w:pStyle w:val="TableContents"/>
              <w:bidi w:val="0"/>
              <w:spacing w:before="0" w:after="283"/>
              <w:jc w:val="left"/>
              <w:rPr/>
            </w:pPr>
            <w:r>
              <w:rPr/>
              <w:t> </w:t>
            </w:r>
          </w:p>
        </w:tc>
        <w:tc>
          <w:tcPr>
            <w:tcW w:w="1347" w:type="dxa"/>
            <w:tcBorders>
              <w:bottom w:val="double" w:sz="10" w:space="0" w:color="000000"/>
            </w:tcBorders>
            <w:tcMar>
              <w:bottom w:w="28" w:type="dxa"/>
            </w:tcMar>
            <w:vAlign w:val="center"/>
          </w:tcPr>
          <w:p>
            <w:pPr>
              <w:pStyle w:val="TableContents"/>
              <w:bidi w:val="0"/>
              <w:spacing w:before="0" w:after="283"/>
              <w:jc w:val="right"/>
              <w:rPr/>
            </w:pPr>
            <w:r>
              <w:rPr/>
              <w:t>105,153,845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double" w:sz="10" w:space="0" w:color="000000"/>
            </w:tcBorders>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tcMar>
              <w:bottom w:w="28" w:type="dxa"/>
            </w:tcMar>
            <w:vAlign w:val="center"/>
          </w:tcPr>
          <w:p>
            <w:pPr>
              <w:pStyle w:val="TableContents"/>
              <w:bidi w:val="0"/>
              <w:spacing w:before="0" w:after="283"/>
              <w:jc w:val="right"/>
              <w:rPr/>
            </w:pPr>
            <w:r>
              <w:rPr/>
              <w:t>64,778,154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Segment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30"/>
        <w:gridCol w:w="90"/>
        <w:gridCol w:w="202"/>
        <w:gridCol w:w="988"/>
        <w:gridCol w:w="125"/>
        <w:gridCol w:w="90"/>
        <w:gridCol w:w="198"/>
        <w:gridCol w:w="970"/>
        <w:gridCol w:w="90"/>
        <w:gridCol w:w="90"/>
        <w:gridCol w:w="170"/>
        <w:gridCol w:w="710"/>
        <w:gridCol w:w="90"/>
        <w:gridCol w:w="90"/>
        <w:gridCol w:w="170"/>
        <w:gridCol w:w="830"/>
        <w:gridCol w:w="172"/>
      </w:tblGrid>
      <w:tr>
        <w:trPr/>
        <w:tc>
          <w:tcPr>
            <w:tcW w:w="5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1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172" w:type="dxa"/>
            <w:tcBorders/>
            <w:vAlign w:val="center"/>
          </w:tcPr>
          <w:p>
            <w:pPr>
              <w:pStyle w:val="TableContents"/>
              <w:bidi w:val="0"/>
              <w:spacing w:before="0" w:after="283"/>
              <w:jc w:val="left"/>
              <w:rPr/>
            </w:pPr>
            <w:r>
              <w:rPr/>
              <w:t> </w:t>
            </w:r>
          </w:p>
        </w:tc>
      </w:tr>
      <w:tr>
        <w:trPr/>
        <w:tc>
          <w:tcPr>
            <w:tcW w:w="5130"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Homes </w:t>
              <w:br/>
              <w:t>Business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2"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283"/>
              <w:jc w:val="left"/>
              <w:rPr/>
            </w:pPr>
            <w:r>
              <w:rPr/>
              <w:t>Operating revenues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160,987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124,595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14,418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300,000</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88,400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82,288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26,298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5,032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5,679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25,154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3,253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58,597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29,648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1,859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Segment operating income (loss)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(37,462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tcMar>
              <w:bottom w:w="28" w:type="dxa"/>
            </w:tcMar>
            <w:vAlign w:val="center"/>
          </w:tcPr>
          <w:p>
            <w:pPr>
              <w:pStyle w:val="TableContents"/>
              <w:bidi w:val="0"/>
              <w:spacing w:before="0" w:after="283"/>
              <w:jc w:val="right"/>
              <w:rPr/>
            </w:pPr>
            <w:r>
              <w:rPr/>
              <w:t>4,374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6,157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(26,931</w:t>
            </w:r>
          </w:p>
        </w:tc>
        <w:tc>
          <w:tcPr>
            <w:tcW w:w="172" w:type="dxa"/>
            <w:tcBorders/>
            <w:vAlign w:val="center"/>
          </w:tcPr>
          <w:p>
            <w:pPr>
              <w:pStyle w:val="TableContents"/>
              <w:bidi w:val="0"/>
              <w:spacing w:before="0" w:after="283"/>
              <w:jc w:val="left"/>
              <w:rPr/>
            </w:pPr>
            <w:r>
              <w:rPr/>
              <w:t>)</w:t>
            </w:r>
          </w:p>
        </w:tc>
      </w:tr>
      <w:tr>
        <w:trPr/>
        <w:tc>
          <w:tcPr>
            <w:tcW w:w="5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130" w:type="dxa"/>
            <w:tcBorders/>
            <w:vAlign w:val="center"/>
          </w:tcPr>
          <w:p>
            <w:pPr>
              <w:pStyle w:val="TableContents"/>
              <w:bidi w:val="0"/>
              <w:spacing w:before="0" w:after="283"/>
              <w:jc w:val="left"/>
              <w:rPr>
                <w:i/>
              </w:rPr>
            </w:pPr>
            <w:r>
              <w:rPr>
                <w:i/>
              </w:rPr>
              <w:t>Reconciliation of segment income (loss) from continuing operations before income taxes: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5130" w:type="dxa"/>
            <w:tcBorders/>
            <w:shd w:fill="CCEEFF" w:val="clear"/>
            <w:vAlign w:val="center"/>
          </w:tcPr>
          <w:p>
            <w:pPr>
              <w:pStyle w:val="TableContents"/>
              <w:bidi w:val="0"/>
              <w:spacing w:before="0" w:after="283"/>
              <w:jc w:val="left"/>
              <w:rPr/>
            </w:pPr>
            <w:r>
              <w:rPr/>
              <w:t>Unallocated amounts: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(25,095</w:t>
            </w:r>
          </w:p>
        </w:tc>
        <w:tc>
          <w:tcPr>
            <w:tcW w:w="172" w:type="dxa"/>
            <w:tcBorders/>
            <w:vAlign w:val="center"/>
          </w:tcPr>
          <w:p>
            <w:pPr>
              <w:pStyle w:val="TableContents"/>
              <w:bidi w:val="0"/>
              <w:spacing w:before="0" w:after="283"/>
              <w:jc w:val="left"/>
              <w:rPr/>
            </w:pPr>
            <w:r>
              <w:rPr/>
              <w:t>)</w:t>
            </w:r>
          </w:p>
        </w:tc>
      </w:tr>
      <w:tr>
        <w:trPr/>
        <w:tc>
          <w:tcPr>
            <w:tcW w:w="513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Other non-operating income, net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9,347</w:t>
            </w:r>
          </w:p>
        </w:tc>
        <w:tc>
          <w:tcPr>
            <w:tcW w:w="172" w:type="dxa"/>
            <w:tcBorders/>
            <w:vAlign w:val="center"/>
          </w:tcPr>
          <w:p>
            <w:pPr>
              <w:pStyle w:val="TableContents"/>
              <w:bidi w:val="0"/>
              <w:spacing w:before="0" w:after="283"/>
              <w:ind w:left="0" w:right="0" w:hanging="180"/>
              <w:jc w:val="left"/>
              <w:rPr/>
            </w:pPr>
            <w:r>
              <w:rPr/>
              <w:t> </w:t>
            </w:r>
          </w:p>
        </w:tc>
      </w:tr>
      <w:tr>
        <w:trPr/>
        <w:tc>
          <w:tcPr>
            <w:tcW w:w="5130" w:type="dxa"/>
            <w:tcBorders/>
            <w:shd w:fill="CCEEFF" w:val="clear"/>
            <w:vAlign w:val="center"/>
          </w:tcPr>
          <w:p>
            <w:pPr>
              <w:pStyle w:val="TableContents"/>
              <w:bidi w:val="0"/>
              <w:spacing w:before="0" w:after="283"/>
              <w:jc w:val="left"/>
              <w:rPr/>
            </w:pPr>
            <w:r>
              <w:rPr/>
              <w:t>Loss from continuing operations before taxes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17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275"/>
        <w:gridCol w:w="7655"/>
      </w:tblGrid>
      <w:tr>
        <w:trPr/>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28, 2025, depreciation and amortization expense was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81"/>
        <w:gridCol w:w="90"/>
        <w:gridCol w:w="852"/>
        <w:gridCol w:w="1756"/>
        <w:gridCol w:w="90"/>
        <w:gridCol w:w="90"/>
        <w:gridCol w:w="630"/>
        <w:gridCol w:w="1303"/>
        <w:gridCol w:w="90"/>
        <w:gridCol w:w="90"/>
        <w:gridCol w:w="237"/>
        <w:gridCol w:w="488"/>
        <w:gridCol w:w="90"/>
        <w:gridCol w:w="90"/>
        <w:gridCol w:w="192"/>
        <w:gridCol w:w="398"/>
        <w:gridCol w:w="138"/>
      </w:tblGrid>
      <w:tr>
        <w:trPr/>
        <w:tc>
          <w:tcPr>
            <w:tcW w:w="3581" w:type="dxa"/>
            <w:tcBorders>
              <w:bottom w:val="single" w:sz="12" w:space="0" w:color="000000"/>
            </w:tcBorders>
            <w:vAlign w:val="center"/>
          </w:tcPr>
          <w:p>
            <w:pPr>
              <w:pStyle w:val="TableContents"/>
              <w:bidi w:val="0"/>
              <w:spacing w:before="0" w:after="283"/>
              <w:jc w:val="left"/>
              <w:rPr>
                <w:b/>
                <w:i/>
              </w:rPr>
            </w:pPr>
            <w:r>
              <w:rPr>
                <w:b/>
                <w:i/>
              </w:rPr>
              <w:t>(in millions)</w:t>
            </w:r>
          </w:p>
        </w:tc>
        <w:tc>
          <w:tcPr>
            <w:tcW w:w="90" w:type="dxa"/>
            <w:tcBorders/>
            <w:tcMar>
              <w:bottom w:w="0" w:type="dxa"/>
            </w:tcMar>
            <w:vAlign w:val="center"/>
          </w:tcPr>
          <w:p>
            <w:pPr>
              <w:pStyle w:val="TableContents"/>
              <w:bidi w:val="0"/>
              <w:spacing w:before="0" w:after="283"/>
              <w:jc w:val="left"/>
              <w:rPr/>
            </w:pPr>
            <w:r>
              <w:rPr/>
              <w:t> </w:t>
            </w:r>
          </w:p>
        </w:tc>
        <w:tc>
          <w:tcPr>
            <w:tcW w:w="2608" w:type="dxa"/>
            <w:gridSpan w:val="2"/>
            <w:tcBorders>
              <w:bottom w:val="single" w:sz="12" w:space="0" w:color="000000"/>
            </w:tcBorders>
            <w:vAlign w:val="center"/>
          </w:tcPr>
          <w:p>
            <w:pPr>
              <w:pStyle w:val="TableContents"/>
              <w:bidi w:val="0"/>
              <w:spacing w:before="0" w:after="283"/>
              <w:jc w:val="center"/>
              <w:rPr>
                <w:b/>
              </w:rPr>
            </w:pPr>
            <w:r>
              <w:rPr>
                <w:b/>
              </w:rPr>
              <w:t>Residential Solar Installation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33" w:type="dxa"/>
            <w:gridSpan w:val="2"/>
            <w:tcBorders>
              <w:bottom w:val="single" w:sz="12" w:space="0" w:color="000000"/>
            </w:tcBorders>
            <w:vAlign w:val="center"/>
          </w:tcPr>
          <w:p>
            <w:pPr>
              <w:pStyle w:val="TableContents"/>
              <w:bidi w:val="0"/>
              <w:spacing w:before="0" w:after="283"/>
              <w:jc w:val="center"/>
              <w:rPr>
                <w:b/>
              </w:rPr>
            </w:pPr>
            <w:r>
              <w:rPr>
                <w:b/>
              </w:rPr>
              <w:t>New Homes Business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12" w:space="0" w:color="000000"/>
            </w:tcBorders>
            <w:vAlign w:val="center"/>
          </w:tcPr>
          <w:p>
            <w:pPr>
              <w:pStyle w:val="TableContents"/>
              <w:bidi w:val="0"/>
              <w:spacing w:before="0" w:after="283"/>
              <w:jc w:val="center"/>
              <w:rPr>
                <w:b/>
              </w:rPr>
            </w:pPr>
            <w:r>
              <w:rPr>
                <w:b/>
              </w:rPr>
              <w:t>Dealer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38" w:type="dxa"/>
            <w:tcBorders/>
            <w:tcMar>
              <w:bottom w:w="0" w:type="dxa"/>
            </w:tcMar>
            <w:vAlign w:val="center"/>
          </w:tcPr>
          <w:p>
            <w:pPr>
              <w:pStyle w:val="TableContents"/>
              <w:bidi w:val="0"/>
              <w:spacing w:before="0" w:after="283"/>
              <w:jc w:val="left"/>
              <w:rPr/>
            </w:pPr>
            <w:r>
              <w:rPr/>
              <w:t> </w:t>
            </w:r>
          </w:p>
        </w:tc>
      </w:tr>
      <w:tr>
        <w:trPr/>
        <w:tc>
          <w:tcPr>
            <w:tcW w:w="3581" w:type="dxa"/>
            <w:tcBorders/>
            <w:tcMar>
              <w:bottom w:w="0" w:type="dxa"/>
            </w:tcMar>
            <w:vAlign w:val="center"/>
          </w:tcPr>
          <w:p>
            <w:pPr>
              <w:pStyle w:val="TableContents"/>
              <w:bidi w:val="0"/>
              <w:spacing w:before="0" w:after="283"/>
              <w:jc w:val="left"/>
              <w:rPr/>
            </w:pPr>
            <w:r>
              <w:rPr/>
              <w:t>Depreciation and amortization classified in:</w:t>
            </w:r>
          </w:p>
        </w:tc>
        <w:tc>
          <w:tcPr>
            <w:tcW w:w="90" w:type="dxa"/>
            <w:tcBorders/>
            <w:tcMar>
              <w:bottom w:w="0" w:type="dxa"/>
            </w:tcMar>
            <w:vAlign w:val="center"/>
          </w:tcPr>
          <w:p>
            <w:pPr>
              <w:pStyle w:val="TableContents"/>
              <w:bidi w:val="0"/>
              <w:spacing w:before="0" w:after="283"/>
              <w:jc w:val="left"/>
              <w:rPr/>
            </w:pPr>
            <w:r>
              <w:rPr/>
              <w:t> </w:t>
            </w:r>
          </w:p>
        </w:tc>
        <w:tc>
          <w:tcPr>
            <w:tcW w:w="2608"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33"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tcMar>
              <w:bottom w:w="0" w:type="dxa"/>
            </w:tcMar>
            <w:vAlign w:val="center"/>
          </w:tcPr>
          <w:p>
            <w:pPr>
              <w:pStyle w:val="TableContents"/>
              <w:bidi w:val="0"/>
              <w:spacing w:before="0" w:after="283"/>
              <w:jc w:val="right"/>
              <w:rPr/>
            </w:pPr>
            <w:r>
              <w:rPr/>
              <w:t> </w:t>
            </w:r>
          </w:p>
        </w:tc>
        <w:tc>
          <w:tcPr>
            <w:tcW w:w="138" w:type="dxa"/>
            <w:tcBorders/>
            <w:tcMar>
              <w:bottom w:w="0" w:type="dxa"/>
            </w:tcMar>
            <w:vAlign w:val="center"/>
          </w:tcPr>
          <w:p>
            <w:pPr>
              <w:pStyle w:val="TableContents"/>
              <w:bidi w:val="0"/>
              <w:spacing w:before="0" w:after="283"/>
              <w:jc w:val="left"/>
              <w:rPr/>
            </w:pPr>
            <w:r>
              <w:rPr/>
              <w:t> </w:t>
            </w:r>
          </w:p>
        </w:tc>
      </w:tr>
      <w:tr>
        <w:trPr/>
        <w:tc>
          <w:tcPr>
            <w:tcW w:w="3581" w:type="dxa"/>
            <w:tcBorders/>
            <w:shd w:fill="CCEEFF" w:val="clear"/>
            <w:tcMar>
              <w:bottom w:w="0" w:type="dxa"/>
            </w:tcMar>
            <w:vAlign w:val="center"/>
          </w:tcPr>
          <w:p>
            <w:pPr>
              <w:pStyle w:val="TableContents"/>
              <w:bidi w:val="0"/>
              <w:spacing w:before="0" w:after="283"/>
              <w:jc w:val="left"/>
              <w:rPr/>
            </w:pPr>
            <w:r>
              <w:rPr/>
              <w:t>Cost of 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left"/>
              <w:rPr/>
            </w:pPr>
            <w:r>
              <w:rPr/>
              <w:t>$</w:t>
            </w:r>
          </w:p>
        </w:tc>
        <w:tc>
          <w:tcPr>
            <w:tcW w:w="1756" w:type="dxa"/>
            <w:tcBorders/>
            <w:shd w:fill="CCEEFF" w:val="clear"/>
            <w:tcMar>
              <w:bottom w:w="0" w:type="dxa"/>
            </w:tcMar>
            <w:vAlign w:val="center"/>
          </w:tcPr>
          <w:p>
            <w:pPr>
              <w:pStyle w:val="TableContents"/>
              <w:bidi w:val="0"/>
              <w:spacing w:before="0" w:after="283"/>
              <w:jc w:val="right"/>
              <w:rPr/>
            </w:pPr>
            <w:r>
              <w:rPr/>
              <w:t>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right"/>
              <w:rPr/>
            </w:pPr>
            <w:r>
              <w:rPr/>
              <w:t>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488" w:type="dxa"/>
            <w:tcBorders/>
            <w:shd w:fill="CCEEFF" w:val="clear"/>
            <w:tcMar>
              <w:bottom w:w="0" w:type="dxa"/>
            </w:tcMar>
            <w:vAlign w:val="center"/>
          </w:tcPr>
          <w:p>
            <w:pPr>
              <w:pStyle w:val="TableContents"/>
              <w:bidi w:val="0"/>
              <w:spacing w:before="0" w:after="283"/>
              <w:jc w:val="right"/>
              <w:rPr/>
            </w:pPr>
            <w:r>
              <w:rPr/>
              <w:t>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398" w:type="dxa"/>
            <w:tcBorders/>
            <w:shd w:fill="CCEEFF" w:val="clear"/>
            <w:tcMar>
              <w:bottom w:w="0" w:type="dxa"/>
            </w:tcMar>
            <w:vAlign w:val="center"/>
          </w:tcPr>
          <w:p>
            <w:pPr>
              <w:pStyle w:val="TableContents"/>
              <w:bidi w:val="0"/>
              <w:spacing w:before="0" w:after="283"/>
              <w:jc w:val="right"/>
              <w:rPr/>
            </w:pPr>
            <w:r>
              <w:rPr/>
              <w:t>2.2</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3581" w:type="dxa"/>
            <w:tcBorders/>
            <w:tcMar>
              <w:bottom w:w="0" w:type="dxa"/>
            </w:tcMar>
            <w:vAlign w:val="center"/>
          </w:tcPr>
          <w:p>
            <w:pPr>
              <w:pStyle w:val="TableContents"/>
              <w:bidi w:val="0"/>
              <w:spacing w:before="0" w:after="283"/>
              <w:jc w:val="left"/>
              <w:rPr/>
            </w:pPr>
            <w:r>
              <w:rPr/>
              <w:t>General and administrative</w:t>
            </w:r>
          </w:p>
        </w:tc>
        <w:tc>
          <w:tcPr>
            <w:tcW w:w="90" w:type="dxa"/>
            <w:tcBorders/>
            <w:tcMar>
              <w:bottom w:w="0" w:type="dxa"/>
            </w:tcMar>
            <w:vAlign w:val="center"/>
          </w:tcPr>
          <w:p>
            <w:pPr>
              <w:pStyle w:val="TableContents"/>
              <w:bidi w:val="0"/>
              <w:spacing w:before="0" w:after="283"/>
              <w:jc w:val="left"/>
              <w:rPr/>
            </w:pPr>
            <w:r>
              <w:rPr/>
              <w:t> </w:t>
            </w:r>
          </w:p>
        </w:tc>
        <w:tc>
          <w:tcPr>
            <w:tcW w:w="852" w:type="dxa"/>
            <w:tcBorders>
              <w:bottom w:val="single" w:sz="12" w:space="0" w:color="000000"/>
            </w:tcBorders>
            <w:vAlign w:val="center"/>
          </w:tcPr>
          <w:p>
            <w:pPr>
              <w:pStyle w:val="TableContents"/>
              <w:bidi w:val="0"/>
              <w:spacing w:before="0" w:after="283"/>
              <w:jc w:val="left"/>
              <w:rPr/>
            </w:pPr>
            <w:r>
              <w:rPr/>
              <w:t> </w:t>
            </w:r>
          </w:p>
        </w:tc>
        <w:tc>
          <w:tcPr>
            <w:tcW w:w="1756" w:type="dxa"/>
            <w:tcBorders>
              <w:bottom w:val="single" w:sz="12" w:space="0" w:color="000000"/>
            </w:tcBorders>
            <w:vAlign w:val="center"/>
          </w:tcPr>
          <w:p>
            <w:pPr>
              <w:pStyle w:val="TableContents"/>
              <w:bidi w:val="0"/>
              <w:spacing w:before="0" w:after="283"/>
              <w:jc w:val="right"/>
              <w:rPr/>
            </w:pPr>
            <w:r>
              <w:rPr/>
              <w:t>5.3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0" w:type="dxa"/>
            <w:tcBorders>
              <w:bottom w:val="single" w:sz="12" w:space="0" w:color="000000"/>
            </w:tcBorders>
            <w:vAlign w:val="center"/>
          </w:tcPr>
          <w:p>
            <w:pPr>
              <w:pStyle w:val="TableContents"/>
              <w:bidi w:val="0"/>
              <w:spacing w:before="0" w:after="283"/>
              <w:jc w:val="left"/>
              <w:rPr/>
            </w:pPr>
            <w:r>
              <w:rPr/>
              <w:t> </w:t>
            </w:r>
          </w:p>
        </w:tc>
        <w:tc>
          <w:tcPr>
            <w:tcW w:w="1303" w:type="dxa"/>
            <w:tcBorders>
              <w:bottom w:val="single" w:sz="12" w:space="0" w:color="000000"/>
            </w:tcBorders>
            <w:vAlign w:val="center"/>
          </w:tcPr>
          <w:p>
            <w:pPr>
              <w:pStyle w:val="TableContents"/>
              <w:bidi w:val="0"/>
              <w:spacing w:before="0" w:after="283"/>
              <w:jc w:val="right"/>
              <w:rPr/>
            </w:pPr>
            <w:r>
              <w:rPr/>
              <w:t>0.8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7" w:type="dxa"/>
            <w:tcBorders>
              <w:bottom w:val="single" w:sz="12" w:space="0" w:color="000000"/>
            </w:tcBorders>
            <w:vAlign w:val="center"/>
          </w:tcPr>
          <w:p>
            <w:pPr>
              <w:pStyle w:val="TableContents"/>
              <w:bidi w:val="0"/>
              <w:spacing w:before="0" w:after="283"/>
              <w:jc w:val="left"/>
              <w:rPr/>
            </w:pPr>
            <w:r>
              <w:rPr/>
              <w:t> </w:t>
            </w:r>
          </w:p>
        </w:tc>
        <w:tc>
          <w:tcPr>
            <w:tcW w:w="488" w:type="dxa"/>
            <w:tcBorders>
              <w:bottom w:val="single" w:sz="12" w:space="0" w:color="000000"/>
            </w:tcBorders>
            <w:vAlign w:val="center"/>
          </w:tcPr>
          <w:p>
            <w:pPr>
              <w:pStyle w:val="TableContents"/>
              <w:bidi w:val="0"/>
              <w:spacing w:before="0" w:after="283"/>
              <w:jc w:val="right"/>
              <w:rPr/>
            </w:pPr>
            <w:r>
              <w:rPr/>
              <w:t>0.9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2" w:type="dxa"/>
            <w:tcBorders>
              <w:bottom w:val="single" w:sz="12" w:space="0" w:color="000000"/>
            </w:tcBorders>
            <w:vAlign w:val="center"/>
          </w:tcPr>
          <w:p>
            <w:pPr>
              <w:pStyle w:val="TableContents"/>
              <w:bidi w:val="0"/>
              <w:spacing w:before="0" w:after="283"/>
              <w:jc w:val="left"/>
              <w:rPr/>
            </w:pPr>
            <w:r>
              <w:rPr/>
              <w:t> </w:t>
            </w:r>
          </w:p>
        </w:tc>
        <w:tc>
          <w:tcPr>
            <w:tcW w:w="398" w:type="dxa"/>
            <w:tcBorders>
              <w:bottom w:val="single" w:sz="12" w:space="0" w:color="000000"/>
            </w:tcBorders>
            <w:vAlign w:val="center"/>
          </w:tcPr>
          <w:p>
            <w:pPr>
              <w:pStyle w:val="TableContents"/>
              <w:bidi w:val="0"/>
              <w:spacing w:before="0" w:after="283"/>
              <w:jc w:val="right"/>
              <w:rPr/>
            </w:pPr>
            <w:r>
              <w:rPr/>
              <w:t>7.0</w:t>
            </w:r>
          </w:p>
        </w:tc>
        <w:tc>
          <w:tcPr>
            <w:tcW w:w="138" w:type="dxa"/>
            <w:tcBorders/>
            <w:tcMar>
              <w:bottom w:w="0" w:type="dxa"/>
            </w:tcMar>
            <w:vAlign w:val="center"/>
          </w:tcPr>
          <w:p>
            <w:pPr>
              <w:pStyle w:val="TableContents"/>
              <w:bidi w:val="0"/>
              <w:spacing w:before="0" w:after="283"/>
              <w:jc w:val="left"/>
              <w:rPr/>
            </w:pPr>
            <w:r>
              <w:rPr/>
              <w:t> </w:t>
            </w:r>
          </w:p>
        </w:tc>
      </w:tr>
      <w:tr>
        <w:trPr/>
        <w:tc>
          <w:tcPr>
            <w:tcW w:w="3581"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852" w:type="dxa"/>
            <w:tcBorders>
              <w:bottom w:val="double" w:sz="10" w:space="0" w:color="000000"/>
            </w:tcBorders>
            <w:shd w:fill="CCEEFF" w:val="clear"/>
            <w:vAlign w:val="center"/>
          </w:tcPr>
          <w:p>
            <w:pPr>
              <w:pStyle w:val="TableContents"/>
              <w:bidi w:val="0"/>
              <w:spacing w:before="0" w:after="283"/>
              <w:jc w:val="left"/>
              <w:rPr/>
            </w:pPr>
            <w:r>
              <w:rPr/>
              <w:t>$</w:t>
            </w:r>
          </w:p>
        </w:tc>
        <w:tc>
          <w:tcPr>
            <w:tcW w:w="1756" w:type="dxa"/>
            <w:tcBorders>
              <w:bottom w:val="double" w:sz="10" w:space="0" w:color="000000"/>
            </w:tcBorders>
            <w:shd w:fill="CCEEFF" w:val="clear"/>
            <w:vAlign w:val="center"/>
          </w:tcPr>
          <w:p>
            <w:pPr>
              <w:pStyle w:val="TableContents"/>
              <w:bidi w:val="0"/>
              <w:spacing w:before="0" w:after="283"/>
              <w:jc w:val="right"/>
              <w:rPr/>
            </w:pPr>
            <w:r>
              <w:rPr/>
              <w:t>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0" w:type="dxa"/>
            <w:tcBorders>
              <w:bottom w:val="double" w:sz="10" w:space="0" w:color="000000"/>
            </w:tcBorders>
            <w:shd w:fill="CCEEFF" w:val="clear"/>
            <w:vAlign w:val="center"/>
          </w:tcPr>
          <w:p>
            <w:pPr>
              <w:pStyle w:val="TableContents"/>
              <w:bidi w:val="0"/>
              <w:spacing w:before="0" w:after="283"/>
              <w:jc w:val="left"/>
              <w:rPr/>
            </w:pPr>
            <w:r>
              <w:rPr/>
              <w:t>$</w:t>
            </w:r>
          </w:p>
        </w:tc>
        <w:tc>
          <w:tcPr>
            <w:tcW w:w="1303" w:type="dxa"/>
            <w:tcBorders>
              <w:bottom w:val="double" w:sz="10" w:space="0" w:color="000000"/>
            </w:tcBorders>
            <w:shd w:fill="CCEEFF" w:val="clear"/>
            <w:vAlign w:val="center"/>
          </w:tcPr>
          <w:p>
            <w:pPr>
              <w:pStyle w:val="TableContents"/>
              <w:bidi w:val="0"/>
              <w:spacing w:before="0" w:after="283"/>
              <w:jc w:val="right"/>
              <w:rPr/>
            </w:pPr>
            <w:r>
              <w:rPr/>
              <w:t>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7" w:type="dxa"/>
            <w:tcBorders>
              <w:bottom w:val="double" w:sz="10" w:space="0" w:color="000000"/>
            </w:tcBorders>
            <w:shd w:fill="CCEEFF" w:val="clear"/>
            <w:vAlign w:val="center"/>
          </w:tcPr>
          <w:p>
            <w:pPr>
              <w:pStyle w:val="TableContents"/>
              <w:bidi w:val="0"/>
              <w:spacing w:before="0" w:after="283"/>
              <w:jc w:val="left"/>
              <w:rPr/>
            </w:pPr>
            <w:r>
              <w:rPr/>
              <w:t>$</w:t>
            </w:r>
          </w:p>
        </w:tc>
        <w:tc>
          <w:tcPr>
            <w:tcW w:w="488" w:type="dxa"/>
            <w:tcBorders>
              <w:bottom w:val="double" w:sz="10" w:space="0" w:color="000000"/>
            </w:tcBorders>
            <w:shd w:fill="CCEEFF" w:val="clear"/>
            <w:vAlign w:val="center"/>
          </w:tcPr>
          <w:p>
            <w:pPr>
              <w:pStyle w:val="TableContents"/>
              <w:bidi w:val="0"/>
              <w:spacing w:before="0" w:after="283"/>
              <w:jc w:val="right"/>
              <w:rPr/>
            </w:pPr>
            <w:r>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10" w:space="0" w:color="000000"/>
            </w:tcBorders>
            <w:shd w:fill="CCEEFF" w:val="clear"/>
            <w:vAlign w:val="center"/>
          </w:tcPr>
          <w:p>
            <w:pPr>
              <w:pStyle w:val="TableContents"/>
              <w:bidi w:val="0"/>
              <w:spacing w:before="0" w:after="283"/>
              <w:jc w:val="left"/>
              <w:rPr/>
            </w:pPr>
            <w:r>
              <w:rPr/>
              <w:t>$</w:t>
            </w:r>
          </w:p>
        </w:tc>
        <w:tc>
          <w:tcPr>
            <w:tcW w:w="398" w:type="dxa"/>
            <w:tcBorders>
              <w:bottom w:val="double" w:sz="10" w:space="0" w:color="000000"/>
            </w:tcBorders>
            <w:shd w:fill="CCEEFF" w:val="clear"/>
            <w:vAlign w:val="center"/>
          </w:tcPr>
          <w:p>
            <w:pPr>
              <w:pStyle w:val="TableContents"/>
              <w:bidi w:val="0"/>
              <w:spacing w:before="0" w:after="283"/>
              <w:jc w:val="right"/>
              <w:rPr/>
            </w:pPr>
            <w:r>
              <w:rPr/>
              <w:t>9.2</w:t>
            </w:r>
          </w:p>
        </w:tc>
        <w:tc>
          <w:tcPr>
            <w:tcW w:w="13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41"/>
        <w:gridCol w:w="90"/>
        <w:gridCol w:w="211"/>
        <w:gridCol w:w="979"/>
        <w:gridCol w:w="143"/>
        <w:gridCol w:w="103"/>
        <w:gridCol w:w="232"/>
        <w:gridCol w:w="939"/>
        <w:gridCol w:w="143"/>
        <w:gridCol w:w="103"/>
        <w:gridCol w:w="194"/>
        <w:gridCol w:w="954"/>
        <w:gridCol w:w="173"/>
      </w:tblGrid>
      <w:tr>
        <w:trPr/>
        <w:tc>
          <w:tcPr>
            <w:tcW w:w="594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00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29, 2024</w:t>
            </w:r>
          </w:p>
        </w:tc>
        <w:tc>
          <w:tcPr>
            <w:tcW w:w="173" w:type="dxa"/>
            <w:tcBorders/>
            <w:vAlign w:val="center"/>
          </w:tcPr>
          <w:p>
            <w:pPr>
              <w:pStyle w:val="TableContents"/>
              <w:bidi w:val="0"/>
              <w:spacing w:before="0" w:after="283"/>
              <w:jc w:val="left"/>
              <w:rPr/>
            </w:pPr>
            <w:r>
              <w:rPr/>
              <w:t> </w:t>
            </w:r>
          </w:p>
        </w:tc>
      </w:tr>
      <w:tr>
        <w:trPr/>
        <w:tc>
          <w:tcPr>
            <w:tcW w:w="5941"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br/>
              <w:t>Business</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pPr>
            <w:r>
              <w:rPr/>
              <w:t>Operating revenues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67,460</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41,282</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4" w:type="dxa"/>
            <w:tcBorders/>
            <w:shd w:fill="CCEEFF" w:val="clear"/>
            <w:vAlign w:val="center"/>
          </w:tcPr>
          <w:p>
            <w:pPr>
              <w:pStyle w:val="TableContents"/>
              <w:bidi w:val="0"/>
              <w:spacing w:before="0" w:after="283"/>
              <w:jc w:val="right"/>
              <w:rPr/>
            </w:pPr>
            <w:r>
              <w:rPr/>
              <w:t>108,742</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45,266</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23,974</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23,388</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1,202</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6,827</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0"/>
              <w:jc w:val="right"/>
              <w:rPr/>
            </w:pPr>
            <w:r>
              <w:rPr/>
              <w:t>—</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57,641</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18,953</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Segment operating (loss)</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tcMar>
              <w:bottom w:w="28" w:type="dxa"/>
            </w:tcMar>
            <w:vAlign w:val="center"/>
          </w:tcPr>
          <w:p>
            <w:pPr>
              <w:pStyle w:val="TableContents"/>
              <w:bidi w:val="0"/>
              <w:spacing w:before="0" w:after="283"/>
              <w:jc w:val="right"/>
              <w:rPr/>
            </w:pPr>
            <w:r>
              <w:rPr/>
              <w:t>(65,662</w:t>
            </w:r>
          </w:p>
        </w:tc>
        <w:tc>
          <w:tcPr>
            <w:tcW w:w="143"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tcMar>
              <w:bottom w:w="28" w:type="dxa"/>
            </w:tcMar>
            <w:vAlign w:val="center"/>
          </w:tcPr>
          <w:p>
            <w:pPr>
              <w:pStyle w:val="TableContents"/>
              <w:bidi w:val="0"/>
              <w:spacing w:before="0" w:after="283"/>
              <w:jc w:val="right"/>
              <w:rPr/>
            </w:pPr>
            <w:r>
              <w:rPr/>
              <w:t>(2,847</w:t>
            </w:r>
          </w:p>
        </w:tc>
        <w:tc>
          <w:tcPr>
            <w:tcW w:w="143"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tcMar>
              <w:bottom w:w="28" w:type="dxa"/>
            </w:tcMar>
            <w:vAlign w:val="center"/>
          </w:tcPr>
          <w:p>
            <w:pPr>
              <w:pStyle w:val="TableContents"/>
              <w:bidi w:val="0"/>
              <w:spacing w:before="0" w:after="283"/>
              <w:jc w:val="right"/>
              <w:rPr/>
            </w:pPr>
            <w:r>
              <w:rPr/>
              <w:t>(68,509</w:t>
            </w:r>
          </w:p>
        </w:tc>
        <w:tc>
          <w:tcPr>
            <w:tcW w:w="173" w:type="dxa"/>
            <w:tcBorders/>
            <w:vAlign w:val="center"/>
          </w:tcPr>
          <w:p>
            <w:pPr>
              <w:pStyle w:val="TableContents"/>
              <w:bidi w:val="0"/>
              <w:spacing w:before="0" w:after="283"/>
              <w:ind w:left="0" w:right="0" w:hanging="180"/>
              <w:jc w:val="left"/>
              <w:rPr/>
            </w:pPr>
            <w:r>
              <w:rPr/>
              <w:t>)</w:t>
            </w:r>
          </w:p>
        </w:tc>
      </w:tr>
      <w:tr>
        <w:trPr/>
        <w:tc>
          <w:tcPr>
            <w:tcW w:w="59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i/>
              </w:rPr>
            </w:pPr>
            <w:r>
              <w:rPr>
                <w:i/>
              </w:rPr>
              <w:t>Reconciliation of segment loss from continuing operations before income taxes: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pPr>
            <w:r>
              <w:rPr/>
              <w:t>Unallocated amounts: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(16,223</w:t>
            </w:r>
          </w:p>
        </w:tc>
        <w:tc>
          <w:tcPr>
            <w:tcW w:w="173" w:type="dxa"/>
            <w:tcBorders/>
            <w:vAlign w:val="center"/>
          </w:tcPr>
          <w:p>
            <w:pPr>
              <w:pStyle w:val="TableContents"/>
              <w:bidi w:val="0"/>
              <w:spacing w:before="0" w:after="283"/>
              <w:ind w:left="0" w:right="0" w:hanging="180"/>
              <w:jc w:val="left"/>
              <w:rPr/>
            </w:pPr>
            <w:r>
              <w:rPr/>
              <w:t>)</w:t>
            </w:r>
          </w:p>
        </w:tc>
      </w:tr>
      <w:tr>
        <w:trPr/>
        <w:tc>
          <w:tcPr>
            <w:tcW w:w="5941"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19</w:t>
            </w:r>
          </w:p>
        </w:tc>
        <w:tc>
          <w:tcPr>
            <w:tcW w:w="173" w:type="dxa"/>
            <w:tcBorders/>
            <w:shd w:fill="CCEEFF" w:val="clear"/>
            <w:vAlign w:val="center"/>
          </w:tcPr>
          <w:p>
            <w:pPr>
              <w:pStyle w:val="TableContents"/>
              <w:bidi w:val="0"/>
              <w:spacing w:before="0" w:after="283"/>
              <w:jc w:val="left"/>
              <w:rPr/>
            </w:pPr>
            <w:r>
              <w:rPr/>
              <w:t> </w:t>
            </w:r>
          </w:p>
        </w:tc>
      </w:tr>
      <w:tr>
        <w:trPr/>
        <w:tc>
          <w:tcPr>
            <w:tcW w:w="5941" w:type="dxa"/>
            <w:tcBorders/>
            <w:vAlign w:val="center"/>
          </w:tcPr>
          <w:p>
            <w:pPr>
              <w:pStyle w:val="TableContents"/>
              <w:bidi w:val="0"/>
              <w:spacing w:before="0" w:after="283"/>
              <w:jc w:val="left"/>
              <w:rPr/>
            </w:pPr>
            <w:r>
              <w:rPr/>
              <w:t>Other non-operating income, net</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7,932</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pPr>
            <w:r>
              <w:rPr/>
              <w:t>Gain on troubled debt restructuring</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Loss from continuing operations before taxes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4" w:type="dxa"/>
            <w:tcBorders>
              <w:bottom w:val="double" w:sz="10" w:space="0" w:color="000000"/>
            </w:tcBorders>
            <w:tcMar>
              <w:bottom w:w="28" w:type="dxa"/>
            </w:tcMar>
            <w:vAlign w:val="center"/>
          </w:tcPr>
          <w:p>
            <w:pPr>
              <w:pStyle w:val="TableContents"/>
              <w:bidi w:val="0"/>
              <w:spacing w:before="0" w:after="283"/>
              <w:jc w:val="right"/>
              <w:rPr/>
            </w:pPr>
            <w:r>
              <w:rPr/>
              <w:t>(54,444</w:t>
            </w:r>
          </w:p>
        </w:tc>
        <w:tc>
          <w:tcPr>
            <w:tcW w:w="173"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29, 2024, depreciation and amortization expense was $2.6 million and $0.1 million for the Residential Solar Installation and New Homes Business reportable segments, respectively.</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corporate expense represents costs primarily legacy costs that were not expected to be ongoing subsequent to the acquisition of the SunPower Businesses.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recast its general and administrative expenses within results of operations by reportable segment for the fiscal year ended December 29, 2024 to conform to the fiscal 2025 presentation. In fiscal 2024, the Company allocated those costs which were specifically associated with the specific reportable segment with the remainder being presented as unallocated. Beginning in fiscal 2025, the Company changed its method to an allocation of general and administrative costs based upon relative revenue of each reportable segment consistent with the presentation of fiscal 2025 results segment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Employee Benefit Plan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Related Party Transactions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consolidated financial statements and the following notes to the consolidated financial statements for details and disclosures relating to related party transactions entered into by the Company; </w:t>
      </w:r>
      <w:r>
        <w:rPr>
          <w:rFonts w:ascii="Times New Roman;Times;Serif" w:hAnsi="Times New Roman;Times;Serif"/>
          <w:b/>
          <w:i w:val="false"/>
          <w:caps w:val="false"/>
          <w:smallCaps w:val="false"/>
          <w:sz w:val="20"/>
        </w:rPr>
        <w:t xml:space="preserve">Note 2 – Basis of Presentation and Summary of Significant Accounting Policies; Note 6 – Supplemental Balance Sheet Information; Note 8 – Forward Purchase Agreements, Note 9 – SAFE Agreements, Note 10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White Lion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Equity Purchase Agreement; Convertible Note; Convertible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(the “Investor”). Pursuant to the SEPA, the Investor will advance up to $20.0 million to the Company in the form of a promissory note (“Promissory Note”). Promissory Notes will accrue interest on the outstanding principal balance at an annual rate equal to 0%, which will increase to an annual rate of 18% upon the occurrence of an Event of Default (as defined in the Promissory Notes) for so long as such event remains uncured. The Promissory Notes will mature on January 27, 2027, which may be extended at the option of the Investor. The Promissory Notes are convertible into shares of the Company’s common stock. Each tranche of a Promissory Note will be advanced less a discount in the amount equal to 10% of the principal amount of such tranche. The first tranche was disbursed on January 27, 2026 in the principal amount of $1.9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the Company will have the right, from time to time, until January 27, 2029 (unless the SEPA is terminated earlier), to require the Investor to purchase up to $25.0 million of shares of the Company’s common stock (“Commitment Amount”) subject to certain limitations and conditions set forth in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the Investor a structuring and due diligence fee of $0.05 million and agreed to issue to the Investor 175,000 shares of the Company’s common stock within three days of the Effective Date as a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the Investor has purchased from the Company under the SEPA the Commitment Amount in full. The Company may terminate the SEPA at any time upon five trading days’ prior written notice to the Investor, provided that there are no outstanding advance notices under which the Company is yet to issue shares of its common stock, there are no amounts outstanding under the Promissory Notes, and provided that the Company has paid all amounts owed to the Investor pursuant to the SEPA. The Company and the Investor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further Purchase Agreement pursuant to which the Investor purchased and the Company issued a convertible debenture in the principal amount of $10.0 million (the “Debenture”). At the closing under such purchase agreement, the Company issued the Debenture to the Investor in the original principal amount of $10.0 million for a purchase price of $9.0 million less certain fees payable under the purchase agreement. The Debenture accrues interest on the outstanding principal balance at an annual rate equal to 0%, which will increase to an annual rate of 18% upon the occurrence of an event of default under the Debenture for so long as such event remains uncured. The Debenture will mature on March 6, 2027, which may be extended at the option of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May 6, 2026, June 6, 2026, July 6, 2026, August 6, 2026 and September 6, 2026 (each an “Installment Date”), the Company is required to pay an installment amount under the Debenture equal to (i) $2.0 million, plus (ii) a $0.06 million payment premium, and plus (iii) any accrued and unpaid interest (collectively, the “Installment Amount”). The Company may repay each applicable Installment Amount, at the Company’s option, (a) in cash on or before the applicable Installment Date or (b) by submitting an advance notice under the SEPA, or a combination of a payment in cash and delivery of such advance notice. At any time after the Effective Date, the Investor may convert any portion of the outstanding balance under the Debenture into shares of the Company’s common stock at a fixed price of $2.50 per share (the “Fixed Price”). Additionally, at any time on or after any Installment Date, the Investor may convert any portion of any due and unpaid Installment Amount outstanding under the Debenture into shares of the Company’s common stock at a price equal to 95% of the volume weighted average price (“VWAP”) of the common stock during the five trading days prior to the conversion date (but the conversion price will not be lower than the “Floor Price”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its option, shall have the right to redeem early all or a portion of the amounts outstanding under the Debenture upon written notice to the Investor (an “Optional Redemption”), provided, that the Company may only deliver a notice of Optional Redemption if the VWAP of the Common Stock at the time the notice is delivered is less than the Fixed Price. In connection with an Optional Redemption, the redemption price payable by the Company will be equal to (i) the outstanding principal amount of the Debenture being redeemed, plus (ii) a payment premium equal to 3% of the principal amount being repaid, and plus (iii) accrued and unpaid interest under the Debenture; however, the prepayment premium shall not apply to any Optional Redemption of the Debenture if the redemption price is paid on or before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 of Cobalt Power Systems,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(“Share Purchase Agreement”) with Cobalt Power Systems, Inc., a California corporation (“Cobalt”) and its stockholders to acquire all of the outstanding stock of Cobalt (“Cobalt Acquisition”). The Company completed the Cobalt Acquisition on February 2, 2026 (“Cobalt Closing”) for (a) 1.8 million shares of the Company’s common stock issued at the Cobalt Closing and (ii) an agreement to issue an additional $3.33 million shares of the Company’s common stock on each of the 12-month and 18-month anniversaries of the Cobalt Closing.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Cobalt designs and installs solar systems. The initial accounting for the business combination is incomplete as a result of the timing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that if the SEPA Debenture restricts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the Member agreed that the interest rate applicable to the Seller Note will increase to 10.0% per annum if the principal amount of the Seller Note remains outstanding after May 15, 2026. As an inducement to the Member’s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serif" w:hAnsi="Times New Roman;serif"/>
          <w:b/>
          <w:i/>
          <w:caps w:val="false"/>
          <w:smallCaps w:val="false"/>
          <w:sz w:val="20"/>
        </w:rPr>
      </w:pPr>
      <w:r>
        <w:rPr>
          <w:rFonts w:ascii="Times New Roman;serif" w:hAnsi="Times New Roman;serif"/>
          <w:b/>
          <w:i/>
          <w:caps w:val="false"/>
          <w:smallCaps w:val="false"/>
          <w:sz w:val="20"/>
        </w:rPr>
        <w:t>Investor Deposit by a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with the Rodgers Revocable Trust in exchange for the $5.0 million received. The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28, 2025, $2.8 million of the September 2024 Notes were converted by holders into 1.6 million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and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80"/>
        <w:gridCol w:w="90"/>
        <w:gridCol w:w="575"/>
      </w:tblGrid>
      <w:tr>
        <w:trPr/>
        <w:tc>
          <w:tcPr>
            <w:tcW w:w="7580"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758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0"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758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0"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758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0"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758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0"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758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0"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D_001"/>
      <w:bookmarkEnd w:id="33"/>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Fremont,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Sunder Energy LLC (the Company), which comprise the balance sheets as of December 31, 2024 and 2023, and the related statements of operations, changes in member’s deficit, and cash flows for the years ended December 31, 2024 and 2023,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2024 and 2023,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described in Note 2 to the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Responsibilities of Management for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Auditor’s Responsibilities for the Audit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68"/>
        <w:gridCol w:w="200"/>
        <w:gridCol w:w="86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professional judgment and maintain professional skepticism throughout the audit.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Evaluate the appropriateness of accounting policies used and the reasonableness of significant accounting estimates made by management, as well as evaluate the overall presentation of the financial statements.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D_002"/>
      <w:bookmarkEnd w:id="34"/>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65"/>
        <w:gridCol w:w="90"/>
        <w:gridCol w:w="175"/>
        <w:gridCol w:w="733"/>
        <w:gridCol w:w="128"/>
        <w:gridCol w:w="92"/>
        <w:gridCol w:w="175"/>
        <w:gridCol w:w="687"/>
        <w:gridCol w:w="160"/>
      </w:tblGrid>
      <w:tr>
        <w:trPr/>
        <w:tc>
          <w:tcPr>
            <w:tcW w:w="796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1,524</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1,710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2,018</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Accounts receivable, net of allowance for credit losses of $588 and $54 as of December 31, 2024 and 2023, respectively</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2,991</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229</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Due from related party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559</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94</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CCEEFF" w:val="clear"/>
            <w:tcMar>
              <w:bottom w:w="28" w:type="dxa"/>
            </w:tcMar>
            <w:vAlign w:val="center"/>
          </w:tcPr>
          <w:p>
            <w:pPr>
              <w:pStyle w:val="TableContents"/>
              <w:bidi w:val="0"/>
              <w:spacing w:before="0" w:after="283"/>
              <w:jc w:val="right"/>
              <w:rPr/>
            </w:pPr>
            <w:r>
              <w:rPr/>
              <w:t>1,839</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tcMar>
              <w:bottom w:w="28" w:type="dxa"/>
            </w:tcMar>
            <w:vAlign w:val="center"/>
          </w:tcPr>
          <w:p>
            <w:pPr>
              <w:pStyle w:val="TableContents"/>
              <w:bidi w:val="0"/>
              <w:spacing w:before="0" w:after="283"/>
              <w:jc w:val="right"/>
              <w:rPr/>
            </w:pPr>
            <w:r>
              <w:rPr/>
              <w:t>20,600</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tcMar>
              <w:bottom w:w="28" w:type="dxa"/>
            </w:tcMar>
            <w:vAlign w:val="center"/>
          </w:tcPr>
          <w:p>
            <w:pPr>
              <w:pStyle w:val="TableContents"/>
              <w:bidi w:val="0"/>
              <w:spacing w:before="0" w:after="283"/>
              <w:jc w:val="right"/>
              <w:rPr/>
            </w:pPr>
            <w:r>
              <w:rPr/>
              <w:t>3,872</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298</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349</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Operating lease right-of-use assets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397</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506</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733" w:type="dxa"/>
            <w:tcBorders>
              <w:bottom w:val="double" w:sz="10" w:space="0" w:color="000000"/>
            </w:tcBorders>
            <w:tcMar>
              <w:bottom w:w="28" w:type="dxa"/>
            </w:tcMar>
            <w:vAlign w:val="center"/>
          </w:tcPr>
          <w:p>
            <w:pPr>
              <w:pStyle w:val="TableContents"/>
              <w:bidi w:val="0"/>
              <w:spacing w:before="0" w:after="283"/>
              <w:jc w:val="right"/>
              <w:rPr/>
            </w:pPr>
            <w:r>
              <w:rPr/>
              <w:t>21,528</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687" w:type="dxa"/>
            <w:tcBorders>
              <w:bottom w:val="double" w:sz="10" w:space="0" w:color="000000"/>
            </w:tcBorders>
            <w:tcMar>
              <w:bottom w:w="28" w:type="dxa"/>
            </w:tcMar>
            <w:vAlign w:val="center"/>
          </w:tcPr>
          <w:p>
            <w:pPr>
              <w:pStyle w:val="TableContents"/>
              <w:bidi w:val="0"/>
              <w:spacing w:before="0" w:after="283"/>
              <w:jc w:val="right"/>
              <w:rPr/>
            </w:pPr>
            <w:r>
              <w:rPr/>
              <w:t>4,977</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b/>
              </w:rPr>
            </w:pPr>
            <w:r>
              <w:rPr>
                <w:b/>
              </w:rPr>
              <w:t>LIABILITIES AND MEMBER’S DEFICIT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1,402</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3,487</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6,511</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255</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Line of credit payable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2,250</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2,000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17,231</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2,381</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Operating lease liabilities, current portion</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119</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tcMar>
              <w:bottom w:w="28" w:type="dxa"/>
            </w:tcMar>
            <w:vAlign w:val="center"/>
          </w:tcPr>
          <w:p>
            <w:pPr>
              <w:pStyle w:val="TableContents"/>
              <w:bidi w:val="0"/>
              <w:spacing w:before="0" w:after="283"/>
              <w:jc w:val="right"/>
              <w:rPr/>
            </w:pPr>
            <w:r>
              <w:rPr/>
              <w:t>27,513</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tcMar>
              <w:bottom w:w="28" w:type="dxa"/>
            </w:tcMar>
            <w:vAlign w:val="center"/>
          </w:tcPr>
          <w:p>
            <w:pPr>
              <w:pStyle w:val="TableContents"/>
              <w:bidi w:val="0"/>
              <w:spacing w:before="0" w:after="283"/>
              <w:jc w:val="right"/>
              <w:rPr/>
            </w:pPr>
            <w:r>
              <w:rPr/>
              <w:t>8,231</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Operating lease liabilities, net of current portion</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302</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CCEEFF" w:val="clear"/>
            <w:tcMar>
              <w:bottom w:w="28" w:type="dxa"/>
            </w:tcMar>
            <w:vAlign w:val="center"/>
          </w:tcPr>
          <w:p>
            <w:pPr>
              <w:pStyle w:val="TableContents"/>
              <w:bidi w:val="0"/>
              <w:spacing w:before="0" w:after="283"/>
              <w:jc w:val="right"/>
              <w:rPr/>
            </w:pPr>
            <w:r>
              <w:rPr/>
              <w:t>421</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tcMar>
              <w:bottom w:w="28" w:type="dxa"/>
            </w:tcMar>
            <w:vAlign w:val="center"/>
          </w:tcPr>
          <w:p>
            <w:pPr>
              <w:pStyle w:val="TableContents"/>
              <w:bidi w:val="0"/>
              <w:spacing w:before="0" w:after="283"/>
              <w:jc w:val="right"/>
              <w:rPr/>
            </w:pPr>
            <w:r>
              <w:rPr/>
              <w:t>27,815</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tcMar>
              <w:bottom w:w="28" w:type="dxa"/>
            </w:tcMar>
            <w:vAlign w:val="center"/>
          </w:tcPr>
          <w:p>
            <w:pPr>
              <w:pStyle w:val="TableContents"/>
              <w:bidi w:val="0"/>
              <w:spacing w:before="0" w:after="283"/>
              <w:jc w:val="right"/>
              <w:rPr/>
            </w:pPr>
            <w:r>
              <w:rPr/>
              <w:t>8,652</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Commitments and Contingencies (Note 12)</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Member’s deficit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tcMar>
              <w:bottom w:w="28" w:type="dxa"/>
            </w:tcMar>
            <w:vAlign w:val="center"/>
          </w:tcPr>
          <w:p>
            <w:pPr>
              <w:pStyle w:val="TableContents"/>
              <w:bidi w:val="0"/>
              <w:spacing w:before="0" w:after="283"/>
              <w:jc w:val="right"/>
              <w:rPr/>
            </w:pPr>
            <w:r>
              <w:rPr/>
              <w:t>(6,287</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tcMar>
              <w:bottom w:w="28" w:type="dxa"/>
            </w:tcMar>
            <w:vAlign w:val="center"/>
          </w:tcPr>
          <w:p>
            <w:pPr>
              <w:pStyle w:val="TableContents"/>
              <w:bidi w:val="0"/>
              <w:spacing w:before="0" w:after="283"/>
              <w:jc w:val="right"/>
              <w:rPr/>
            </w:pPr>
            <w:r>
              <w:rPr/>
              <w:t>(3,675</w:t>
            </w:r>
          </w:p>
        </w:tc>
        <w:tc>
          <w:tcPr>
            <w:tcW w:w="160" w:type="dxa"/>
            <w:tcBorders/>
            <w:vAlign w:val="center"/>
          </w:tcPr>
          <w:p>
            <w:pPr>
              <w:pStyle w:val="TableContents"/>
              <w:bidi w:val="0"/>
              <w:spacing w:before="0" w:after="283"/>
              <w:ind w:left="0" w:right="0" w:hanging="180"/>
              <w:jc w:val="left"/>
              <w:rPr/>
            </w:pPr>
            <w:r>
              <w:rPr/>
              <w:t>)</w:t>
            </w:r>
          </w:p>
        </w:tc>
      </w:tr>
      <w:tr>
        <w:trPr/>
        <w:tc>
          <w:tcPr>
            <w:tcW w:w="7965" w:type="dxa"/>
            <w:tcBorders/>
            <w:shd w:fill="CCEEFF" w:val="clear"/>
            <w:vAlign w:val="center"/>
          </w:tcPr>
          <w:p>
            <w:pPr>
              <w:pStyle w:val="TableContents"/>
              <w:bidi w:val="0"/>
              <w:spacing w:before="0" w:after="283"/>
              <w:jc w:val="left"/>
              <w:rPr/>
            </w:pPr>
            <w:r>
              <w:rPr/>
              <w:t>Total liabilities and member’s deficit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3" w:type="dxa"/>
            <w:tcBorders>
              <w:bottom w:val="double" w:sz="10" w:space="0" w:color="000000"/>
            </w:tcBorders>
            <w:shd w:fill="CCEEFF" w:val="clear"/>
            <w:tcMar>
              <w:bottom w:w="28" w:type="dxa"/>
            </w:tcMar>
            <w:vAlign w:val="center"/>
          </w:tcPr>
          <w:p>
            <w:pPr>
              <w:pStyle w:val="TableContents"/>
              <w:bidi w:val="0"/>
              <w:spacing w:before="0" w:after="283"/>
              <w:jc w:val="right"/>
              <w:rPr/>
            </w:pPr>
            <w:r>
              <w:rPr/>
              <w:t>21,528</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7" w:type="dxa"/>
            <w:tcBorders>
              <w:bottom w:val="double" w:sz="10" w:space="0" w:color="000000"/>
            </w:tcBorders>
            <w:shd w:fill="CCEEFF" w:val="clear"/>
            <w:tcMar>
              <w:bottom w:w="28" w:type="dxa"/>
            </w:tcMar>
            <w:vAlign w:val="center"/>
          </w:tcPr>
          <w:p>
            <w:pPr>
              <w:pStyle w:val="TableContents"/>
              <w:bidi w:val="0"/>
              <w:spacing w:before="0" w:after="283"/>
              <w:jc w:val="right"/>
              <w:rPr/>
            </w:pPr>
            <w:r>
              <w:rPr/>
              <w:t>4,977</w:t>
            </w:r>
          </w:p>
        </w:tc>
        <w:tc>
          <w:tcPr>
            <w:tcW w:w="1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D_003"/>
      <w:bookmarkEnd w:id="35"/>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6417" w:type="dxa"/>
        <w:jc w:val="left"/>
        <w:tblInd w:w="0" w:type="dxa"/>
        <w:tblLayout w:type="fixed"/>
        <w:tblCellMar>
          <w:top w:w="0" w:type="dxa"/>
          <w:left w:w="0" w:type="dxa"/>
          <w:bottom w:w="0" w:type="dxa"/>
          <w:right w:w="0" w:type="dxa"/>
        </w:tblCellMar>
      </w:tblPr>
      <w:tblGrid>
        <w:gridCol w:w="3320"/>
        <w:gridCol w:w="90"/>
        <w:gridCol w:w="235"/>
        <w:gridCol w:w="1087"/>
        <w:gridCol w:w="173"/>
        <w:gridCol w:w="124"/>
        <w:gridCol w:w="235"/>
        <w:gridCol w:w="983"/>
        <w:gridCol w:w="170"/>
      </w:tblGrid>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44,293</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83" w:type="dxa"/>
            <w:tcBorders/>
            <w:shd w:fill="CCEEFF" w:val="clear"/>
            <w:vAlign w:val="center"/>
          </w:tcPr>
          <w:p>
            <w:pPr>
              <w:pStyle w:val="TableContents"/>
              <w:bidi w:val="0"/>
              <w:spacing w:before="0" w:after="283"/>
              <w:jc w:val="right"/>
              <w:rPr/>
            </w:pPr>
            <w:r>
              <w:rPr/>
              <w:t>56,928</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37,554</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46,815</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1,170</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989</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16,146</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15,851</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tcMar>
              <w:bottom w:w="28" w:type="dxa"/>
            </w:tcMar>
            <w:vAlign w:val="center"/>
          </w:tcPr>
          <w:p>
            <w:pPr>
              <w:pStyle w:val="TableContents"/>
              <w:bidi w:val="0"/>
              <w:spacing w:before="0" w:after="283"/>
              <w:jc w:val="right"/>
              <w:rPr/>
            </w:pPr>
            <w:r>
              <w:rPr/>
              <w:t>54,870</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before="0" w:after="283"/>
              <w:jc w:val="right"/>
              <w:rPr/>
            </w:pPr>
            <w:r>
              <w:rPr/>
              <w:t>63,655</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(10,577</w:t>
            </w:r>
          </w:p>
        </w:tc>
        <w:tc>
          <w:tcPr>
            <w:tcW w:w="173" w:type="dxa"/>
            <w:tcBorders/>
            <w:shd w:fill="CCEEFF" w:val="clear"/>
            <w:vAlign w:val="center"/>
          </w:tcPr>
          <w:p>
            <w:pPr>
              <w:pStyle w:val="TableContents"/>
              <w:bidi w:val="0"/>
              <w:spacing w:before="0" w:after="283"/>
              <w:jc w:val="left"/>
              <w:rPr/>
            </w:pPr>
            <w:r>
              <w:rPr/>
              <w:t>)</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(6,727</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(180</w:t>
            </w:r>
          </w:p>
        </w:tc>
        <w:tc>
          <w:tcPr>
            <w:tcW w:w="173"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18</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tcMar>
              <w:bottom w:w="28" w:type="dxa"/>
            </w:tcMar>
            <w:vAlign w:val="center"/>
          </w:tcPr>
          <w:p>
            <w:pPr>
              <w:pStyle w:val="TableContents"/>
              <w:bidi w:val="0"/>
              <w:spacing w:before="0" w:after="283"/>
              <w:jc w:val="right"/>
              <w:rPr/>
            </w:pPr>
            <w:r>
              <w:rPr/>
              <w:t>4,525</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4,363</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Loss from continuing operations</w:t>
            </w:r>
          </w:p>
        </w:tc>
        <w:tc>
          <w:tcPr>
            <w:tcW w:w="90"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tcMar>
              <w:bottom w:w="28" w:type="dxa"/>
            </w:tcMar>
            <w:vAlign w:val="center"/>
          </w:tcPr>
          <w:p>
            <w:pPr>
              <w:pStyle w:val="TableContents"/>
              <w:bidi w:val="0"/>
              <w:spacing w:before="0" w:after="283"/>
              <w:jc w:val="right"/>
              <w:rPr/>
            </w:pPr>
            <w:r>
              <w:rPr/>
              <w:t>(6,214</w:t>
            </w:r>
          </w:p>
        </w:tc>
        <w:tc>
          <w:tcPr>
            <w:tcW w:w="173"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before="0" w:after="283"/>
              <w:jc w:val="right"/>
              <w:rPr/>
            </w:pPr>
            <w:r>
              <w:rPr/>
              <w:t>(6,743</w:t>
            </w:r>
          </w:p>
        </w:tc>
        <w:tc>
          <w:tcPr>
            <w:tcW w:w="170"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Loss from discontinued operations</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35" w:type="dxa"/>
            <w:tcBorders>
              <w:bottom w:val="double" w:sz="10" w:space="0" w:color="000000"/>
            </w:tcBorders>
            <w:tcMar>
              <w:bottom w:w="28" w:type="dxa"/>
            </w:tcMar>
            <w:vAlign w:val="center"/>
          </w:tcPr>
          <w:p>
            <w:pPr>
              <w:pStyle w:val="TableContents"/>
              <w:bidi w:val="0"/>
              <w:spacing w:before="0" w:after="283"/>
              <w:jc w:val="left"/>
              <w:rPr/>
            </w:pPr>
            <w:r>
              <w:rPr/>
              <w:t>$</w:t>
            </w:r>
          </w:p>
        </w:tc>
        <w:tc>
          <w:tcPr>
            <w:tcW w:w="1087" w:type="dxa"/>
            <w:tcBorders>
              <w:bottom w:val="double" w:sz="10" w:space="0" w:color="000000"/>
            </w:tcBorders>
            <w:tcMar>
              <w:bottom w:w="28" w:type="dxa"/>
            </w:tcMar>
            <w:vAlign w:val="center"/>
          </w:tcPr>
          <w:p>
            <w:pPr>
              <w:pStyle w:val="TableContents"/>
              <w:bidi w:val="0"/>
              <w:spacing w:before="0" w:after="283"/>
              <w:jc w:val="right"/>
              <w:rPr/>
            </w:pPr>
            <w:r>
              <w:rPr/>
              <w:t>(6,214</w:t>
            </w:r>
          </w:p>
        </w:tc>
        <w:tc>
          <w:tcPr>
            <w:tcW w:w="173"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 </w:t>
            </w:r>
          </w:p>
        </w:tc>
        <w:tc>
          <w:tcPr>
            <w:tcW w:w="235" w:type="dxa"/>
            <w:tcBorders>
              <w:bottom w:val="double" w:sz="10" w:space="0" w:color="000000"/>
            </w:tcBorders>
            <w:tcMar>
              <w:bottom w:w="28" w:type="dxa"/>
            </w:tcMar>
            <w:vAlign w:val="center"/>
          </w:tcPr>
          <w:p>
            <w:pPr>
              <w:pStyle w:val="TableContents"/>
              <w:bidi w:val="0"/>
              <w:spacing w:before="0" w:after="283"/>
              <w:jc w:val="left"/>
              <w:rPr/>
            </w:pPr>
            <w:r>
              <w:rPr/>
              <w:t>$</w:t>
            </w:r>
          </w:p>
        </w:tc>
        <w:tc>
          <w:tcPr>
            <w:tcW w:w="983" w:type="dxa"/>
            <w:tcBorders>
              <w:bottom w:val="double" w:sz="10" w:space="0" w:color="000000"/>
            </w:tcBorders>
            <w:tcMar>
              <w:bottom w:w="28" w:type="dxa"/>
            </w:tcMar>
            <w:vAlign w:val="center"/>
          </w:tcPr>
          <w:p>
            <w:pPr>
              <w:pStyle w:val="TableContents"/>
              <w:bidi w:val="0"/>
              <w:spacing w:before="0" w:after="283"/>
              <w:jc w:val="right"/>
              <w:rPr/>
            </w:pPr>
            <w:r>
              <w:rPr/>
              <w:t>(6,803</w:t>
            </w:r>
          </w:p>
        </w:tc>
        <w:tc>
          <w:tcPr>
            <w:tcW w:w="170"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D_004"/>
      <w:bookmarkEnd w:id="36"/>
      <w:r>
        <w:rPr>
          <w:rFonts w:ascii="Times New Roman;Times;Serif" w:hAnsi="Times New Roman;Times;Serif"/>
          <w:b/>
          <w:i w:val="false"/>
          <w:caps w:val="false"/>
          <w:smallCaps w:val="false"/>
          <w:sz w:val="20"/>
        </w:rPr>
        <w:t xml:space="preserve">SUNDER ENERGY LLC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MEMBER’S DEFICIT</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jc w:val="center"/>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4115"/>
        <w:gridCol w:w="90"/>
        <w:gridCol w:w="170"/>
        <w:gridCol w:w="665"/>
        <w:gridCol w:w="170"/>
      </w:tblGrid>
      <w:tr>
        <w:trPr/>
        <w:tc>
          <w:tcPr>
            <w:tcW w:w="4115" w:type="dxa"/>
            <w:tcBorders/>
            <w:shd w:fill="CCEEFF" w:val="clear"/>
            <w:vAlign w:val="center"/>
          </w:tcPr>
          <w:p>
            <w:pPr>
              <w:pStyle w:val="TableContents"/>
              <w:bidi w:val="0"/>
              <w:spacing w:before="0" w:after="283"/>
              <w:jc w:val="left"/>
              <w:rPr/>
            </w:pPr>
            <w:r>
              <w:rPr/>
              <w:t>Member’s equity as of January 1, 2023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6,330</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(6,803</w:t>
            </w:r>
          </w:p>
        </w:tc>
        <w:tc>
          <w:tcPr>
            <w:tcW w:w="170" w:type="dxa"/>
            <w:tcBorders/>
            <w:vAlign w:val="center"/>
          </w:tcPr>
          <w:p>
            <w:pPr>
              <w:pStyle w:val="TableContents"/>
              <w:bidi w:val="0"/>
              <w:spacing w:before="0" w:after="283"/>
              <w:jc w:val="left"/>
              <w:rPr/>
            </w:pPr>
            <w:r>
              <w:rPr/>
              <w:t>)</w:t>
            </w:r>
          </w:p>
        </w:tc>
      </w:tr>
      <w:tr>
        <w:trPr/>
        <w:tc>
          <w:tcPr>
            <w:tcW w:w="4115" w:type="dxa"/>
            <w:tcBorders/>
            <w:shd w:fill="CCEEFF" w:val="clear"/>
            <w:vAlign w:val="center"/>
          </w:tcPr>
          <w:p>
            <w:pPr>
              <w:pStyle w:val="TableContents"/>
              <w:bidi w:val="0"/>
              <w:spacing w:before="0" w:after="283"/>
              <w:jc w:val="left"/>
              <w:rPr/>
            </w:pPr>
            <w:r>
              <w:rPr/>
              <w:t>Distributions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(3,202</w:t>
            </w:r>
          </w:p>
        </w:tc>
        <w:tc>
          <w:tcPr>
            <w:tcW w:w="170" w:type="dxa"/>
            <w:tcBorders/>
            <w:shd w:fill="CCEEFF" w:val="clear"/>
            <w:vAlign w:val="center"/>
          </w:tcPr>
          <w:p>
            <w:pPr>
              <w:pStyle w:val="TableContents"/>
              <w:bidi w:val="0"/>
              <w:spacing w:before="0" w:after="283"/>
              <w:jc w:val="left"/>
              <w:rPr/>
            </w:pPr>
            <w:r>
              <w:rPr/>
              <w:t>)</w:t>
            </w:r>
          </w:p>
        </w:tc>
      </w:tr>
      <w:tr>
        <w:trPr/>
        <w:tc>
          <w:tcPr>
            <w:tcW w:w="4115" w:type="dxa"/>
            <w:tcBorders/>
            <w:vAlign w:val="center"/>
          </w:tcPr>
          <w:p>
            <w:pPr>
              <w:pStyle w:val="TableContents"/>
              <w:bidi w:val="0"/>
              <w:spacing w:before="0" w:after="283"/>
              <w:jc w:val="left"/>
              <w:rPr/>
            </w:pPr>
            <w:r>
              <w:rPr/>
              <w:t>Member’s deficit as of December 31, 2023</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(3,675</w:t>
            </w:r>
          </w:p>
        </w:tc>
        <w:tc>
          <w:tcPr>
            <w:tcW w:w="170" w:type="dxa"/>
            <w:tcBorders/>
            <w:vAlign w:val="center"/>
          </w:tcPr>
          <w:p>
            <w:pPr>
              <w:pStyle w:val="TableContents"/>
              <w:bidi w:val="0"/>
              <w:spacing w:before="0" w:after="283"/>
              <w:jc w:val="left"/>
              <w:rPr/>
            </w:pPr>
            <w:r>
              <w:rPr/>
              <w:t>)</w:t>
            </w:r>
          </w:p>
        </w:tc>
      </w:tr>
      <w:tr>
        <w:trPr/>
        <w:tc>
          <w:tcPr>
            <w:tcW w:w="411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(6,214</w:t>
            </w:r>
          </w:p>
        </w:tc>
        <w:tc>
          <w:tcPr>
            <w:tcW w:w="170" w:type="dxa"/>
            <w:tcBorders/>
            <w:shd w:fill="CCEEFF" w:val="clear"/>
            <w:vAlign w:val="center"/>
          </w:tcPr>
          <w:p>
            <w:pPr>
              <w:pStyle w:val="TableContents"/>
              <w:bidi w:val="0"/>
              <w:spacing w:before="0" w:after="283"/>
              <w:jc w:val="left"/>
              <w:rPr/>
            </w:pPr>
            <w:r>
              <w:rPr/>
              <w:t>)</w:t>
            </w:r>
          </w:p>
        </w:tc>
      </w:tr>
      <w:tr>
        <w:trPr/>
        <w:tc>
          <w:tcPr>
            <w:tcW w:w="4115" w:type="dxa"/>
            <w:tcBorders/>
            <w:vAlign w:val="center"/>
          </w:tcPr>
          <w:p>
            <w:pPr>
              <w:pStyle w:val="TableContents"/>
              <w:bidi w:val="0"/>
              <w:spacing w:before="0" w:after="283"/>
              <w:jc w:val="left"/>
              <w:rPr/>
            </w:pPr>
            <w:r>
              <w:rPr/>
              <w:t>Capital contribution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4,059</w:t>
            </w:r>
          </w:p>
        </w:tc>
        <w:tc>
          <w:tcPr>
            <w:tcW w:w="17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Distributions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70" w:type="dxa"/>
            <w:tcBorders/>
            <w:shd w:fill="CCEEFF" w:val="clear"/>
            <w:vAlign w:val="center"/>
          </w:tcPr>
          <w:p>
            <w:pPr>
              <w:pStyle w:val="TableContents"/>
              <w:bidi w:val="0"/>
              <w:spacing w:before="0" w:after="283"/>
              <w:jc w:val="left"/>
              <w:rPr/>
            </w:pPr>
            <w:r>
              <w:rPr/>
              <w:t>)</w:t>
            </w:r>
          </w:p>
        </w:tc>
      </w:tr>
      <w:tr>
        <w:trPr/>
        <w:tc>
          <w:tcPr>
            <w:tcW w:w="4115" w:type="dxa"/>
            <w:tcBorders/>
            <w:vAlign w:val="center"/>
          </w:tcPr>
          <w:p>
            <w:pPr>
              <w:pStyle w:val="TableContents"/>
              <w:bidi w:val="0"/>
              <w:spacing w:before="0" w:after="283"/>
              <w:jc w:val="left"/>
              <w:rPr/>
            </w:pPr>
            <w:r>
              <w:rPr/>
              <w:t>Member’s deficit as of December 31, 2024</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(6,287</w:t>
            </w:r>
          </w:p>
        </w:tc>
        <w:tc>
          <w:tcPr>
            <w:tcW w:w="170"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D_005"/>
      <w:bookmarkEnd w:id="37"/>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40"/>
        <w:gridCol w:w="90"/>
        <w:gridCol w:w="170"/>
        <w:gridCol w:w="785"/>
        <w:gridCol w:w="125"/>
        <w:gridCol w:w="90"/>
        <w:gridCol w:w="170"/>
        <w:gridCol w:w="665"/>
        <w:gridCol w:w="170"/>
      </w:tblGrid>
      <w:tr>
        <w:trPr/>
        <w:tc>
          <w:tcPr>
            <w:tcW w:w="7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70" w:type="dxa"/>
            <w:tcBorders/>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b/>
              </w:rPr>
            </w:pPr>
            <w:r>
              <w:rPr>
                <w:b/>
              </w:rPr>
              <w:t>Cash flows from operating activities from continuing operations</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(6,214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(6,803</w:t>
            </w:r>
          </w:p>
        </w:tc>
        <w:tc>
          <w:tcPr>
            <w:tcW w:w="170" w:type="dxa"/>
            <w:tcBorders/>
            <w:shd w:fill="CCEEFF" w:val="clear"/>
            <w:vAlign w:val="center"/>
          </w:tcPr>
          <w:p>
            <w:pPr>
              <w:pStyle w:val="TableContents"/>
              <w:bidi w:val="0"/>
              <w:spacing w:before="0" w:after="283"/>
              <w:jc w:val="left"/>
              <w:rPr/>
            </w:pPr>
            <w:r>
              <w:rPr/>
              <w:t>)</w:t>
            </w:r>
          </w:p>
        </w:tc>
      </w:tr>
      <w:tr>
        <w:trPr/>
        <w:tc>
          <w:tcPr>
            <w:tcW w:w="7940" w:type="dxa"/>
            <w:tcBorders/>
            <w:vAlign w:val="center"/>
          </w:tcPr>
          <w:p>
            <w:pPr>
              <w:pStyle w:val="TableContents"/>
              <w:bidi w:val="0"/>
              <w:spacing w:before="0" w:after="283"/>
              <w:jc w:val="left"/>
              <w:rPr/>
            </w:pPr>
            <w:r>
              <w:rPr/>
              <w:t>Net loss from discontinued operations, net of tax</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(6,214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(6,743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940" w:type="dxa"/>
            <w:tcBorders/>
            <w:vAlign w:val="center"/>
          </w:tcPr>
          <w:p>
            <w:pPr>
              <w:pStyle w:val="TableContents"/>
              <w:bidi w:val="0"/>
              <w:spacing w:before="0" w:after="283"/>
              <w:jc w:val="left"/>
              <w:rPr/>
            </w:pPr>
            <w:r>
              <w:rPr/>
              <w:t>Adjustments to reconcile net loss from continuing operations to net cash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160</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1,759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3,677</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Amortization of operating lease right-of-use asset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103</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Trade 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(4,521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w:t>
            </w:r>
          </w:p>
        </w:tc>
      </w:tr>
      <w:tr>
        <w:trPr/>
        <w:tc>
          <w:tcPr>
            <w:tcW w:w="7940" w:type="dxa"/>
            <w:tcBorders/>
            <w:vAlign w:val="center"/>
          </w:tcPr>
          <w:p>
            <w:pPr>
              <w:pStyle w:val="TableContents"/>
              <w:bidi w:val="0"/>
              <w:spacing w:before="0" w:after="283"/>
              <w:jc w:val="left"/>
              <w:rPr/>
            </w:pPr>
            <w:r>
              <w:rPr/>
              <w:t>Due from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(94</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(11,669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(1,022</w:t>
            </w:r>
          </w:p>
        </w:tc>
        <w:tc>
          <w:tcPr>
            <w:tcW w:w="170" w:type="dxa"/>
            <w:tcBorders/>
            <w:shd w:fill="CCEEFF" w:val="clear"/>
            <w:vAlign w:val="center"/>
          </w:tcPr>
          <w:p>
            <w:pPr>
              <w:pStyle w:val="TableContents"/>
              <w:bidi w:val="0"/>
              <w:spacing w:before="0" w:after="283"/>
              <w:jc w:val="left"/>
              <w:rPr/>
            </w:pPr>
            <w:r>
              <w:rPr/>
              <w:t>)</w:t>
            </w:r>
          </w:p>
        </w:tc>
      </w:tr>
      <w:tr>
        <w:trPr/>
        <w:tc>
          <w:tcPr>
            <w:tcW w:w="7940"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(115</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(2,085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3,380</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6,256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(1,125</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14,850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2,381</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Operating lease liability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(80</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Net cash (used in) provided by operating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(1,992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Cash paid for purchase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170" w:type="dxa"/>
            <w:tcBorders/>
            <w:shd w:fill="CCEEFF" w:val="clear"/>
            <w:vAlign w:val="center"/>
          </w:tcPr>
          <w:p>
            <w:pPr>
              <w:pStyle w:val="TableContents"/>
              <w:bidi w:val="0"/>
              <w:spacing w:before="0" w:after="283"/>
              <w:jc w:val="left"/>
              <w:rPr/>
            </w:pPr>
            <w:r>
              <w:rPr/>
              <w:t>)</w:t>
            </w:r>
          </w:p>
        </w:tc>
      </w:tr>
      <w:tr>
        <w:trPr/>
        <w:tc>
          <w:tcPr>
            <w:tcW w:w="7940" w:type="dxa"/>
            <w:tcBorders/>
            <w:vAlign w:val="center"/>
          </w:tcPr>
          <w:p>
            <w:pPr>
              <w:pStyle w:val="TableContents"/>
              <w:bidi w:val="0"/>
              <w:spacing w:before="0" w:after="283"/>
              <w:jc w:val="left"/>
              <w:rPr/>
            </w:pPr>
            <w:r>
              <w:rPr/>
              <w:t>Net cash used in investing activities from continuing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(338</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Cash distribution to member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(3,202</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Cash contributions from member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4,059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Borrowings on the line of credit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2,000</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Repayments on the line of credit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Net cash provided by (used in) financing activities from continuing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3,852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(1,202</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Net change in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1,832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(1,022</w:t>
            </w:r>
          </w:p>
        </w:tc>
        <w:tc>
          <w:tcPr>
            <w:tcW w:w="170" w:type="dxa"/>
            <w:tcBorders/>
            <w:shd w:fill="CCEEFF" w:val="clear"/>
            <w:vAlign w:val="center"/>
          </w:tcPr>
          <w:p>
            <w:pPr>
              <w:pStyle w:val="TableContents"/>
              <w:bidi w:val="0"/>
              <w:spacing w:before="0" w:after="283"/>
              <w:jc w:val="left"/>
              <w:rPr/>
            </w:pPr>
            <w:r>
              <w:rPr/>
              <w:t>)</w:t>
            </w:r>
          </w:p>
        </w:tc>
      </w:tr>
      <w:tr>
        <w:trPr/>
        <w:tc>
          <w:tcPr>
            <w:tcW w:w="7940" w:type="dxa"/>
            <w:tcBorders/>
            <w:vAlign w:val="center"/>
          </w:tcPr>
          <w:p>
            <w:pPr>
              <w:pStyle w:val="TableContents"/>
              <w:bidi w:val="0"/>
              <w:spacing w:before="0" w:after="283"/>
              <w:jc w:val="left"/>
              <w:rPr/>
            </w:pPr>
            <w:r>
              <w:rPr/>
              <w:t>Cash and restricted cash beginning of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1,710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2,732</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Cash and restricted cash end of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1,524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1,710</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2,018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Total cash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b/>
              </w:rPr>
            </w:pPr>
            <w:r>
              <w:rPr>
                <w:b/>
              </w:rPr>
              <w:t>Non-cash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Right-of-use assets acquired in exchange for operating lease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609</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b/>
              </w:rPr>
            </w:pPr>
            <w:r>
              <w:rPr>
                <w:b/>
              </w:rPr>
              <w:t>Supplemental cash flow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Cash paid for interest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152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D_006"/>
      <w:bookmarkEnd w:id="38"/>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began selling internally developed software as a service (“SaaS”). On October 20, 2023, the Company spun off the internally developed software assets into a separate entity under common ownership. The Company accounted for these activities as discontinued operations within its financial statements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trade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 For the year ended December 31, 2024, the Company earned virtually all of its revenue from solar installation companies. Customer A, Customer B and Customer C accounted for 23%, 15%, and 10%, respectively, of the Company’s revenue for the year ended December 31, 2024. For part of the year ended December 31, 2023, the Company’s sales force worked exclusively with one solar installation company. The exclusive agreement, originally expiring in August 2024, was terminated on September 30, 2023. For the year ended December 31, 2023, 99% of total revenues was earned from this installation company. As of December 31, 2024, Customer D and Customer E accounted for 50% and 12%, respectively, of the Company’s trade accounts receivable. As of December 31, 2023, there were no trade accounts receivable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when reconciling beginning and ending balances on the Statements of Cash Flows and is classified as current on the Balance Sheets based on the expected timing of its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party represents a loan receivable from Enzy Technologies LLC (“Enzy”) an entity related to the Company by common ownership. The Company collected revenues for Enzy and paid certain shared expenses for Enzy’s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Short-term leases with an initial term of 12 months or less (of which there were none during the years ended December 31, 2024 and 2023) are not recorded on the balance sheets, and related lease payments are expensed on a straight-line basis over the term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represent a security deposit for the operating lease, noncurrent prepaid expenses, and bonus install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Through October 2023, such consideration was accounted as contract liabilities prior to having the project installed. Thereafter, such consideration was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Through October 2023, upon entering into a sales contract, the requisite performance obligation of the Company was to assist the customer in the progress of the installation. Subsequent to October 2023,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Company also had revenue from the sale of software as a service (these operations were discontinued, See Note 14 – </w:t>
      </w: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This revenue is considered earned by the Company based on the contract period and is recognized over time. For the year ended December 31, 2023, the Company had gross revenue of $321 that was earned over time. Because of the spin off, there was no further revenue earned for the sale of software as a service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December 31, 2024 and 2023 consist of deferred revenue of $17,231 and $2,381, respectively. The deferred revenue balance increased $14,850 from December 31, 2023 to December 31, 2024 primarily due to the Company’s transition to a new business model following the termination of its partnership with Freedom Forever LLC at the end of September 2023. Revenue for the year ended December 31, 2024 that was included in the contract liability balance at the beginning of the period was approximately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promotions are expensed in the year incurred. Advertising and promotions expense totaled $1,393 and $1,791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Member Ownership Interest and 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October 30, 2023, ownership interest in the Company consisted of multiple members. On October 30, 2023, the members of the Company (consisting of common and incentive unit holders) executed multiple simultaneous actions to effectuate the transfer of their interests in the Company from themselves to a new entity, Chicken Parm Pizza LLC (“CPP”). Among these actions was to create the new entity, CPP, with a membership structure that mirrored the Company’s membership structure. Additionally, the Company’s members unanimously consented to the transfer of their interests in the Company from themselves to CPP. Finally, each unit holder executed a “Unit Transfer Power” agreement in which they transferred their personal units in the Company to CPP. Upon completion of the transfer of their interests, CPP became the sole member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obligations of Chicken Parm Pizza, LLC as the sole member (“Parent”, “Sole Member” or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into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December 31, 2024, the Company has incurred net losses for the past two years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15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net are as follows:</w:t>
      </w:r>
    </w:p>
    <w:p>
      <w:pPr>
        <w:pStyle w:val="TextBody"/>
        <w:bidi w:val="0"/>
        <w:spacing w:before="0" w:after="0"/>
        <w:ind w:left="0" w:right="0" w:hanging="0"/>
        <w:jc w:val="both"/>
        <w:rPr>
          <w:caps w:val="false"/>
          <w:smallCaps w:val="false"/>
        </w:rPr>
      </w:pPr>
      <w:r>
        <w:rPr>
          <w:caps w:val="false"/>
          <w:smallCaps w:val="false"/>
        </w:rPr>
        <w:t> </w:t>
      </w:r>
    </w:p>
    <w:tbl>
      <w:tblPr>
        <w:tblW w:w="5937" w:type="dxa"/>
        <w:jc w:val="left"/>
        <w:tblInd w:w="0" w:type="dxa"/>
        <w:tblLayout w:type="fixed"/>
        <w:tblCellMar>
          <w:top w:w="0" w:type="dxa"/>
          <w:left w:w="0" w:type="dxa"/>
          <w:bottom w:w="0" w:type="dxa"/>
          <w:right w:w="0" w:type="dxa"/>
        </w:tblCellMar>
      </w:tblPr>
      <w:tblGrid>
        <w:gridCol w:w="3650"/>
        <w:gridCol w:w="90"/>
        <w:gridCol w:w="221"/>
        <w:gridCol w:w="770"/>
        <w:gridCol w:w="163"/>
        <w:gridCol w:w="117"/>
        <w:gridCol w:w="221"/>
        <w:gridCol w:w="535"/>
        <w:gridCol w:w="170"/>
      </w:tblGrid>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63"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Trade accounts receivable</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1,199</w:t>
            </w:r>
          </w:p>
        </w:tc>
        <w:tc>
          <w:tcPr>
            <w:tcW w:w="1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535"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Allowance for credit losses</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pPr>
            <w:r>
              <w:rPr/>
              <w:t>(286</w:t>
            </w:r>
          </w:p>
        </w:tc>
        <w:tc>
          <w:tcPr>
            <w:tcW w:w="163"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Trade accounts receivable, net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Contractor advances receivable</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786</w:t>
            </w:r>
          </w:p>
        </w:tc>
        <w:tc>
          <w:tcPr>
            <w:tcW w:w="1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535" w:type="dxa"/>
            <w:tcBorders/>
            <w:shd w:fill="CCEEFF" w:val="clear"/>
            <w:vAlign w:val="center"/>
          </w:tcPr>
          <w:p>
            <w:pPr>
              <w:pStyle w:val="TableContents"/>
              <w:bidi w:val="0"/>
              <w:spacing w:before="0" w:after="283"/>
              <w:jc w:val="right"/>
              <w:rPr/>
            </w:pPr>
            <w:r>
              <w:rPr/>
              <w:t>233</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Transaction fee receivable</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20</w:t>
            </w:r>
          </w:p>
        </w:tc>
        <w:tc>
          <w:tcPr>
            <w:tcW w:w="163"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Commissions overpayment receivable</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1,574</w:t>
            </w:r>
          </w:p>
        </w:tc>
        <w:tc>
          <w:tcPr>
            <w:tcW w:w="1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Allowance for credit losses</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pPr>
            <w:r>
              <w:rPr/>
              <w:t>(302</w:t>
            </w:r>
          </w:p>
        </w:tc>
        <w:tc>
          <w:tcPr>
            <w:tcW w:w="163"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tcMar>
              <w:bottom w:w="28" w:type="dxa"/>
            </w:tcMar>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both"/>
              <w:rPr/>
            </w:pPr>
            <w:r>
              <w:rPr/>
              <w:t>Total due from sales representatives</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Total accounts receivable, net</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770" w:type="dxa"/>
            <w:tcBorders>
              <w:bottom w:val="double" w:sz="10" w:space="0" w:color="000000"/>
            </w:tcBorders>
            <w:tcMar>
              <w:bottom w:w="28" w:type="dxa"/>
            </w:tcMar>
            <w:vAlign w:val="center"/>
          </w:tcPr>
          <w:p>
            <w:pPr>
              <w:pStyle w:val="TableContents"/>
              <w:bidi w:val="0"/>
              <w:spacing w:before="0" w:after="283"/>
              <w:jc w:val="right"/>
              <w:rPr/>
            </w:pPr>
            <w:r>
              <w:rPr/>
              <w:t>2,991</w:t>
            </w:r>
          </w:p>
        </w:tc>
        <w:tc>
          <w:tcPr>
            <w:tcW w:w="163"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535" w:type="dxa"/>
            <w:tcBorders>
              <w:bottom w:val="double" w:sz="10" w:space="0" w:color="000000"/>
            </w:tcBorders>
            <w:tcMar>
              <w:bottom w:w="28" w:type="dxa"/>
            </w:tcMar>
            <w:vAlign w:val="center"/>
          </w:tcPr>
          <w:p>
            <w:pPr>
              <w:pStyle w:val="TableContents"/>
              <w:bidi w:val="0"/>
              <w:spacing w:before="0" w:after="283"/>
              <w:jc w:val="right"/>
              <w:rPr/>
            </w:pPr>
            <w:r>
              <w:rPr/>
              <w:t>229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Note 4.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4"/>
        <w:gridCol w:w="90"/>
        <w:gridCol w:w="334"/>
        <w:gridCol w:w="1164"/>
        <w:gridCol w:w="133"/>
        <w:gridCol w:w="96"/>
        <w:gridCol w:w="464"/>
        <w:gridCol w:w="1000"/>
        <w:gridCol w:w="133"/>
        <w:gridCol w:w="96"/>
        <w:gridCol w:w="417"/>
        <w:gridCol w:w="1195"/>
        <w:gridCol w:w="133"/>
        <w:gridCol w:w="96"/>
        <w:gridCol w:w="539"/>
        <w:gridCol w:w="1306"/>
        <w:gridCol w:w="133"/>
        <w:gridCol w:w="96"/>
        <w:gridCol w:w="181"/>
        <w:gridCol w:w="712"/>
        <w:gridCol w:w="183"/>
      </w:tblGrid>
      <w:tr>
        <w:trPr/>
        <w:tc>
          <w:tcPr>
            <w:tcW w:w="170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28"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2024</w:t>
            </w:r>
          </w:p>
        </w:tc>
        <w:tc>
          <w:tcPr>
            <w:tcW w:w="183" w:type="dxa"/>
            <w:tcBorders/>
            <w:vAlign w:val="center"/>
          </w:tcPr>
          <w:p>
            <w:pPr>
              <w:pStyle w:val="TableContents"/>
              <w:bidi w:val="0"/>
              <w:spacing w:before="0" w:after="283"/>
              <w:jc w:val="left"/>
              <w:rPr/>
            </w:pPr>
            <w:r>
              <w:rPr/>
              <w:t> </w:t>
            </w:r>
          </w:p>
        </w:tc>
      </w:tr>
      <w:tr>
        <w:trPr/>
        <w:tc>
          <w:tcPr>
            <w:tcW w:w="170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6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8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both"/>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5</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46</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3</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54</w:t>
            </w:r>
          </w:p>
        </w:tc>
        <w:tc>
          <w:tcPr>
            <w:tcW w:w="183" w:type="dxa"/>
            <w:tcBorders/>
            <w:shd w:fill="CCEEFF" w:val="clear"/>
            <w:vAlign w:val="center"/>
          </w:tcPr>
          <w:p>
            <w:pPr>
              <w:pStyle w:val="TableContents"/>
              <w:bidi w:val="0"/>
              <w:spacing w:before="0" w:after="283"/>
              <w:ind w:left="0" w:right="0" w:hanging="180"/>
              <w:jc w:val="left"/>
              <w:rPr/>
            </w:pPr>
            <w:r>
              <w:rPr/>
              <w:t> </w:t>
            </w:r>
          </w:p>
        </w:tc>
      </w:tr>
      <w:tr>
        <w:trPr/>
        <w:tc>
          <w:tcPr>
            <w:tcW w:w="1704"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1,053</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26</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right"/>
              <w:rPr/>
            </w:pPr>
            <w:r>
              <w:rPr/>
              <w:t>545</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189</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1,813</w:t>
            </w:r>
          </w:p>
        </w:tc>
        <w:tc>
          <w:tcPr>
            <w:tcW w:w="18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both"/>
              <w:rPr/>
            </w:pPr>
            <w:r>
              <w:rPr/>
              <w:t>Write-offs</w:t>
            </w:r>
          </w:p>
        </w:tc>
        <w:tc>
          <w:tcPr>
            <w:tcW w:w="9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(767</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(24</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(414</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(20</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(1,225</w:t>
            </w:r>
          </w:p>
        </w:tc>
        <w:tc>
          <w:tcPr>
            <w:tcW w:w="183" w:type="dxa"/>
            <w:tcBorders/>
            <w:shd w:fill="CCEEFF" w:val="clear"/>
            <w:vAlign w:val="center"/>
          </w:tcPr>
          <w:p>
            <w:pPr>
              <w:pStyle w:val="TableContents"/>
              <w:bidi w:val="0"/>
              <w:spacing w:before="0" w:after="283"/>
              <w:ind w:left="0" w:right="0" w:hanging="180"/>
              <w:jc w:val="left"/>
              <w:rPr/>
            </w:pPr>
            <w:r>
              <w:rPr/>
              <w:t>)</w:t>
            </w:r>
          </w:p>
        </w:tc>
      </w:tr>
      <w:tr>
        <w:trPr/>
        <w:tc>
          <w:tcPr>
            <w:tcW w:w="1704" w:type="dxa"/>
            <w:tcBorders/>
            <w:vAlign w:val="center"/>
          </w:tcPr>
          <w:p>
            <w:pPr>
              <w:pStyle w:val="TableContents"/>
              <w:bidi w:val="0"/>
              <w:spacing w:before="0" w:after="283"/>
              <w:jc w:val="left"/>
              <w:rPr/>
            </w:pPr>
            <w:r>
              <w:rPr/>
              <w:t>Recoveries</w:t>
            </w:r>
          </w:p>
        </w:tc>
        <w:tc>
          <w:tcPr>
            <w:tcW w:w="90" w:type="dxa"/>
            <w:tcBorders/>
            <w:vAlign w:val="center"/>
          </w:tcPr>
          <w:p>
            <w:pPr>
              <w:pStyle w:val="TableContents"/>
              <w:bidi w:val="0"/>
              <w:spacing w:before="0" w:after="283"/>
              <w:jc w:val="left"/>
              <w:rPr/>
            </w:pPr>
            <w:r>
              <w:rPr/>
              <w:t> </w:t>
            </w:r>
          </w:p>
        </w:tc>
        <w:tc>
          <w:tcPr>
            <w:tcW w:w="33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6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tcMar>
              <w:bottom w:w="28" w:type="dxa"/>
            </w:tcMar>
            <w:vAlign w:val="center"/>
          </w:tcPr>
          <w:p>
            <w:pPr>
              <w:pStyle w:val="TableContents"/>
              <w:bidi w:val="0"/>
              <w:spacing w:before="0" w:after="283"/>
              <w:jc w:val="right"/>
              <w:rPr/>
            </w:pPr>
            <w:r>
              <w:rPr/>
              <w:t>(5</w:t>
            </w:r>
          </w:p>
        </w:tc>
        <w:tc>
          <w:tcPr>
            <w:tcW w:w="133"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4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tcMar>
              <w:bottom w:w="28" w:type="dxa"/>
            </w:tcMar>
            <w:vAlign w:val="center"/>
          </w:tcPr>
          <w:p>
            <w:pPr>
              <w:pStyle w:val="TableContents"/>
              <w:bidi w:val="0"/>
              <w:spacing w:before="0" w:after="283"/>
              <w:jc w:val="right"/>
              <w:rPr/>
            </w:pPr>
            <w:r>
              <w:rPr/>
              <w:t>(46</w:t>
            </w:r>
          </w:p>
        </w:tc>
        <w:tc>
          <w:tcPr>
            <w:tcW w:w="133"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5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tcMar>
              <w:bottom w:w="28" w:type="dxa"/>
            </w:tcMar>
            <w:vAlign w:val="center"/>
          </w:tcPr>
          <w:p>
            <w:pPr>
              <w:pStyle w:val="TableContents"/>
              <w:bidi w:val="0"/>
              <w:spacing w:before="0" w:after="283"/>
              <w:jc w:val="right"/>
              <w:rPr/>
            </w:pPr>
            <w:r>
              <w:rPr/>
              <w:t>(3</w:t>
            </w:r>
          </w:p>
        </w:tc>
        <w:tc>
          <w:tcPr>
            <w:tcW w:w="133"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712" w:type="dxa"/>
            <w:tcBorders>
              <w:bottom w:val="single" w:sz="12" w:space="0" w:color="000000"/>
            </w:tcBorders>
            <w:tcMar>
              <w:bottom w:w="28" w:type="dxa"/>
            </w:tcMar>
            <w:vAlign w:val="center"/>
          </w:tcPr>
          <w:p>
            <w:pPr>
              <w:pStyle w:val="TableContents"/>
              <w:bidi w:val="0"/>
              <w:spacing w:before="0" w:after="283"/>
              <w:jc w:val="right"/>
              <w:rPr/>
            </w:pPr>
            <w:r>
              <w:rPr/>
              <w:t>(54</w:t>
            </w:r>
          </w:p>
        </w:tc>
        <w:tc>
          <w:tcPr>
            <w:tcW w:w="183" w:type="dxa"/>
            <w:tcBorders/>
            <w:vAlign w:val="center"/>
          </w:tcPr>
          <w:p>
            <w:pPr>
              <w:pStyle w:val="TableContents"/>
              <w:bidi w:val="0"/>
              <w:spacing w:before="0" w:after="283"/>
              <w:jc w:val="left"/>
              <w:rPr/>
            </w:pPr>
            <w:r>
              <w:rPr/>
              <w:t>)</w:t>
            </w:r>
          </w:p>
        </w:tc>
      </w:tr>
      <w:tr>
        <w:trPr/>
        <w:tc>
          <w:tcPr>
            <w:tcW w:w="1704"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33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286</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5" w:type="dxa"/>
            <w:tcBorders>
              <w:bottom w:val="double" w:sz="10" w:space="0" w:color="000000"/>
            </w:tcBorders>
            <w:shd w:fill="CCEEFF" w:val="clear"/>
            <w:tcMar>
              <w:bottom w:w="28" w:type="dxa"/>
            </w:tcMar>
            <w:vAlign w:val="center"/>
          </w:tcPr>
          <w:p>
            <w:pPr>
              <w:pStyle w:val="TableContents"/>
              <w:bidi w:val="0"/>
              <w:spacing w:before="0" w:after="283"/>
              <w:jc w:val="right"/>
              <w:rPr/>
            </w:pPr>
            <w:r>
              <w:rPr/>
              <w:t>131</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169</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2" w:type="dxa"/>
            <w:tcBorders>
              <w:bottom w:val="double" w:sz="10" w:space="0" w:color="000000"/>
            </w:tcBorders>
            <w:shd w:fill="CCEEFF" w:val="clear"/>
            <w:tcMar>
              <w:bottom w:w="28" w:type="dxa"/>
            </w:tcMar>
            <w:vAlign w:val="center"/>
          </w:tcPr>
          <w:p>
            <w:pPr>
              <w:pStyle w:val="TableContents"/>
              <w:bidi w:val="0"/>
              <w:spacing w:before="0" w:after="283"/>
              <w:jc w:val="right"/>
              <w:rPr/>
            </w:pPr>
            <w:r>
              <w:rPr/>
              <w:t>588</w:t>
            </w:r>
          </w:p>
        </w:tc>
        <w:tc>
          <w:tcPr>
            <w:tcW w:w="1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0"/>
        <w:gridCol w:w="90"/>
        <w:gridCol w:w="310"/>
        <w:gridCol w:w="1221"/>
        <w:gridCol w:w="128"/>
        <w:gridCol w:w="92"/>
        <w:gridCol w:w="546"/>
        <w:gridCol w:w="933"/>
        <w:gridCol w:w="92"/>
        <w:gridCol w:w="92"/>
        <w:gridCol w:w="367"/>
        <w:gridCol w:w="1277"/>
        <w:gridCol w:w="128"/>
        <w:gridCol w:w="92"/>
        <w:gridCol w:w="339"/>
        <w:gridCol w:w="1542"/>
        <w:gridCol w:w="92"/>
        <w:gridCol w:w="92"/>
        <w:gridCol w:w="175"/>
        <w:gridCol w:w="686"/>
        <w:gridCol w:w="161"/>
      </w:tblGrid>
      <w:tr>
        <w:trPr/>
        <w:tc>
          <w:tcPr>
            <w:tcW w:w="17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04"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2023</w:t>
            </w:r>
          </w:p>
        </w:tc>
        <w:tc>
          <w:tcPr>
            <w:tcW w:w="161" w:type="dxa"/>
            <w:tcBorders/>
            <w:vAlign w:val="center"/>
          </w:tcPr>
          <w:p>
            <w:pPr>
              <w:pStyle w:val="TableContents"/>
              <w:bidi w:val="0"/>
              <w:spacing w:before="0" w:after="283"/>
              <w:jc w:val="left"/>
              <w:rPr/>
            </w:pPr>
            <w:r>
              <w:rPr/>
              <w:t> </w:t>
            </w:r>
          </w:p>
        </w:tc>
      </w:tr>
      <w:tr>
        <w:trPr/>
        <w:tc>
          <w:tcPr>
            <w:tcW w:w="17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4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6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8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61" w:type="dxa"/>
            <w:tcBorders/>
            <w:vAlign w:val="center"/>
          </w:tcPr>
          <w:p>
            <w:pPr>
              <w:pStyle w:val="TableContents"/>
              <w:bidi w:val="0"/>
              <w:spacing w:before="0" w:after="283"/>
              <w:jc w:val="left"/>
              <w:rPr/>
            </w:pPr>
            <w:r>
              <w:rPr/>
              <w:t> </w:t>
            </w:r>
          </w:p>
        </w:tc>
      </w:tr>
      <w:tr>
        <w:trPr/>
        <w:tc>
          <w:tcPr>
            <w:tcW w:w="1750" w:type="dxa"/>
            <w:tcBorders/>
            <w:shd w:fill="CCEEFF" w:val="clear"/>
            <w:vAlign w:val="center"/>
          </w:tcPr>
          <w:p>
            <w:pPr>
              <w:pStyle w:val="TableContents"/>
              <w:bidi w:val="0"/>
              <w:spacing w:before="0" w:after="283"/>
              <w:jc w:val="both"/>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54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1750"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4,157</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5</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1,041</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283"/>
              <w:jc w:val="right"/>
              <w:rPr/>
            </w:pPr>
            <w:r>
              <w:rPr/>
              <w:t>3</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right"/>
              <w:rPr/>
            </w:pPr>
            <w:r>
              <w:rPr/>
              <w:t>5,206</w:t>
            </w:r>
          </w:p>
        </w:tc>
        <w:tc>
          <w:tcPr>
            <w:tcW w:w="161" w:type="dxa"/>
            <w:tcBorders/>
            <w:vAlign w:val="center"/>
          </w:tcPr>
          <w:p>
            <w:pPr>
              <w:pStyle w:val="TableContents"/>
              <w:bidi w:val="0"/>
              <w:spacing w:before="0" w:after="283"/>
              <w:jc w:val="left"/>
              <w:rPr/>
            </w:pPr>
            <w:r>
              <w:rPr/>
              <w:t> </w:t>
            </w:r>
          </w:p>
        </w:tc>
      </w:tr>
      <w:tr>
        <w:trPr/>
        <w:tc>
          <w:tcPr>
            <w:tcW w:w="1750" w:type="dxa"/>
            <w:tcBorders/>
            <w:shd w:fill="CCEEFF" w:val="clear"/>
            <w:vAlign w:val="center"/>
          </w:tcPr>
          <w:p>
            <w:pPr>
              <w:pStyle w:val="TableContents"/>
              <w:bidi w:val="0"/>
              <w:spacing w:before="0" w:after="283"/>
              <w:jc w:val="both"/>
              <w:rPr/>
            </w:pPr>
            <w:r>
              <w:rPr/>
              <w:t>Write-offs</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(4,157</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(995</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(5,152</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1750" w:type="dxa"/>
            <w:tcBorders/>
            <w:vAlign w:val="center"/>
          </w:tcPr>
          <w:p>
            <w:pPr>
              <w:pStyle w:val="TableContents"/>
              <w:bidi w:val="0"/>
              <w:spacing w:before="0" w:after="283"/>
              <w:jc w:val="left"/>
              <w:rPr/>
            </w:pPr>
            <w:r>
              <w:rPr/>
              <w:t>Recoveries</w:t>
            </w:r>
          </w:p>
        </w:tc>
        <w:tc>
          <w:tcPr>
            <w:tcW w:w="90" w:type="dxa"/>
            <w:tcBorders/>
            <w:vAlign w:val="center"/>
          </w:tcPr>
          <w:p>
            <w:pPr>
              <w:pStyle w:val="TableContents"/>
              <w:bidi w:val="0"/>
              <w:spacing w:before="0" w:after="283"/>
              <w:jc w:val="left"/>
              <w:rPr/>
            </w:pPr>
            <w:r>
              <w:rPr/>
              <w:t> </w:t>
            </w:r>
          </w:p>
        </w:tc>
        <w:tc>
          <w:tcPr>
            <w:tcW w:w="3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tcMar>
              <w:bottom w:w="28" w:type="dxa"/>
            </w:tcMar>
            <w:vAlign w:val="center"/>
          </w:tcPr>
          <w:p>
            <w:pPr>
              <w:pStyle w:val="TableContents"/>
              <w:bidi w:val="0"/>
              <w:spacing w:before="0" w:after="283"/>
              <w:jc w:val="right"/>
              <w:rPr/>
            </w:pPr>
            <w:r>
              <w:rPr/>
              <w:t>—</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46" w:type="dxa"/>
            <w:tcBorders>
              <w:bottom w:val="single" w:sz="12" w:space="0" w:color="000000"/>
            </w:tcBorders>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tcMar>
              <w:bottom w:w="28" w:type="dxa"/>
            </w:tcMar>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tcMar>
              <w:bottom w:w="28" w:type="dxa"/>
            </w:tcMar>
            <w:vAlign w:val="center"/>
          </w:tcPr>
          <w:p>
            <w:pPr>
              <w:pStyle w:val="TableContents"/>
              <w:bidi w:val="0"/>
              <w:spacing w:before="0" w:after="283"/>
              <w:jc w:val="right"/>
              <w:rPr/>
            </w:pPr>
            <w:r>
              <w:rPr/>
              <w:t>—</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542" w:type="dxa"/>
            <w:tcBorders>
              <w:bottom w:val="single" w:sz="12" w:space="0" w:color="000000"/>
            </w:tcBorders>
            <w:tcMar>
              <w:bottom w:w="28" w:type="dxa"/>
            </w:tcMar>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6" w:type="dxa"/>
            <w:tcBorders>
              <w:bottom w:val="single" w:sz="12" w:space="0" w:color="000000"/>
            </w:tcBorders>
            <w:tcMar>
              <w:bottom w:w="28" w:type="dxa"/>
            </w:tcMar>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jc w:val="left"/>
              <w:rPr/>
            </w:pPr>
            <w:r>
              <w:rPr/>
              <w:t> </w:t>
            </w:r>
          </w:p>
        </w:tc>
      </w:tr>
      <w:tr>
        <w:trPr/>
        <w:tc>
          <w:tcPr>
            <w:tcW w:w="175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3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shd w:fill="CCEEFF" w:val="clear"/>
            <w:tcMar>
              <w:bottom w:w="28" w:type="dxa"/>
            </w:tcMar>
            <w:vAlign w:val="center"/>
          </w:tcPr>
          <w:p>
            <w:pPr>
              <w:pStyle w:val="TableContents"/>
              <w:bidi w:val="0"/>
              <w:spacing w:before="0" w:after="283"/>
              <w:jc w:val="right"/>
              <w:rPr/>
            </w:pPr>
            <w:r>
              <w:rPr/>
              <w:t>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10" w:space="0" w:color="000000"/>
            </w:tcBorders>
            <w:shd w:fill="CCEEFF" w:val="clear"/>
            <w:tcMar>
              <w:bottom w:w="28" w:type="dxa"/>
            </w:tcMar>
            <w:vAlign w:val="center"/>
          </w:tcPr>
          <w:p>
            <w:pPr>
              <w:pStyle w:val="TableContents"/>
              <w:bidi w:val="0"/>
              <w:spacing w:before="0" w:after="283"/>
              <w:jc w:val="right"/>
              <w:rPr/>
            </w:pPr>
            <w:r>
              <w:rPr/>
              <w:t>46</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42" w:type="dxa"/>
            <w:tcBorders>
              <w:bottom w:val="double" w:sz="10" w:space="0" w:color="000000"/>
            </w:tcBorders>
            <w:shd w:fill="CCEEFF" w:val="clear"/>
            <w:tcMar>
              <w:bottom w:w="28" w:type="dxa"/>
            </w:tcMar>
            <w:vAlign w:val="center"/>
          </w:tcPr>
          <w:p>
            <w:pPr>
              <w:pStyle w:val="TableContents"/>
              <w:bidi w:val="0"/>
              <w:spacing w:before="0" w:after="283"/>
              <w:jc w:val="right"/>
              <w:rPr/>
            </w:pPr>
            <w:r>
              <w:rPr/>
              <w:t>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6" w:type="dxa"/>
            <w:tcBorders>
              <w:bottom w:val="double" w:sz="10" w:space="0" w:color="000000"/>
            </w:tcBorders>
            <w:shd w:fill="CCEEFF" w:val="clear"/>
            <w:tcMar>
              <w:bottom w:w="28" w:type="dxa"/>
            </w:tcMar>
            <w:vAlign w:val="center"/>
          </w:tcPr>
          <w:p>
            <w:pPr>
              <w:pStyle w:val="TableContents"/>
              <w:bidi w:val="0"/>
              <w:spacing w:before="0" w:after="283"/>
              <w:jc w:val="right"/>
              <w:rPr/>
            </w:pPr>
            <w:r>
              <w:rPr/>
              <w:t>54</w:t>
            </w:r>
          </w:p>
        </w:tc>
        <w:tc>
          <w:tcPr>
            <w:tcW w:w="1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w:t>
      </w: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p>
    <w:p>
      <w:pPr>
        <w:pStyle w:val="TextBody"/>
        <w:bidi w:val="0"/>
        <w:spacing w:before="0" w:after="0"/>
        <w:ind w:left="0" w:right="0" w:hanging="0"/>
        <w:jc w:val="both"/>
        <w:rPr>
          <w:caps w:val="false"/>
          <w:smallCaps w:val="false"/>
        </w:rPr>
      </w:pPr>
      <w:r>
        <w:rPr>
          <w:caps w:val="false"/>
          <w:smallCaps w:val="false"/>
        </w:rPr>
        <w:t> </w:t>
      </w:r>
    </w:p>
    <w:tbl>
      <w:tblPr>
        <w:tblW w:w="6217" w:type="dxa"/>
        <w:jc w:val="left"/>
        <w:tblInd w:w="0" w:type="dxa"/>
        <w:tblLayout w:type="fixed"/>
        <w:tblCellMar>
          <w:top w:w="0" w:type="dxa"/>
          <w:left w:w="0" w:type="dxa"/>
          <w:bottom w:w="0" w:type="dxa"/>
          <w:right w:w="0" w:type="dxa"/>
        </w:tblCellMar>
      </w:tblPr>
      <w:tblGrid>
        <w:gridCol w:w="3965"/>
        <w:gridCol w:w="90"/>
        <w:gridCol w:w="189"/>
        <w:gridCol w:w="791"/>
        <w:gridCol w:w="100"/>
        <w:gridCol w:w="100"/>
        <w:gridCol w:w="189"/>
        <w:gridCol w:w="658"/>
        <w:gridCol w:w="135"/>
      </w:tblGrid>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Deferred commissions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12,840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1,423</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Bonus install commitment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435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234</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Other</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12" w:space="0" w:color="000000"/>
            </w:tcBorders>
            <w:shd w:fill="CCEEFF" w:val="clear"/>
            <w:tcMar>
              <w:bottom w:w="28" w:type="dxa"/>
            </w:tcMar>
            <w:vAlign w:val="center"/>
          </w:tcPr>
          <w:p>
            <w:pPr>
              <w:pStyle w:val="TableContents"/>
              <w:bidi w:val="0"/>
              <w:spacing w:before="0" w:after="283"/>
              <w:jc w:val="right"/>
              <w:rPr/>
            </w:pPr>
            <w:r>
              <w:rPr/>
              <w:t>182</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Prepaid expenses and other current assets</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791" w:type="dxa"/>
            <w:tcBorders>
              <w:bottom w:val="double" w:sz="10" w:space="0" w:color="000000"/>
            </w:tcBorders>
            <w:tcMar>
              <w:bottom w:w="28" w:type="dxa"/>
            </w:tcMar>
            <w:vAlign w:val="center"/>
          </w:tcPr>
          <w:p>
            <w:pPr>
              <w:pStyle w:val="TableContents"/>
              <w:bidi w:val="0"/>
              <w:spacing w:before="0" w:after="283"/>
              <w:jc w:val="right"/>
              <w:rPr/>
            </w:pPr>
            <w:r>
              <w:rPr/>
              <w:t>13,508</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658" w:type="dxa"/>
            <w:tcBorders>
              <w:bottom w:val="double" w:sz="10" w:space="0" w:color="000000"/>
            </w:tcBorders>
            <w:tcMar>
              <w:bottom w:w="28" w:type="dxa"/>
            </w:tcMar>
            <w:vAlign w:val="center"/>
          </w:tcPr>
          <w:p>
            <w:pPr>
              <w:pStyle w:val="TableContents"/>
              <w:bidi w:val="0"/>
              <w:spacing w:before="0" w:after="283"/>
              <w:jc w:val="right"/>
              <w:rPr/>
            </w:pPr>
            <w:r>
              <w:rPr/>
              <w:t>1,839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$1,247 of commission expense in the year ended December 31, 2024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6. </w:t>
      </w: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4655"/>
        <w:gridCol w:w="90"/>
        <w:gridCol w:w="238"/>
        <w:gridCol w:w="679"/>
        <w:gridCol w:w="175"/>
        <w:gridCol w:w="126"/>
        <w:gridCol w:w="238"/>
        <w:gridCol w:w="574"/>
        <w:gridCol w:w="170"/>
      </w:tblGrid>
      <w:tr>
        <w:trPr/>
        <w:tc>
          <w:tcPr>
            <w:tcW w:w="4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Leasehold improvements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679" w:type="dxa"/>
            <w:tcBorders/>
            <w:shd w:fill="CCEEFF" w:val="clear"/>
            <w:vAlign w:val="center"/>
          </w:tcPr>
          <w:p>
            <w:pPr>
              <w:pStyle w:val="TableContents"/>
              <w:bidi w:val="0"/>
              <w:spacing w:before="0" w:after="283"/>
              <w:jc w:val="right"/>
              <w:rPr/>
            </w:pPr>
            <w:r>
              <w:rPr/>
              <w:t>202</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574" w:type="dxa"/>
            <w:tcBorders/>
            <w:shd w:fill="CCEEFF" w:val="clear"/>
            <w:vAlign w:val="center"/>
          </w:tcPr>
          <w:p>
            <w:pPr>
              <w:pStyle w:val="TableContents"/>
              <w:bidi w:val="0"/>
              <w:spacing w:before="0" w:after="283"/>
              <w:jc w:val="right"/>
              <w:rPr/>
            </w:pPr>
            <w:r>
              <w:rPr/>
              <w:t>202</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Furniture and fixtures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right"/>
              <w:rPr/>
            </w:pPr>
            <w:r>
              <w:rPr/>
              <w:t>188</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right"/>
              <w:rPr/>
            </w:pPr>
            <w:r>
              <w:rPr/>
              <w:t>176</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Computer equipment</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Total cost</w:t>
            </w:r>
          </w:p>
        </w:tc>
        <w:tc>
          <w:tcPr>
            <w:tcW w:w="90"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679" w:type="dxa"/>
            <w:tcBorders>
              <w:bottom w:val="single" w:sz="12" w:space="0" w:color="000000"/>
            </w:tcBorders>
            <w:tcMar>
              <w:bottom w:w="28" w:type="dxa"/>
            </w:tcMar>
            <w:vAlign w:val="center"/>
          </w:tcPr>
          <w:p>
            <w:pPr>
              <w:pStyle w:val="TableContents"/>
              <w:bidi w:val="0"/>
              <w:spacing w:before="0" w:after="283"/>
              <w:jc w:val="right"/>
              <w:rPr/>
            </w:pPr>
            <w:r>
              <w:rPr/>
              <w:t>463</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tcMar>
              <w:bottom w:w="28" w:type="dxa"/>
            </w:tcMar>
            <w:vAlign w:val="center"/>
          </w:tcPr>
          <w:p>
            <w:pPr>
              <w:pStyle w:val="TableContents"/>
              <w:bidi w:val="0"/>
              <w:spacing w:before="0" w:after="283"/>
              <w:jc w:val="right"/>
              <w:rPr/>
            </w:pPr>
            <w:r>
              <w:rPr/>
              <w:t>435</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Less: accumulated depreciation and amortization</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75"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70" w:type="dxa"/>
            <w:tcBorders/>
            <w:shd w:fill="CCEEFF" w:val="clear"/>
            <w:vAlign w:val="center"/>
          </w:tcPr>
          <w:p>
            <w:pPr>
              <w:pStyle w:val="TableContents"/>
              <w:bidi w:val="0"/>
              <w:spacing w:before="0" w:after="283"/>
              <w:jc w:val="left"/>
              <w:rPr/>
            </w:pPr>
            <w:r>
              <w:rPr/>
              <w:t>)</w:t>
            </w:r>
          </w:p>
        </w:tc>
      </w:tr>
      <w:tr>
        <w:trPr/>
        <w:tc>
          <w:tcPr>
            <w:tcW w:w="4655" w:type="dxa"/>
            <w:tcBorders/>
            <w:vAlign w:val="center"/>
          </w:tcPr>
          <w:p>
            <w:pPr>
              <w:pStyle w:val="TableContents"/>
              <w:bidi w:val="0"/>
              <w:spacing w:before="0" w:after="283"/>
              <w:jc w:val="both"/>
              <w:rPr/>
            </w:pPr>
            <w:r>
              <w:rPr/>
              <w:t>Property and equipment, net</w:t>
            </w:r>
          </w:p>
        </w:tc>
        <w:tc>
          <w:tcPr>
            <w:tcW w:w="90"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679" w:type="dxa"/>
            <w:tcBorders>
              <w:bottom w:val="double" w:sz="10" w:space="0" w:color="000000"/>
            </w:tcBorders>
            <w:tcMar>
              <w:bottom w:w="28" w:type="dxa"/>
            </w:tcMar>
            <w:vAlign w:val="center"/>
          </w:tcPr>
          <w:p>
            <w:pPr>
              <w:pStyle w:val="TableContents"/>
              <w:bidi w:val="0"/>
              <w:spacing w:before="0" w:after="283"/>
              <w:jc w:val="right"/>
              <w:rPr/>
            </w:pPr>
            <w:r>
              <w:rPr/>
              <w:t>298</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574" w:type="dxa"/>
            <w:tcBorders>
              <w:bottom w:val="double" w:sz="10" w:space="0" w:color="000000"/>
            </w:tcBorders>
            <w:tcMar>
              <w:bottom w:w="28" w:type="dxa"/>
            </w:tcMar>
            <w:vAlign w:val="center"/>
          </w:tcPr>
          <w:p>
            <w:pPr>
              <w:pStyle w:val="TableContents"/>
              <w:bidi w:val="0"/>
              <w:spacing w:before="0" w:after="283"/>
              <w:jc w:val="right"/>
              <w:rPr/>
            </w:pPr>
            <w:r>
              <w:rPr/>
              <w:t>349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for the years ended December 31, 2024 and 2023 was $79 and $160,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7088" w:type="dxa"/>
        <w:jc w:val="left"/>
        <w:tblInd w:w="0" w:type="dxa"/>
        <w:tblLayout w:type="fixed"/>
        <w:tblCellMar>
          <w:top w:w="0" w:type="dxa"/>
          <w:left w:w="0" w:type="dxa"/>
          <w:bottom w:w="0" w:type="dxa"/>
          <w:right w:w="0" w:type="dxa"/>
        </w:tblCellMar>
      </w:tblPr>
      <w:tblGrid>
        <w:gridCol w:w="4835"/>
        <w:gridCol w:w="90"/>
        <w:gridCol w:w="227"/>
        <w:gridCol w:w="787"/>
        <w:gridCol w:w="120"/>
        <w:gridCol w:w="120"/>
        <w:gridCol w:w="227"/>
        <w:gridCol w:w="547"/>
        <w:gridCol w:w="135"/>
      </w:tblGrid>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Accrued salaries, wages and related expenses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120</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547" w:type="dxa"/>
            <w:tcBorders/>
            <w:shd w:fill="CCEEFF" w:val="clear"/>
            <w:vAlign w:val="center"/>
          </w:tcPr>
          <w:p>
            <w:pPr>
              <w:pStyle w:val="TableContents"/>
              <w:bidi w:val="0"/>
              <w:spacing w:before="0" w:after="283"/>
              <w:jc w:val="right"/>
              <w:rPr/>
            </w:pPr>
            <w:r>
              <w:rPr/>
              <w:t>124</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Legal fees payable</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4,136</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Commissions payable</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1,814</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32</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Accrued interest payable</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47</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19</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Sales tax payable</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41</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Credit card obligation</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101</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39</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Other</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Total accrued expenses and other current liabilities</w:t>
            </w:r>
          </w:p>
        </w:tc>
        <w:tc>
          <w:tcPr>
            <w:tcW w:w="90" w:type="dxa"/>
            <w:tcBorders/>
            <w:vAlign w:val="center"/>
          </w:tcPr>
          <w:p>
            <w:pPr>
              <w:pStyle w:val="TableContents"/>
              <w:bidi w:val="0"/>
              <w:spacing w:before="0" w:after="283"/>
              <w:jc w:val="left"/>
              <w:rPr/>
            </w:pPr>
            <w:r>
              <w:rPr/>
              <w:t> </w:t>
            </w:r>
          </w:p>
        </w:tc>
        <w:tc>
          <w:tcPr>
            <w:tcW w:w="227" w:type="dxa"/>
            <w:tcBorders>
              <w:bottom w:val="double" w:sz="10" w:space="0" w:color="000000"/>
            </w:tcBorders>
            <w:tcMar>
              <w:bottom w:w="28" w:type="dxa"/>
            </w:tcMar>
            <w:vAlign w:val="center"/>
          </w:tcPr>
          <w:p>
            <w:pPr>
              <w:pStyle w:val="TableContents"/>
              <w:bidi w:val="0"/>
              <w:spacing w:before="0" w:after="283"/>
              <w:jc w:val="left"/>
              <w:rPr/>
            </w:pPr>
            <w:r>
              <w:rPr/>
              <w:t>$</w:t>
            </w:r>
          </w:p>
        </w:tc>
        <w:tc>
          <w:tcPr>
            <w:tcW w:w="787" w:type="dxa"/>
            <w:tcBorders>
              <w:bottom w:val="double" w:sz="10" w:space="0" w:color="000000"/>
            </w:tcBorders>
            <w:tcMar>
              <w:bottom w:w="28" w:type="dxa"/>
            </w:tcMar>
            <w:vAlign w:val="center"/>
          </w:tcPr>
          <w:p>
            <w:pPr>
              <w:pStyle w:val="TableContents"/>
              <w:bidi w:val="0"/>
              <w:spacing w:before="0" w:after="283"/>
              <w:jc w:val="right"/>
              <w:rPr/>
            </w:pPr>
            <w:r>
              <w:rPr/>
              <w:t>6,511</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bottom w:val="double" w:sz="10" w:space="0" w:color="000000"/>
            </w:tcBorders>
            <w:tcMar>
              <w:bottom w:w="28" w:type="dxa"/>
            </w:tcMar>
            <w:vAlign w:val="center"/>
          </w:tcPr>
          <w:p>
            <w:pPr>
              <w:pStyle w:val="TableContents"/>
              <w:bidi w:val="0"/>
              <w:spacing w:before="0" w:after="283"/>
              <w:jc w:val="left"/>
              <w:rPr/>
            </w:pPr>
            <w:r>
              <w:rPr/>
              <w:t>$</w:t>
            </w:r>
          </w:p>
        </w:tc>
        <w:tc>
          <w:tcPr>
            <w:tcW w:w="547" w:type="dxa"/>
            <w:tcBorders>
              <w:bottom w:val="double" w:sz="10" w:space="0" w:color="000000"/>
            </w:tcBorders>
            <w:tcMar>
              <w:bottom w:w="28" w:type="dxa"/>
            </w:tcMar>
            <w:vAlign w:val="center"/>
          </w:tcPr>
          <w:p>
            <w:pPr>
              <w:pStyle w:val="TableContents"/>
              <w:bidi w:val="0"/>
              <w:spacing w:before="0" w:after="283"/>
              <w:jc w:val="right"/>
              <w:rPr/>
            </w:pPr>
            <w:r>
              <w:rPr/>
              <w:t>255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 xml:space="preserve">LINE OF CREDIT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entered into an unsecured line of credit (“LOC”) agreement with a borrowing limit of $3,000. The LOC had a fixed interest rate of 7.5% and was scheduled to mature on June 30, 2025. The outstanding balance on the line was $2,250 and $2,000 as of December 31, 2024, and 2023, respectively. The remaining available balance under the facility as of December 31, 2024 was $750.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was not in compliance with certain financial covenants under its LOC agreement with SolarEdge Technologies, Inc, specifically related to the maximum additional external financing covenant. The breach in compliance was related to the litigation financing the Company received of $3,325 during 2024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The covenant violation provided the lender the right to accelerate repayment of the outstanding balance at its discretion. The LOC was repaid in full in September 2025 in connection with the sale of the membership interest in the Company. Refer to Note 15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details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dates.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recorded in the Company’s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w:t>
      </w: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with an initial term of 12 months or less are not recorded on the balances sheet. Lease expense is recognized for these leases on a straight-line basis over the lease term.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line items in the balance sheets which include amounts for operating leases:</w:t>
      </w:r>
    </w:p>
    <w:p>
      <w:pPr>
        <w:pStyle w:val="TextBody"/>
        <w:bidi w:val="0"/>
        <w:spacing w:before="0" w:after="0"/>
        <w:ind w:left="0" w:right="0" w:hanging="0"/>
        <w:jc w:val="both"/>
        <w:rPr>
          <w:caps w:val="false"/>
          <w:smallCaps w:val="false"/>
        </w:rPr>
      </w:pPr>
      <w:r>
        <w:rPr>
          <w:caps w:val="false"/>
          <w:smallCaps w:val="false"/>
        </w:rPr>
        <w:t> </w:t>
      </w:r>
    </w:p>
    <w:tbl>
      <w:tblPr>
        <w:tblW w:w="6623" w:type="dxa"/>
        <w:jc w:val="left"/>
        <w:tblInd w:w="0" w:type="dxa"/>
        <w:tblLayout w:type="fixed"/>
        <w:tblCellMar>
          <w:top w:w="0" w:type="dxa"/>
          <w:left w:w="0" w:type="dxa"/>
          <w:bottom w:w="0" w:type="dxa"/>
          <w:right w:w="0" w:type="dxa"/>
        </w:tblCellMar>
      </w:tblPr>
      <w:tblGrid>
        <w:gridCol w:w="4370"/>
        <w:gridCol w:w="90"/>
        <w:gridCol w:w="257"/>
        <w:gridCol w:w="621"/>
        <w:gridCol w:w="136"/>
        <w:gridCol w:w="136"/>
        <w:gridCol w:w="257"/>
        <w:gridCol w:w="621"/>
        <w:gridCol w:w="135"/>
      </w:tblGrid>
      <w:tr>
        <w:trPr/>
        <w:tc>
          <w:tcPr>
            <w:tcW w:w="43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Operating lease right-of-use asset, net</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1"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1" w:type="dxa"/>
            <w:tcBorders>
              <w:bottom w:val="double" w:sz="10" w:space="0" w:color="000000"/>
            </w:tcBorders>
            <w:shd w:fill="CCEEFF" w:val="clear"/>
            <w:tcMar>
              <w:bottom w:w="28" w:type="dxa"/>
            </w:tcMar>
            <w:vAlign w:val="center"/>
          </w:tcPr>
          <w:p>
            <w:pPr>
              <w:pStyle w:val="TableContents"/>
              <w:bidi w:val="0"/>
              <w:spacing w:before="0" w:after="283"/>
              <w:jc w:val="right"/>
              <w:rPr/>
            </w:pPr>
            <w:r>
              <w:rPr/>
              <w:t>506</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Current portion of operating lease liability</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119</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108</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Noncurrent portion of operating lease liability</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tcMar>
              <w:bottom w:w="28" w:type="dxa"/>
            </w:tcMar>
            <w:vAlign w:val="center"/>
          </w:tcPr>
          <w:p>
            <w:pPr>
              <w:pStyle w:val="TableContents"/>
              <w:bidi w:val="0"/>
              <w:spacing w:before="0" w:after="283"/>
              <w:jc w:val="right"/>
              <w:rPr/>
            </w:pPr>
            <w:r>
              <w:rPr/>
              <w:t>302</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tcMar>
              <w:bottom w:w="28" w:type="dxa"/>
            </w:tcMar>
            <w:vAlign w:val="center"/>
          </w:tcPr>
          <w:p>
            <w:pPr>
              <w:pStyle w:val="TableContents"/>
              <w:bidi w:val="0"/>
              <w:spacing w:before="0" w:after="283"/>
              <w:jc w:val="right"/>
              <w:rPr/>
            </w:pPr>
            <w:r>
              <w:rPr/>
              <w:t>421</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Total operating lease liability</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1"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1" w:type="dxa"/>
            <w:tcBorders>
              <w:bottom w:val="double" w:sz="10" w:space="0" w:color="000000"/>
            </w:tcBorders>
            <w:shd w:fill="CCEEFF" w:val="clear"/>
            <w:tcMar>
              <w:bottom w:w="28" w:type="dxa"/>
            </w:tcMar>
            <w:vAlign w:val="center"/>
          </w:tcPr>
          <w:p>
            <w:pPr>
              <w:pStyle w:val="TableContents"/>
              <w:bidi w:val="0"/>
              <w:spacing w:before="0" w:after="283"/>
              <w:jc w:val="right"/>
              <w:rPr/>
            </w:pPr>
            <w:r>
              <w:rPr/>
              <w:t>529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$108 and $80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terms and discount rates:</w:t>
      </w:r>
    </w:p>
    <w:p>
      <w:pPr>
        <w:pStyle w:val="TextBody"/>
        <w:bidi w:val="0"/>
        <w:spacing w:before="0" w:after="0"/>
        <w:ind w:left="0" w:right="0" w:hanging="0"/>
        <w:jc w:val="both"/>
        <w:rPr>
          <w:caps w:val="false"/>
          <w:smallCaps w:val="false"/>
        </w:rPr>
      </w:pPr>
      <w:r>
        <w:rPr>
          <w:caps w:val="false"/>
          <w:smallCaps w:val="false"/>
        </w:rPr>
        <w:t> </w:t>
      </w:r>
    </w:p>
    <w:tbl>
      <w:tblPr>
        <w:tblW w:w="6772" w:type="dxa"/>
        <w:jc w:val="left"/>
        <w:tblInd w:w="0" w:type="dxa"/>
        <w:tblLayout w:type="fixed"/>
        <w:tblCellMar>
          <w:top w:w="0" w:type="dxa"/>
          <w:left w:w="0" w:type="dxa"/>
          <w:bottom w:w="0" w:type="dxa"/>
          <w:right w:w="0" w:type="dxa"/>
        </w:tblCellMar>
      </w:tblPr>
      <w:tblGrid>
        <w:gridCol w:w="3785"/>
        <w:gridCol w:w="90"/>
        <w:gridCol w:w="209"/>
        <w:gridCol w:w="815"/>
        <w:gridCol w:w="409"/>
        <w:gridCol w:w="150"/>
        <w:gridCol w:w="209"/>
        <w:gridCol w:w="815"/>
        <w:gridCol w:w="290"/>
      </w:tblGrid>
      <w:tr>
        <w:trPr/>
        <w:tc>
          <w:tcPr>
            <w:tcW w:w="37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9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409"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Weighted average remaining lease term</w:t>
            </w:r>
          </w:p>
        </w:tc>
        <w:tc>
          <w:tcPr>
            <w:tcW w:w="90" w:type="dxa"/>
            <w:tcBorders/>
            <w:shd w:fill="CCEEFF" w:val="clear"/>
            <w:vAlign w:val="center"/>
          </w:tcPr>
          <w:p>
            <w:pPr>
              <w:pStyle w:val="TableContents"/>
              <w:bidi w:val="0"/>
              <w:spacing w:before="0" w:after="283"/>
              <w:jc w:val="left"/>
              <w:rPr/>
            </w:pPr>
            <w:r>
              <w:rPr/>
              <w:t> </w:t>
            </w:r>
          </w:p>
        </w:tc>
        <w:tc>
          <w:tcPr>
            <w:tcW w:w="1024" w:type="dxa"/>
            <w:gridSpan w:val="2"/>
            <w:tcBorders/>
            <w:shd w:fill="CCEEFF" w:val="clear"/>
            <w:vAlign w:val="center"/>
          </w:tcPr>
          <w:p>
            <w:pPr>
              <w:pStyle w:val="TableContents"/>
              <w:bidi w:val="0"/>
              <w:spacing w:before="0" w:after="283"/>
              <w:jc w:val="right"/>
              <w:rPr/>
            </w:pPr>
            <w:r>
              <w:rPr/>
              <w:t>3.17 years</w:t>
            </w:r>
          </w:p>
        </w:tc>
        <w:tc>
          <w:tcPr>
            <w:tcW w:w="409"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gridSpan w:val="2"/>
            <w:tcBorders/>
            <w:shd w:fill="CCEEFF" w:val="clear"/>
            <w:vAlign w:val="center"/>
          </w:tcPr>
          <w:p>
            <w:pPr>
              <w:pStyle w:val="TableContents"/>
              <w:bidi w:val="0"/>
              <w:spacing w:before="0" w:after="283"/>
              <w:jc w:val="right"/>
              <w:rPr/>
            </w:pPr>
            <w:r>
              <w:rPr/>
              <w:t>4.17 years</w:t>
            </w:r>
          </w:p>
        </w:tc>
        <w:tc>
          <w:tcPr>
            <w:tcW w:w="29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Weighted average discount rate</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6.5</w:t>
            </w:r>
          </w:p>
        </w:tc>
        <w:tc>
          <w:tcPr>
            <w:tcW w:w="409"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6.5</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December 31, 2024, were as follows:</w:t>
      </w:r>
    </w:p>
    <w:p>
      <w:pPr>
        <w:pStyle w:val="TextBody"/>
        <w:bidi w:val="0"/>
        <w:spacing w:before="0" w:after="0"/>
        <w:ind w:left="0" w:right="0" w:hanging="0"/>
        <w:jc w:val="both"/>
        <w:rPr>
          <w:caps w:val="false"/>
          <w:smallCaps w:val="false"/>
        </w:rPr>
      </w:pPr>
      <w:r>
        <w:rPr>
          <w:caps w:val="false"/>
          <w:smallCaps w:val="false"/>
        </w:rPr>
        <w:t> </w:t>
      </w:r>
    </w:p>
    <w:tbl>
      <w:tblPr>
        <w:tblW w:w="2960" w:type="dxa"/>
        <w:jc w:val="left"/>
        <w:tblInd w:w="0" w:type="dxa"/>
        <w:tblLayout w:type="fixed"/>
        <w:tblCellMar>
          <w:top w:w="0" w:type="dxa"/>
          <w:left w:w="0" w:type="dxa"/>
          <w:bottom w:w="0" w:type="dxa"/>
          <w:right w:w="0" w:type="dxa"/>
        </w:tblCellMar>
      </w:tblPr>
      <w:tblGrid>
        <w:gridCol w:w="2120"/>
        <w:gridCol w:w="90"/>
        <w:gridCol w:w="170"/>
        <w:gridCol w:w="410"/>
        <w:gridCol w:w="170"/>
      </w:tblGrid>
      <w:tr>
        <w:trPr/>
        <w:tc>
          <w:tcPr>
            <w:tcW w:w="2120" w:type="dxa"/>
            <w:tcBorders/>
            <w:vAlign w:val="center"/>
          </w:tcPr>
          <w:p>
            <w:pPr>
              <w:pStyle w:val="TableContents"/>
              <w:bidi w:val="0"/>
              <w:spacing w:before="0" w:after="283"/>
              <w:jc w:val="both"/>
              <w:rPr/>
            </w:pPr>
            <w:r>
              <w:rPr/>
              <w:t>Year ending:</w:t>
            </w:r>
          </w:p>
        </w:tc>
        <w:tc>
          <w:tcPr>
            <w:tcW w:w="9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142</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147</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151</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2028</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Total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465</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pPr>
            <w:r>
              <w:rPr/>
              <w:t>(44</w:t>
            </w:r>
          </w:p>
        </w:tc>
        <w:tc>
          <w:tcPr>
            <w:tcW w:w="170" w:type="dxa"/>
            <w:tcBorders/>
            <w:vAlign w:val="center"/>
          </w:tcPr>
          <w:p>
            <w:pPr>
              <w:pStyle w:val="TableContents"/>
              <w:bidi w:val="0"/>
              <w:spacing w:before="0" w:after="283"/>
              <w:jc w:val="left"/>
              <w:rPr/>
            </w:pPr>
            <w:r>
              <w:rPr/>
              <w:t>)</w:t>
            </w:r>
          </w:p>
        </w:tc>
      </w:tr>
      <w:tr>
        <w:trPr/>
        <w:tc>
          <w:tcPr>
            <w:tcW w:w="212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obtained a number of insurance policies to help protect the Company from potential losses through a captive insurance company related by common ownership. For the years ended December 31, 2024 and 2023, the Company had insurance expense to the captive of $0 and $651, respectively, which is presented within general and administrative expenses in the statements of operations.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$653 and $237 for the years ended December 31, 2024 and 2023, respectively. Expenses incurred for Enzy and fees charged to Enzy totaled $1,015 and $409 for the years ended December 31, 2024 and 2023, respectively. These transactions have resulted in a balance due to the Company from Enzy of $559 and $94 as of December 31, 2024 and 2023,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deficit. The Company recognized expenses of $884 and $926 in the years ended December 31, 2024 and 2023,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 and no loss has been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for further detail on the resolution of the matter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Incentive Units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6389" w:type="dxa"/>
        <w:jc w:val="left"/>
        <w:tblInd w:w="0" w:type="dxa"/>
        <w:tblLayout w:type="fixed"/>
        <w:tblCellMar>
          <w:top w:w="0" w:type="dxa"/>
          <w:left w:w="0" w:type="dxa"/>
          <w:bottom w:w="0" w:type="dxa"/>
          <w:right w:w="0" w:type="dxa"/>
        </w:tblCellMar>
      </w:tblPr>
      <w:tblGrid>
        <w:gridCol w:w="4595"/>
        <w:gridCol w:w="90"/>
        <w:gridCol w:w="172"/>
        <w:gridCol w:w="1362"/>
        <w:gridCol w:w="170"/>
      </w:tblGrid>
      <w:tr>
        <w:trPr/>
        <w:tc>
          <w:tcPr>
            <w:tcW w:w="45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Incentive units</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Incentive units outstanding, January 1, 2023</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51,087</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1,045</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Forfeited</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2" w:type="dxa"/>
            <w:tcBorders>
              <w:bottom w:val="single" w:sz="12" w:space="0" w:color="000000"/>
            </w:tcBorders>
            <w:shd w:fill="CCEEFF" w:val="clear"/>
            <w:tcMar>
              <w:bottom w:w="28" w:type="dxa"/>
            </w:tcMar>
            <w:vAlign w:val="center"/>
          </w:tcPr>
          <w:p>
            <w:pPr>
              <w:pStyle w:val="TableContents"/>
              <w:bidi w:val="0"/>
              <w:spacing w:before="0" w:after="283"/>
              <w:jc w:val="right"/>
              <w:rPr/>
            </w:pPr>
            <w:r>
              <w:rPr/>
              <w:t>(8,000</w:t>
            </w:r>
          </w:p>
        </w:tc>
        <w:tc>
          <w:tcPr>
            <w:tcW w:w="170" w:type="dxa"/>
            <w:tcBorders/>
            <w:shd w:fill="CCEEFF" w:val="clear"/>
            <w:vAlign w:val="center"/>
          </w:tcPr>
          <w:p>
            <w:pPr>
              <w:pStyle w:val="TableContents"/>
              <w:bidi w:val="0"/>
              <w:spacing w:before="0" w:after="283"/>
              <w:jc w:val="left"/>
              <w:rPr/>
            </w:pPr>
            <w:r>
              <w:rPr/>
              <w:t>)</w:t>
            </w:r>
          </w:p>
        </w:tc>
      </w:tr>
      <w:tr>
        <w:trPr/>
        <w:tc>
          <w:tcPr>
            <w:tcW w:w="4595" w:type="dxa"/>
            <w:tcBorders/>
            <w:vAlign w:val="center"/>
          </w:tcPr>
          <w:p>
            <w:pPr>
              <w:pStyle w:val="TableContents"/>
              <w:bidi w:val="0"/>
              <w:spacing w:before="0" w:after="283"/>
              <w:jc w:val="both"/>
              <w:rPr/>
            </w:pPr>
            <w:r>
              <w:rPr/>
              <w:t>Incentive units outstanding, December 31, 2023</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62" w:type="dxa"/>
            <w:tcBorders>
              <w:bottom w:val="single" w:sz="12" w:space="0" w:color="000000"/>
            </w:tcBorders>
            <w:tcMar>
              <w:bottom w:w="28" w:type="dxa"/>
            </w:tcMar>
            <w:vAlign w:val="center"/>
          </w:tcPr>
          <w:p>
            <w:pPr>
              <w:pStyle w:val="TableContents"/>
              <w:bidi w:val="0"/>
              <w:spacing w:before="0" w:after="283"/>
              <w:jc w:val="right"/>
              <w:rPr/>
            </w:pPr>
            <w:r>
              <w:rPr/>
              <w:t>44,132</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Granted</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2" w:type="dxa"/>
            <w:tcBorders>
              <w:bottom w:val="single" w:sz="12" w:space="0" w:color="000000"/>
            </w:tcBorders>
            <w:shd w:fill="CCEEFF" w:val="clear"/>
            <w:tcMar>
              <w:bottom w:w="28" w:type="dxa"/>
            </w:tcMar>
            <w:vAlign w:val="center"/>
          </w:tcPr>
          <w:p>
            <w:pPr>
              <w:pStyle w:val="TableContents"/>
              <w:bidi w:val="0"/>
              <w:spacing w:before="0" w:after="283"/>
              <w:jc w:val="right"/>
              <w:rPr/>
            </w:pPr>
            <w:r>
              <w:rPr/>
              <w:t>2,442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both"/>
              <w:rPr/>
            </w:pPr>
            <w:r>
              <w:rPr/>
              <w:t>Incentive units outstanding, December 31, 2024</w:t>
            </w:r>
          </w:p>
        </w:tc>
        <w:tc>
          <w:tcPr>
            <w:tcW w:w="9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 </w:t>
            </w:r>
          </w:p>
        </w:tc>
        <w:tc>
          <w:tcPr>
            <w:tcW w:w="1362" w:type="dxa"/>
            <w:tcBorders>
              <w:bottom w:val="double" w:sz="10" w:space="0" w:color="000000"/>
            </w:tcBorders>
            <w:tcMar>
              <w:bottom w:w="28" w:type="dxa"/>
            </w:tcMar>
            <w:vAlign w:val="center"/>
          </w:tcPr>
          <w:p>
            <w:pPr>
              <w:pStyle w:val="TableContents"/>
              <w:bidi w:val="0"/>
              <w:spacing w:before="0" w:after="283"/>
              <w:jc w:val="right"/>
              <w:rPr/>
            </w:pPr>
            <w:r>
              <w:rPr/>
              <w:t>46,574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de minimis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years ended December 31, 2024, and 2023. As of December 31, 2024, and 2023, unrecognized compensation cost related to unvested Incentive Units was de minimis.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7904" w:type="dxa"/>
        <w:jc w:val="left"/>
        <w:tblInd w:w="0" w:type="dxa"/>
        <w:tblLayout w:type="fixed"/>
        <w:tblCellMar>
          <w:top w:w="0" w:type="dxa"/>
          <w:left w:w="0" w:type="dxa"/>
          <w:bottom w:w="0" w:type="dxa"/>
          <w:right w:w="0" w:type="dxa"/>
        </w:tblCellMar>
      </w:tblPr>
      <w:tblGrid>
        <w:gridCol w:w="5225"/>
        <w:gridCol w:w="90"/>
        <w:gridCol w:w="544"/>
        <w:gridCol w:w="1755"/>
        <w:gridCol w:w="290"/>
      </w:tblGrid>
      <w:tr>
        <w:trPr/>
        <w:tc>
          <w:tcPr>
            <w:tcW w:w="52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90" w:type="dxa"/>
            <w:tcBorders/>
            <w:vAlign w:val="center"/>
          </w:tcPr>
          <w:p>
            <w:pPr>
              <w:pStyle w:val="TableContents"/>
              <w:bidi w:val="0"/>
              <w:spacing w:before="0" w:after="283"/>
              <w:jc w:val="center"/>
              <w:rPr/>
            </w:pPr>
            <w:r>
              <w:rPr/>
              <w:t> </w:t>
            </w:r>
          </w:p>
        </w:tc>
      </w:tr>
      <w:tr>
        <w:trPr/>
        <w:tc>
          <w:tcPr>
            <w:tcW w:w="5225" w:type="dxa"/>
            <w:tcBorders/>
            <w:shd w:fill="CCEEFF" w:val="clear"/>
            <w:vAlign w:val="center"/>
          </w:tcPr>
          <w:p>
            <w:pPr>
              <w:pStyle w:val="TableContents"/>
              <w:bidi w:val="0"/>
              <w:spacing w:before="0" w:after="283"/>
              <w:jc w:val="both"/>
              <w:rPr/>
            </w:pPr>
            <w:r>
              <w:rPr/>
              <w:t>Compensation award outstanding, January 1, 2023</w:t>
            </w:r>
          </w:p>
        </w:tc>
        <w:tc>
          <w:tcPr>
            <w:tcW w:w="9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5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55" w:type="dxa"/>
            <w:tcBorders>
              <w:bottom w:val="single" w:sz="12" w:space="0" w:color="000000"/>
            </w:tcBorders>
            <w:tcMar>
              <w:bottom w:w="28" w:type="dxa"/>
            </w:tcMar>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both"/>
              <w:rPr/>
            </w:pPr>
            <w:r>
              <w:rPr/>
              <w:t>Compensation award outstanding, December 31, 2023</w:t>
            </w:r>
          </w:p>
        </w:tc>
        <w:tc>
          <w:tcPr>
            <w:tcW w:w="90" w:type="dxa"/>
            <w:tcBorders/>
            <w:shd w:fill="CCEEFF" w:val="clear"/>
            <w:vAlign w:val="center"/>
          </w:tcPr>
          <w:p>
            <w:pPr>
              <w:pStyle w:val="TableContents"/>
              <w:bidi w:val="0"/>
              <w:spacing w:before="0" w:after="283"/>
              <w:jc w:val="left"/>
              <w:rPr/>
            </w:pPr>
            <w:r>
              <w:rPr/>
              <w:t> </w:t>
            </w:r>
          </w:p>
        </w:tc>
        <w:tc>
          <w:tcPr>
            <w:tcW w:w="5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5"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5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55" w:type="dxa"/>
            <w:tcBorders>
              <w:bottom w:val="single" w:sz="12" w:space="0" w:color="000000"/>
            </w:tcBorders>
            <w:tcMar>
              <w:bottom w:w="28" w:type="dxa"/>
            </w:tcMar>
            <w:vAlign w:val="center"/>
          </w:tcPr>
          <w:p>
            <w:pPr>
              <w:pStyle w:val="TableContents"/>
              <w:bidi w:val="0"/>
              <w:spacing w:before="0" w:after="283"/>
              <w:jc w:val="right"/>
              <w:rPr/>
            </w:pPr>
            <w:r>
              <w:rPr/>
              <w:t>10</w:t>
            </w:r>
          </w:p>
        </w:tc>
        <w:tc>
          <w:tcPr>
            <w:tcW w:w="29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both"/>
              <w:rPr/>
            </w:pPr>
            <w:r>
              <w:rPr/>
              <w:t>Compensation award outstanding December 31, 2024</w:t>
            </w:r>
          </w:p>
        </w:tc>
        <w:tc>
          <w:tcPr>
            <w:tcW w:w="90" w:type="dxa"/>
            <w:tcBorders/>
            <w:shd w:fill="CCEEFF" w:val="clear"/>
            <w:vAlign w:val="center"/>
          </w:tcPr>
          <w:p>
            <w:pPr>
              <w:pStyle w:val="TableContents"/>
              <w:bidi w:val="0"/>
              <w:spacing w:before="0" w:after="283"/>
              <w:jc w:val="left"/>
              <w:rPr/>
            </w:pPr>
            <w:r>
              <w:rPr/>
              <w:t> </w:t>
            </w:r>
          </w:p>
        </w:tc>
        <w:tc>
          <w:tcPr>
            <w:tcW w:w="5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55" w:type="dxa"/>
            <w:tcBorders>
              <w:bottom w:val="double" w:sz="10" w:space="0" w:color="000000"/>
            </w:tcBorders>
            <w:shd w:fill="CCEEFF" w:val="clear"/>
            <w:tcMar>
              <w:bottom w:w="28" w:type="dxa"/>
            </w:tcM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2023, the Company discontinued operations of SaaS sales through a spin-off of internally developed software to a related party. In connection with this transaction, the Company entered into a shared services agreement (see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The Company will continue to provide administrative support to the new company for a set monthly fee.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related to discontinued operations were not material. The discontinued operations included in the statement of operations and member’s deficit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3320"/>
        <w:gridCol w:w="90"/>
        <w:gridCol w:w="170"/>
        <w:gridCol w:w="665"/>
        <w:gridCol w:w="170"/>
      </w:tblGrid>
      <w:tr>
        <w:trPr/>
        <w:tc>
          <w:tcPr>
            <w:tcW w:w="3320" w:type="dxa"/>
            <w:tcBorders/>
            <w:shd w:fill="CCEEFF" w:val="clear"/>
            <w:vAlign w:val="center"/>
          </w:tcPr>
          <w:p>
            <w:pPr>
              <w:pStyle w:val="TableContents"/>
              <w:bidi w:val="0"/>
              <w:spacing w:before="0" w:after="283"/>
              <w:jc w:val="both"/>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(6,743</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both"/>
              <w:rPr/>
            </w:pPr>
            <w:r>
              <w:rPr/>
              <w:t>Discontinued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321</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Cost of revenues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both"/>
              <w:rPr/>
            </w:pPr>
            <w:r>
              <w:rPr/>
              <w:t>Loss on disposal of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(315</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both"/>
              <w:rPr/>
            </w:pPr>
            <w:r>
              <w:rPr/>
              <w:t>Loss from discontinued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both"/>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(6,803</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15.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the Company was loaned $1,000 by its sole member, who in turn was loaned the funds by one of its owners under a convertible promissory note. This transaction was accounted for as a capital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$57,789. Per the terms of the MIPA, the Member sold all of the outstanding membership interest of Sunder for (1) $20,689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 and December 31, 2024 and the six months ended June 30,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510"/>
        <w:gridCol w:w="90"/>
        <w:gridCol w:w="575"/>
      </w:tblGrid>
      <w:tr>
        <w:trPr/>
        <w:tc>
          <w:tcPr>
            <w:tcW w:w="8510" w:type="dxa"/>
            <w:tcBorders/>
            <w:shd w:fill="CCEEFF" w:val="clear"/>
            <w:vAlign w:val="center"/>
          </w:tcPr>
          <w:p>
            <w:pPr>
              <w:pStyle w:val="TableContents"/>
              <w:bidi w:val="0"/>
              <w:spacing w:before="0" w:after="283"/>
              <w:ind w:left="0" w:right="0" w:hanging="180"/>
              <w:jc w:val="left"/>
              <w:rPr/>
            </w:pPr>
            <w:hyperlink w:anchor="E_001">
              <w:r>
                <w:rPr>
                  <w:rStyle w:val="InternetLink"/>
                  <w:rFonts w:ascii="Times New Roman;Times;Serif" w:hAnsi="Times New Roman;Times;Serif"/>
                  <w:b w:val="false"/>
                  <w:i w:val="false"/>
                  <w:caps w:val="false"/>
                  <w:smallCaps w:val="false"/>
                  <w:sz w:val="20"/>
                </w:rPr>
                <w:t>Balance Sheets as of June 30, 2025 (Unaudited) and December 31,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85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10"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z w:val="20"/>
                </w:rPr>
                <w:t>Unaudited Statements of Operations for the six months ended June 30, 2025 and June 30,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85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10"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z w:val="20"/>
                </w:rPr>
                <w:t>Unaudited Statements of Changes in Member’s Deficit for the six months ended June 30, 2025 and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85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10"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z w:val="20"/>
                </w:rPr>
                <w:t>Unaudited Statements of Cash Flows for the six months ended June 30,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85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10"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z w:val="20"/>
                </w:rPr>
                <w:t>Notes to Unaudited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E_001"/>
      <w:bookmarkEnd w:id="39"/>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7838" w:type="dxa"/>
        <w:jc w:val="left"/>
        <w:tblInd w:w="0" w:type="dxa"/>
        <w:tblLayout w:type="fixed"/>
        <w:tblCellMar>
          <w:top w:w="0" w:type="dxa"/>
          <w:left w:w="0" w:type="dxa"/>
          <w:bottom w:w="0" w:type="dxa"/>
          <w:right w:w="0" w:type="dxa"/>
        </w:tblCellMar>
      </w:tblPr>
      <w:tblGrid>
        <w:gridCol w:w="4640"/>
        <w:gridCol w:w="90"/>
        <w:gridCol w:w="227"/>
        <w:gridCol w:w="1052"/>
        <w:gridCol w:w="125"/>
        <w:gridCol w:w="90"/>
        <w:gridCol w:w="278"/>
        <w:gridCol w:w="1166"/>
        <w:gridCol w:w="170"/>
      </w:tblGrid>
      <w:tr>
        <w:trPr/>
        <w:tc>
          <w:tcPr>
            <w:tcW w:w="46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30" w:type="dxa"/>
            </w:tcMar>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Current assets:</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Cash</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762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1,524</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Restricted cash</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2,016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2,018</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5,315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2,991</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Due from related party</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559</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9,830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Total current assets</w:t>
            </w:r>
          </w:p>
        </w:tc>
        <w:tc>
          <w:tcPr>
            <w:tcW w:w="90" w:type="dxa"/>
            <w:tcBorders/>
            <w:vAlign w:val="center"/>
          </w:tcPr>
          <w:p>
            <w:pPr>
              <w:pStyle w:val="TableContents"/>
              <w:bidi w:val="0"/>
              <w:spacing w:before="0" w:after="283"/>
              <w:jc w:val="left"/>
              <w:rPr/>
            </w:pPr>
            <w:r>
              <w:rPr/>
              <w:t> </w:t>
            </w:r>
          </w:p>
        </w:tc>
        <w:tc>
          <w:tcPr>
            <w:tcW w:w="22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before="0" w:after="283"/>
              <w:jc w:val="right"/>
              <w:rPr/>
            </w:pPr>
            <w:r>
              <w:rPr/>
              <w:t>17,923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20,600</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298</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Operating lease right-of-use assets</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397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227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Total assets</w:t>
            </w:r>
          </w:p>
        </w:tc>
        <w:tc>
          <w:tcPr>
            <w:tcW w:w="90" w:type="dxa"/>
            <w:tcBorders/>
            <w:vAlign w:val="center"/>
          </w:tcPr>
          <w:p>
            <w:pPr>
              <w:pStyle w:val="TableContents"/>
              <w:bidi w:val="0"/>
              <w:spacing w:before="0" w:after="283"/>
              <w:jc w:val="left"/>
              <w:rPr/>
            </w:pPr>
            <w:r>
              <w:rPr/>
              <w:t> </w:t>
            </w:r>
          </w:p>
        </w:tc>
        <w:tc>
          <w:tcPr>
            <w:tcW w:w="227" w:type="dxa"/>
            <w:tcBorders>
              <w:bottom w:val="double" w:sz="10" w:space="0" w:color="000000"/>
            </w:tcBorders>
            <w:tcMar>
              <w:bottom w:w="28" w:type="dxa"/>
            </w:tcMar>
            <w:vAlign w:val="center"/>
          </w:tcPr>
          <w:p>
            <w:pPr>
              <w:pStyle w:val="TableContents"/>
              <w:bidi w:val="0"/>
              <w:spacing w:before="0" w:after="283"/>
              <w:jc w:val="left"/>
              <w:rPr/>
            </w:pPr>
            <w:r>
              <w:rPr/>
              <w:t>$</w:t>
            </w:r>
          </w:p>
        </w:tc>
        <w:tc>
          <w:tcPr>
            <w:tcW w:w="1052" w:type="dxa"/>
            <w:tcBorders>
              <w:bottom w:val="double" w:sz="10" w:space="0" w:color="000000"/>
            </w:tcBorders>
            <w:tcMar>
              <w:bottom w:w="28" w:type="dxa"/>
            </w:tcMar>
            <w:vAlign w:val="center"/>
          </w:tcPr>
          <w:p>
            <w:pPr>
              <w:pStyle w:val="TableContents"/>
              <w:bidi w:val="0"/>
              <w:spacing w:before="0" w:after="283"/>
              <w:jc w:val="right"/>
              <w:rPr/>
            </w:pPr>
            <w:r>
              <w:rPr/>
              <w:t>18,750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21,528</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b/>
              </w:rPr>
            </w:pPr>
            <w:r>
              <w:rPr>
                <w:b/>
              </w:rPr>
              <w:t>LIABILITIES AND MEMBER’S DEFICIT</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Accounts payable</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810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1,402</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11,881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6,511</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Line of credit</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2,250</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14,431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17,231</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Operating lease liability, current portion</w:t>
            </w:r>
          </w:p>
        </w:tc>
        <w:tc>
          <w:tcPr>
            <w:tcW w:w="90" w:type="dxa"/>
            <w:tcBorders/>
            <w:vAlign w:val="center"/>
          </w:tcPr>
          <w:p>
            <w:pPr>
              <w:pStyle w:val="TableContents"/>
              <w:bidi w:val="0"/>
              <w:spacing w:before="0" w:after="283"/>
              <w:jc w:val="left"/>
              <w:rPr/>
            </w:pPr>
            <w:r>
              <w:rPr/>
              <w:t> </w:t>
            </w:r>
          </w:p>
        </w:tc>
        <w:tc>
          <w:tcPr>
            <w:tcW w:w="22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before="0" w:after="283"/>
              <w:jc w:val="right"/>
              <w:rPr/>
            </w:pPr>
            <w:r>
              <w:rPr/>
              <w:t>125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119</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29,497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27,513</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Operating lease liability, net of current portion</w:t>
            </w:r>
          </w:p>
        </w:tc>
        <w:tc>
          <w:tcPr>
            <w:tcW w:w="90" w:type="dxa"/>
            <w:tcBorders/>
            <w:vAlign w:val="center"/>
          </w:tcPr>
          <w:p>
            <w:pPr>
              <w:pStyle w:val="TableContents"/>
              <w:bidi w:val="0"/>
              <w:spacing w:before="0" w:after="283"/>
              <w:jc w:val="left"/>
              <w:rPr/>
            </w:pPr>
            <w:r>
              <w:rPr/>
              <w:t> </w:t>
            </w:r>
          </w:p>
        </w:tc>
        <w:tc>
          <w:tcPr>
            <w:tcW w:w="22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before="0" w:after="283"/>
              <w:jc w:val="right"/>
              <w:rPr/>
            </w:pPr>
            <w:r>
              <w:rPr/>
              <w:t>237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302</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29,734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27,815</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Commitments and contingencies (Note 12)</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Member’s deficit</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(10,984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(6,287</w:t>
            </w:r>
          </w:p>
        </w:tc>
        <w:tc>
          <w:tcPr>
            <w:tcW w:w="170" w:type="dxa"/>
            <w:tcBorders/>
            <w:shd w:fill="CCEEFF" w:val="clear"/>
            <w:vAlign w:val="center"/>
          </w:tcPr>
          <w:p>
            <w:pPr>
              <w:pStyle w:val="TableContents"/>
              <w:bidi w:val="0"/>
              <w:spacing w:before="0" w:after="283"/>
              <w:jc w:val="left"/>
              <w:rPr/>
            </w:pPr>
            <w:r>
              <w:rPr/>
              <w:t>)</w:t>
            </w:r>
          </w:p>
        </w:tc>
      </w:tr>
      <w:tr>
        <w:trPr/>
        <w:tc>
          <w:tcPr>
            <w:tcW w:w="4640" w:type="dxa"/>
            <w:tcBorders/>
            <w:vAlign w:val="center"/>
          </w:tcPr>
          <w:p>
            <w:pPr>
              <w:pStyle w:val="TableContents"/>
              <w:bidi w:val="0"/>
              <w:spacing w:before="0" w:after="283"/>
              <w:jc w:val="both"/>
              <w:rPr/>
            </w:pPr>
            <w:r>
              <w:rPr/>
              <w:t>Total liabilities and member’s deficit</w:t>
            </w:r>
          </w:p>
        </w:tc>
        <w:tc>
          <w:tcPr>
            <w:tcW w:w="90" w:type="dxa"/>
            <w:tcBorders/>
            <w:vAlign w:val="center"/>
          </w:tcPr>
          <w:p>
            <w:pPr>
              <w:pStyle w:val="TableContents"/>
              <w:bidi w:val="0"/>
              <w:spacing w:before="0" w:after="283"/>
              <w:jc w:val="left"/>
              <w:rPr/>
            </w:pPr>
            <w:r>
              <w:rPr/>
              <w:t> </w:t>
            </w:r>
          </w:p>
        </w:tc>
        <w:tc>
          <w:tcPr>
            <w:tcW w:w="227" w:type="dxa"/>
            <w:tcBorders>
              <w:bottom w:val="double" w:sz="10" w:space="0" w:color="000000"/>
            </w:tcBorders>
            <w:tcMar>
              <w:bottom w:w="28" w:type="dxa"/>
            </w:tcMar>
            <w:vAlign w:val="center"/>
          </w:tcPr>
          <w:p>
            <w:pPr>
              <w:pStyle w:val="TableContents"/>
              <w:bidi w:val="0"/>
              <w:spacing w:before="0" w:after="283"/>
              <w:jc w:val="left"/>
              <w:rPr/>
            </w:pPr>
            <w:r>
              <w:rPr/>
              <w:t>$</w:t>
            </w:r>
          </w:p>
        </w:tc>
        <w:tc>
          <w:tcPr>
            <w:tcW w:w="1052" w:type="dxa"/>
            <w:tcBorders>
              <w:bottom w:val="double" w:sz="10" w:space="0" w:color="000000"/>
            </w:tcBorders>
            <w:tcMar>
              <w:bottom w:w="28" w:type="dxa"/>
            </w:tcMar>
            <w:vAlign w:val="center"/>
          </w:tcPr>
          <w:p>
            <w:pPr>
              <w:pStyle w:val="TableContents"/>
              <w:bidi w:val="0"/>
              <w:spacing w:before="0" w:after="283"/>
              <w:jc w:val="right"/>
              <w:rPr/>
            </w:pPr>
            <w:r>
              <w:rPr/>
              <w:t>18,750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21,528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E_002"/>
      <w:bookmarkEnd w:id="40"/>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230"/>
        <w:gridCol w:w="90"/>
        <w:gridCol w:w="238"/>
        <w:gridCol w:w="994"/>
        <w:gridCol w:w="175"/>
        <w:gridCol w:w="126"/>
        <w:gridCol w:w="238"/>
        <w:gridCol w:w="994"/>
        <w:gridCol w:w="170"/>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40,012</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11,930</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33,339</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10,765</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771</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628</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5,886</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tcMar>
              <w:bottom w:w="28" w:type="dxa"/>
            </w:tcMar>
            <w:vAlign w:val="center"/>
          </w:tcPr>
          <w:p>
            <w:pPr>
              <w:pStyle w:val="TableContents"/>
              <w:bidi w:val="0"/>
              <w:spacing w:before="0" w:after="283"/>
              <w:jc w:val="right"/>
              <w:rPr/>
            </w:pPr>
            <w:r>
              <w:rPr/>
              <w:t>45,568</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tcMar>
              <w:bottom w:w="28" w:type="dxa"/>
            </w:tcMar>
            <w:vAlign w:val="center"/>
          </w:tcPr>
          <w:p>
            <w:pPr>
              <w:pStyle w:val="TableContents"/>
              <w:bidi w:val="0"/>
              <w:spacing w:before="0" w:after="283"/>
              <w:jc w:val="right"/>
              <w:rPr/>
            </w:pPr>
            <w:r>
              <w:rPr/>
              <w:t>17,279</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175"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(5,349</w:t>
            </w:r>
          </w:p>
        </w:tc>
        <w:tc>
          <w:tcPr>
            <w:tcW w:w="170"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(168</w:t>
            </w:r>
          </w:p>
        </w:tc>
        <w:tc>
          <w:tcPr>
            <w:tcW w:w="175"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(86</w:t>
            </w:r>
          </w:p>
        </w:tc>
        <w:tc>
          <w:tcPr>
            <w:tcW w:w="170"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33</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tcMar>
              <w:bottom w:w="28" w:type="dxa"/>
            </w:tcMar>
            <w:vAlign w:val="center"/>
          </w:tcPr>
          <w:p>
            <w:pPr>
              <w:pStyle w:val="TableContents"/>
              <w:bidi w:val="0"/>
              <w:spacing w:before="0" w:after="283"/>
              <w:jc w:val="right"/>
              <w:rPr/>
            </w:pPr>
            <w:r>
              <w:rPr/>
              <w:t>10</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tcMar>
              <w:bottom w:w="28" w:type="dxa"/>
            </w:tcMar>
            <w:vAlign w:val="center"/>
          </w:tcPr>
          <w:p>
            <w:pPr>
              <w:pStyle w:val="TableContents"/>
              <w:bidi w:val="0"/>
              <w:spacing w:before="0" w:after="283"/>
              <w:jc w:val="right"/>
              <w:rPr/>
            </w:pPr>
            <w:r>
              <w:rPr/>
              <w:t>815</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175"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729</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994" w:type="dxa"/>
            <w:tcBorders>
              <w:bottom w:val="double" w:sz="10" w:space="0" w:color="000000"/>
            </w:tcBorders>
            <w:tcMar>
              <w:bottom w:w="28" w:type="dxa"/>
            </w:tcMar>
            <w:vAlign w:val="center"/>
          </w:tcPr>
          <w:p>
            <w:pPr>
              <w:pStyle w:val="TableContents"/>
              <w:bidi w:val="0"/>
              <w:spacing w:before="0" w:after="283"/>
              <w:jc w:val="right"/>
              <w:rPr/>
            </w:pPr>
            <w:r>
              <w:rPr/>
              <w:t>(5,681</w:t>
            </w:r>
          </w:p>
        </w:tc>
        <w:tc>
          <w:tcPr>
            <w:tcW w:w="175"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994" w:type="dxa"/>
            <w:tcBorders>
              <w:bottom w:val="double" w:sz="10" w:space="0" w:color="000000"/>
            </w:tcBorders>
            <w:tcMar>
              <w:bottom w:w="28" w:type="dxa"/>
            </w:tcMar>
            <w:vAlign w:val="center"/>
          </w:tcPr>
          <w:p>
            <w:pPr>
              <w:pStyle w:val="TableContents"/>
              <w:bidi w:val="0"/>
              <w:spacing w:before="0" w:after="283"/>
              <w:jc w:val="right"/>
              <w:rPr/>
            </w:pPr>
            <w:r>
              <w:rPr/>
              <w:t>(4,620</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E_003"/>
      <w:bookmarkEnd w:id="41"/>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CHANGES IN MEMBER’S DEFICIT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4970" w:type="dxa"/>
        <w:jc w:val="left"/>
        <w:tblInd w:w="0" w:type="dxa"/>
        <w:tblLayout w:type="fixed"/>
        <w:tblCellMar>
          <w:top w:w="0" w:type="dxa"/>
          <w:left w:w="0" w:type="dxa"/>
          <w:bottom w:w="0" w:type="dxa"/>
          <w:right w:w="0" w:type="dxa"/>
        </w:tblCellMar>
      </w:tblPr>
      <w:tblGrid>
        <w:gridCol w:w="3755"/>
        <w:gridCol w:w="90"/>
        <w:gridCol w:w="170"/>
        <w:gridCol w:w="785"/>
        <w:gridCol w:w="170"/>
      </w:tblGrid>
      <w:tr>
        <w:trPr/>
        <w:tc>
          <w:tcPr>
            <w:tcW w:w="3755" w:type="dxa"/>
            <w:tcBorders/>
            <w:shd w:fill="CCEEFF" w:val="clear"/>
            <w:vAlign w:val="center"/>
          </w:tcPr>
          <w:p>
            <w:pPr>
              <w:pStyle w:val="TableContents"/>
              <w:bidi w:val="0"/>
              <w:spacing w:before="0" w:after="283"/>
              <w:jc w:val="left"/>
              <w:rPr/>
            </w:pPr>
            <w:r>
              <w:rPr/>
              <w:t>Member’s deficit as of January 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(6,287</w:t>
            </w:r>
          </w:p>
        </w:tc>
        <w:tc>
          <w:tcPr>
            <w:tcW w:w="17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(5,681</w:t>
            </w:r>
          </w:p>
        </w:tc>
        <w:tc>
          <w:tcPr>
            <w:tcW w:w="17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Capital contribution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1,000</w:t>
            </w:r>
          </w:p>
        </w:tc>
        <w:tc>
          <w:tcPr>
            <w:tcW w:w="17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Distributions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Member’s deficit as of June 30,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(10,984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0" w:type="dxa"/>
          <w:right w:w="0" w:type="dxa"/>
        </w:tblCellMar>
      </w:tblPr>
      <w:tblGrid>
        <w:gridCol w:w="3755"/>
        <w:gridCol w:w="90"/>
        <w:gridCol w:w="170"/>
        <w:gridCol w:w="665"/>
        <w:gridCol w:w="170"/>
      </w:tblGrid>
      <w:tr>
        <w:trPr/>
        <w:tc>
          <w:tcPr>
            <w:tcW w:w="3755" w:type="dxa"/>
            <w:tcBorders/>
            <w:shd w:fill="CCEEFF" w:val="clear"/>
            <w:vAlign w:val="center"/>
          </w:tcPr>
          <w:p>
            <w:pPr>
              <w:pStyle w:val="TableContents"/>
              <w:bidi w:val="0"/>
              <w:spacing w:before="0" w:after="283"/>
              <w:jc w:val="left"/>
              <w:rPr/>
            </w:pPr>
            <w:r>
              <w:rPr/>
              <w:t>Member’s deficit as of January 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(3,675</w:t>
            </w:r>
          </w:p>
        </w:tc>
        <w:tc>
          <w:tcPr>
            <w:tcW w:w="17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(4,620</w:t>
            </w:r>
          </w:p>
        </w:tc>
        <w:tc>
          <w:tcPr>
            <w:tcW w:w="17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Capital contribution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1,800</w:t>
            </w:r>
          </w:p>
        </w:tc>
        <w:tc>
          <w:tcPr>
            <w:tcW w:w="17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Distributions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(181</w:t>
            </w:r>
          </w:p>
        </w:tc>
        <w:tc>
          <w:tcPr>
            <w:tcW w:w="17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Member’s deficit as of June 30, 2024</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(6,676</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E_004"/>
      <w:bookmarkEnd w:id="42"/>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882" w:type="dxa"/>
        <w:jc w:val="left"/>
        <w:tblInd w:w="0" w:type="dxa"/>
        <w:tblLayout w:type="fixed"/>
        <w:tblCellMar>
          <w:top w:w="0" w:type="dxa"/>
          <w:left w:w="0" w:type="dxa"/>
          <w:bottom w:w="0" w:type="dxa"/>
          <w:right w:w="0" w:type="dxa"/>
        </w:tblCellMar>
      </w:tblPr>
      <w:tblGrid>
        <w:gridCol w:w="6860"/>
        <w:gridCol w:w="90"/>
        <w:gridCol w:w="243"/>
        <w:gridCol w:w="952"/>
        <w:gridCol w:w="179"/>
        <w:gridCol w:w="128"/>
        <w:gridCol w:w="243"/>
        <w:gridCol w:w="1017"/>
        <w:gridCol w:w="170"/>
      </w:tblGrid>
      <w:tr>
        <w:trPr/>
        <w:tc>
          <w:tcPr>
            <w:tcW w:w="6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(5,681</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(4,620</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40</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39</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Non-cash lease expense</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57</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53</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Provision for credit losses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433</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251</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(2,757</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(1,501</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Due from related entity</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559</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(519</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3,678</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(8,214</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6</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(34</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(592</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29</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5,370</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1,796</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(2,800</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10,957</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(59</w:t>
            </w:r>
          </w:p>
        </w:tc>
        <w:tc>
          <w:tcPr>
            <w:tcW w:w="179"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(53</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(1,746</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(1,816</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Purchases of property and equipment</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(2</w:t>
            </w:r>
          </w:p>
        </w:tc>
        <w:tc>
          <w:tcPr>
            <w:tcW w:w="179"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(19</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Borrowing on line of credit</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500</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Capital contributions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1,000</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1,800</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Distributions</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79"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(181</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984</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2,119</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Net (decrease) increase in cash and cash equivalents</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(764</w:t>
            </w:r>
          </w:p>
        </w:tc>
        <w:tc>
          <w:tcPr>
            <w:tcW w:w="179"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284</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Cash and restricted cash at beginning of period</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3,542</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1,710</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Cash and restricted cash at end of period</w:t>
            </w:r>
          </w:p>
        </w:tc>
        <w:tc>
          <w:tcPr>
            <w:tcW w:w="90"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pPr>
            <w:r>
              <w:rPr/>
              <w:t>$</w:t>
            </w:r>
          </w:p>
        </w:tc>
        <w:tc>
          <w:tcPr>
            <w:tcW w:w="952" w:type="dxa"/>
            <w:tcBorders>
              <w:bottom w:val="double" w:sz="10" w:space="0" w:color="000000"/>
            </w:tcBorders>
            <w:tcMar>
              <w:bottom w:w="28" w:type="dxa"/>
            </w:tcMar>
            <w:vAlign w:val="center"/>
          </w:tcPr>
          <w:p>
            <w:pPr>
              <w:pStyle w:val="TableContents"/>
              <w:bidi w:val="0"/>
              <w:spacing w:before="0" w:after="283"/>
              <w:jc w:val="right"/>
              <w:rPr/>
            </w:pPr>
            <w:r>
              <w:rPr/>
              <w:t>2,778</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tcMar>
              <w:bottom w:w="28" w:type="dxa"/>
            </w:tcMar>
            <w:vAlign w:val="center"/>
          </w:tcPr>
          <w:p>
            <w:pPr>
              <w:pStyle w:val="TableContents"/>
              <w:bidi w:val="0"/>
              <w:spacing w:before="0" w:after="283"/>
              <w:jc w:val="right"/>
              <w:rPr/>
            </w:pPr>
            <w:r>
              <w:rPr/>
              <w:t>1,994</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Cash</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762</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017" w:type="dxa"/>
            <w:tcBorders/>
            <w:vAlign w:val="center"/>
          </w:tcPr>
          <w:p>
            <w:pPr>
              <w:pStyle w:val="TableContents"/>
              <w:bidi w:val="0"/>
              <w:spacing w:before="0" w:after="283"/>
              <w:jc w:val="right"/>
              <w:rPr/>
            </w:pPr>
            <w:r>
              <w:rPr/>
              <w:t>1,524</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Restricted cash</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2,016</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2,018</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Cash and restricted cash</w:t>
            </w:r>
          </w:p>
        </w:tc>
        <w:tc>
          <w:tcPr>
            <w:tcW w:w="90"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pPr>
            <w:r>
              <w:rPr/>
              <w:t>$</w:t>
            </w:r>
          </w:p>
        </w:tc>
        <w:tc>
          <w:tcPr>
            <w:tcW w:w="952" w:type="dxa"/>
            <w:tcBorders>
              <w:bottom w:val="double" w:sz="10" w:space="0" w:color="000000"/>
            </w:tcBorders>
            <w:tcMar>
              <w:bottom w:w="28" w:type="dxa"/>
            </w:tcMar>
            <w:vAlign w:val="center"/>
          </w:tcPr>
          <w:p>
            <w:pPr>
              <w:pStyle w:val="TableContents"/>
              <w:bidi w:val="0"/>
              <w:spacing w:before="0" w:after="283"/>
              <w:jc w:val="right"/>
              <w:rPr/>
            </w:pPr>
            <w:r>
              <w:rPr/>
              <w:t>2,778</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tcMar>
              <w:bottom w:w="28" w:type="dxa"/>
            </w:tcMar>
            <w:vAlign w:val="center"/>
          </w:tcPr>
          <w:p>
            <w:pPr>
              <w:pStyle w:val="TableContents"/>
              <w:bidi w:val="0"/>
              <w:spacing w:before="0" w:after="283"/>
              <w:jc w:val="right"/>
              <w:rPr/>
            </w:pPr>
            <w:r>
              <w:rPr/>
              <w:t>3,542</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b/>
              </w:rPr>
            </w:pPr>
            <w:r>
              <w:rPr>
                <w:b/>
              </w:rPr>
              <w:t>Supplemental disclosure of cash flow information:</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Cash paid during the period for interest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130</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58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E_005"/>
      <w:bookmarkEnd w:id="43"/>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Unaudited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 B and C accounted for 20%, 15% and 11%, of the Company’s revenue, respectively, for the six months ended June 30, 2025. Customers A, B and D accounted for 27%, 12% and 10% of the Company’s revenue, respectively, for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Customers E and F accounted for 27% and 12%, respectively, of the Company’s trade accounts receivable balance. As of December 31, 2024, Customers E and G accounted for 50% and 12%, respectively, of the Company’s trade accounts receivable. As of December 31, 2023, there were no trade accounts receivable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and cash equivalents when reconciling beginning and ending balances on the Company’s statements of cash flows and is classified as current on the Company’s balance sheet based on the expected timing of its accessibility.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The Company recognizes an expense for these leases on a straight-line basis over the lease term. Short-term leases are those leases with an initial term of 12 months or less and are not recorded on the Company’s balance sheet. The Company did not have any short-term leases as of and for the periods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Such consideration is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June 30, 2025 and December 31,2024 consist of deferred revenue of $14,431 and $17,231, respectively. Revenue for the six months ended June 30, 2025 that was included in the contract liabilities balance at the beginning of the period was $14,644.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promoting the Company’s goods and services are expensed in the years incurred. Advertising expense totaled $766 and $806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Chicken Parm Pizza, LLC is the sole member (“Parent”, “Sole Member” or “Member”) of the Company. The rights and obligations as the Sole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June 30, 2025, the Company has incurred net losses for the past two years and the six months ended June 30, 2025,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unaudited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14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73" w:type="dxa"/>
        <w:jc w:val="left"/>
        <w:tblInd w:w="0" w:type="dxa"/>
        <w:tblLayout w:type="fixed"/>
        <w:tblCellMar>
          <w:top w:w="0" w:type="dxa"/>
          <w:left w:w="0" w:type="dxa"/>
          <w:bottom w:w="0" w:type="dxa"/>
          <w:right w:w="0" w:type="dxa"/>
        </w:tblCellMar>
      </w:tblPr>
      <w:tblGrid>
        <w:gridCol w:w="3650"/>
        <w:gridCol w:w="90"/>
        <w:gridCol w:w="202"/>
        <w:gridCol w:w="702"/>
        <w:gridCol w:w="125"/>
        <w:gridCol w:w="90"/>
        <w:gridCol w:w="322"/>
        <w:gridCol w:w="1122"/>
        <w:gridCol w:w="170"/>
      </w:tblGrid>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Trade accounts receivable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2,640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1,199</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Allowance for credit losses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(548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(286</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both"/>
              <w:rPr/>
            </w:pPr>
            <w:r>
              <w:rPr/>
              <w:t>Trade accounts receivable, net</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2,092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Contractor advances receivable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759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786</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Transaction fee receivable</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20</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Commissions overpayment receivable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2,942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1,574</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Allowance for credit losses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(487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(302</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both"/>
              <w:rPr/>
            </w:pPr>
            <w:r>
              <w:rPr/>
              <w:t>Total due from sales representatives</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3,223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Total accounts receivable, net</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02" w:type="dxa"/>
            <w:tcBorders>
              <w:bottom w:val="double" w:sz="10" w:space="0" w:color="000000"/>
            </w:tcBorders>
            <w:tcMar>
              <w:bottom w:w="28" w:type="dxa"/>
            </w:tcMar>
            <w:vAlign w:val="center"/>
          </w:tcPr>
          <w:p>
            <w:pPr>
              <w:pStyle w:val="TableContents"/>
              <w:bidi w:val="0"/>
              <w:spacing w:before="0" w:after="283"/>
              <w:jc w:val="right"/>
              <w:rPr/>
            </w:pPr>
            <w:r>
              <w:rPr/>
              <w:t>5,315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bottom w:val="double" w:sz="10" w:space="0" w:color="000000"/>
            </w:tcBorders>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tcMar>
              <w:bottom w:w="28" w:type="dxa"/>
            </w:tcMar>
            <w:vAlign w:val="center"/>
          </w:tcPr>
          <w:p>
            <w:pPr>
              <w:pStyle w:val="TableContents"/>
              <w:bidi w:val="0"/>
              <w:spacing w:before="0" w:after="283"/>
              <w:jc w:val="right"/>
              <w:rPr/>
            </w:pPr>
            <w:r>
              <w:rPr/>
              <w:t>2,991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w:t>
      </w:r>
      <w:r>
        <w:rPr>
          <w:rFonts w:ascii="Times New Roman;Times;Serif" w:hAnsi="Times New Roman;Times;Serif"/>
          <w:b/>
          <w:i/>
          <w:caps w:val="false"/>
          <w:smallCaps w:val="false"/>
          <w:sz w:val="20"/>
        </w:rPr>
        <w:t xml:space="preserve">.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allowances for credit losses for receivables by portfolio segment and the related activity for the six months ended June 30, 2025 and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4"/>
        <w:gridCol w:w="90"/>
        <w:gridCol w:w="442"/>
        <w:gridCol w:w="1071"/>
        <w:gridCol w:w="103"/>
        <w:gridCol w:w="103"/>
        <w:gridCol w:w="543"/>
        <w:gridCol w:w="928"/>
        <w:gridCol w:w="143"/>
        <w:gridCol w:w="103"/>
        <w:gridCol w:w="475"/>
        <w:gridCol w:w="1151"/>
        <w:gridCol w:w="143"/>
        <w:gridCol w:w="103"/>
        <w:gridCol w:w="544"/>
        <w:gridCol w:w="1317"/>
        <w:gridCol w:w="103"/>
        <w:gridCol w:w="103"/>
        <w:gridCol w:w="195"/>
        <w:gridCol w:w="678"/>
        <w:gridCol w:w="143"/>
      </w:tblGrid>
      <w:tr>
        <w:trPr/>
        <w:tc>
          <w:tcPr>
            <w:tcW w:w="172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48"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2025</w:t>
            </w:r>
          </w:p>
        </w:tc>
        <w:tc>
          <w:tcPr>
            <w:tcW w:w="143" w:type="dxa"/>
            <w:tcBorders/>
            <w:vAlign w:val="center"/>
          </w:tcPr>
          <w:p>
            <w:pPr>
              <w:pStyle w:val="TableContents"/>
              <w:bidi w:val="0"/>
              <w:spacing w:before="0" w:after="283"/>
              <w:jc w:val="left"/>
              <w:rPr/>
            </w:pPr>
            <w:r>
              <w:rPr/>
              <w:t> </w:t>
            </w:r>
          </w:p>
        </w:tc>
      </w:tr>
      <w:tr>
        <w:trPr/>
        <w:tc>
          <w:tcPr>
            <w:tcW w:w="172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4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6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3" w:type="dxa"/>
            <w:tcBorders/>
            <w:vAlign w:val="center"/>
          </w:tcPr>
          <w:p>
            <w:pPr>
              <w:pStyle w:val="TableContents"/>
              <w:bidi w:val="0"/>
              <w:spacing w:before="0" w:after="283"/>
              <w:jc w:val="left"/>
              <w:rPr/>
            </w:pPr>
            <w:r>
              <w:rPr/>
              <w:t> </w:t>
            </w:r>
          </w:p>
        </w:tc>
      </w:tr>
      <w:tr>
        <w:trPr/>
        <w:tc>
          <w:tcPr>
            <w:tcW w:w="1724" w:type="dxa"/>
            <w:tcBorders/>
            <w:shd w:fill="CCEEFF" w:val="clear"/>
            <w:vAlign w:val="center"/>
          </w:tcPr>
          <w:p>
            <w:pPr>
              <w:pStyle w:val="TableContents"/>
              <w:bidi w:val="0"/>
              <w:spacing w:before="0" w:after="283"/>
              <w:jc w:val="both"/>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286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131</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w:t>
            </w:r>
          </w:p>
        </w:tc>
        <w:tc>
          <w:tcPr>
            <w:tcW w:w="1317" w:type="dxa"/>
            <w:tcBorders/>
            <w:shd w:fill="CCEEFF" w:val="clear"/>
            <w:vAlign w:val="center"/>
          </w:tcPr>
          <w:p>
            <w:pPr>
              <w:pStyle w:val="TableContents"/>
              <w:bidi w:val="0"/>
              <w:spacing w:before="0" w:after="283"/>
              <w:jc w:val="right"/>
              <w:rPr/>
            </w:pPr>
            <w:r>
              <w:rPr/>
              <w:t>170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78" w:type="dxa"/>
            <w:tcBorders/>
            <w:shd w:fill="CCEEFF" w:val="clear"/>
            <w:vAlign w:val="center"/>
          </w:tcPr>
          <w:p>
            <w:pPr>
              <w:pStyle w:val="TableContents"/>
              <w:bidi w:val="0"/>
              <w:spacing w:before="0" w:after="283"/>
              <w:jc w:val="right"/>
              <w:rPr/>
            </w:pPr>
            <w:r>
              <w:rPr/>
              <w:t>588</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1724"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right"/>
              <w:rPr/>
            </w:pPr>
            <w:r>
              <w:rPr/>
              <w:t>248</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(1</w:t>
            </w:r>
          </w:p>
        </w:tc>
        <w:tc>
          <w:tcPr>
            <w:tcW w:w="143"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(5</w:t>
            </w:r>
          </w:p>
        </w:tc>
        <w:tc>
          <w:tcPr>
            <w:tcW w:w="143"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191</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433</w:t>
            </w:r>
          </w:p>
        </w:tc>
        <w:tc>
          <w:tcPr>
            <w:tcW w:w="143" w:type="dxa"/>
            <w:tcBorders/>
            <w:vAlign w:val="center"/>
          </w:tcPr>
          <w:p>
            <w:pPr>
              <w:pStyle w:val="TableContents"/>
              <w:bidi w:val="0"/>
              <w:spacing w:before="0" w:after="283"/>
              <w:jc w:val="left"/>
              <w:rPr/>
            </w:pPr>
            <w:r>
              <w:rPr/>
              <w:t> </w:t>
            </w:r>
          </w:p>
        </w:tc>
      </w:tr>
      <w:tr>
        <w:trPr/>
        <w:tc>
          <w:tcPr>
            <w:tcW w:w="1724" w:type="dxa"/>
            <w:tcBorders/>
            <w:shd w:fill="CCEEFF" w:val="clear"/>
            <w:vAlign w:val="center"/>
          </w:tcPr>
          <w:p>
            <w:pPr>
              <w:pStyle w:val="TableContents"/>
              <w:bidi w:val="0"/>
              <w:spacing w:before="0" w:after="283"/>
              <w:jc w:val="both"/>
              <w:rPr/>
            </w:pPr>
            <w:r>
              <w:rPr/>
              <w:t>Write-offs</w:t>
            </w:r>
          </w:p>
        </w:tc>
        <w:tc>
          <w:tcPr>
            <w:tcW w:w="9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1724" w:type="dxa"/>
            <w:tcBorders/>
            <w:vAlign w:val="center"/>
          </w:tcPr>
          <w:p>
            <w:pPr>
              <w:pStyle w:val="TableContents"/>
              <w:bidi w:val="0"/>
              <w:spacing w:before="0" w:after="283"/>
              <w:jc w:val="left"/>
              <w:rPr/>
            </w:pPr>
            <w:r>
              <w:rPr/>
              <w:t>Recoveries</w:t>
            </w:r>
          </w:p>
        </w:tc>
        <w:tc>
          <w:tcPr>
            <w:tcW w:w="90" w:type="dxa"/>
            <w:tcBorders/>
            <w:vAlign w:val="center"/>
          </w:tcPr>
          <w:p>
            <w:pPr>
              <w:pStyle w:val="TableContents"/>
              <w:bidi w:val="0"/>
              <w:spacing w:before="0" w:after="283"/>
              <w:jc w:val="left"/>
              <w:rPr/>
            </w:pPr>
            <w:r>
              <w:rPr/>
              <w:t> </w:t>
            </w:r>
          </w:p>
        </w:tc>
        <w:tc>
          <w:tcPr>
            <w:tcW w:w="4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1" w:type="dxa"/>
            <w:tcBorders>
              <w:bottom w:val="single" w:sz="12" w:space="0" w:color="000000"/>
            </w:tcBorders>
            <w:tcMar>
              <w:bottom w:w="28" w:type="dxa"/>
            </w:tcMar>
            <w:vAlign w:val="center"/>
          </w:tcPr>
          <w:p>
            <w:pPr>
              <w:pStyle w:val="TableContents"/>
              <w:bidi w:val="0"/>
              <w:spacing w:before="0" w:after="283"/>
              <w:jc w:val="right"/>
              <w:rPr/>
            </w:pPr>
            <w:r>
              <w:rPr/>
              <w:t>14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5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tcMar>
              <w:bottom w:w="28" w:type="dxa"/>
            </w:tcMar>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4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5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tcMar>
              <w:bottom w:w="28" w:type="dxa"/>
            </w:tcMar>
            <w:vAlign w:val="center"/>
          </w:tcPr>
          <w:p>
            <w:pPr>
              <w:pStyle w:val="TableContents"/>
              <w:bidi w:val="0"/>
              <w:spacing w:before="0" w:after="283"/>
              <w:jc w:val="right"/>
              <w:rPr/>
            </w:pPr>
            <w:r>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678" w:type="dxa"/>
            <w:tcBorders>
              <w:bottom w:val="single" w:sz="12" w:space="0" w:color="000000"/>
            </w:tcBorders>
            <w:tcMar>
              <w:bottom w:w="28" w:type="dxa"/>
            </w:tcMar>
            <w:vAlign w:val="center"/>
          </w:tcPr>
          <w:p>
            <w:pPr>
              <w:pStyle w:val="TableContents"/>
              <w:bidi w:val="0"/>
              <w:spacing w:before="0" w:after="283"/>
              <w:jc w:val="right"/>
              <w:rPr/>
            </w:pPr>
            <w:r>
              <w:rPr/>
              <w:t>14</w:t>
            </w:r>
          </w:p>
        </w:tc>
        <w:tc>
          <w:tcPr>
            <w:tcW w:w="143" w:type="dxa"/>
            <w:tcBorders/>
            <w:vAlign w:val="center"/>
          </w:tcPr>
          <w:p>
            <w:pPr>
              <w:pStyle w:val="TableContents"/>
              <w:bidi w:val="0"/>
              <w:spacing w:before="0" w:after="283"/>
              <w:jc w:val="left"/>
              <w:rPr/>
            </w:pPr>
            <w:r>
              <w:rPr/>
              <w:t> </w:t>
            </w:r>
          </w:p>
        </w:tc>
      </w:tr>
      <w:tr>
        <w:trPr/>
        <w:tc>
          <w:tcPr>
            <w:tcW w:w="1724"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4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1" w:type="dxa"/>
            <w:tcBorders>
              <w:bottom w:val="double" w:sz="10" w:space="0" w:color="000000"/>
            </w:tcBorders>
            <w:shd w:fill="CCEEFF" w:val="clear"/>
            <w:tcMar>
              <w:bottom w:w="28" w:type="dxa"/>
            </w:tcMar>
            <w:vAlign w:val="center"/>
          </w:tcPr>
          <w:p>
            <w:pPr>
              <w:pStyle w:val="TableContents"/>
              <w:bidi w:val="0"/>
              <w:spacing w:before="0" w:after="283"/>
              <w:jc w:val="right"/>
              <w:rPr/>
            </w:pPr>
            <w:r>
              <w:rPr/>
              <w:t>548</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10" w:space="0" w:color="000000"/>
            </w:tcBorders>
            <w:shd w:fill="CCEEFF" w:val="clear"/>
            <w:tcMar>
              <w:bottom w:w="28" w:type="dxa"/>
            </w:tcMar>
            <w:vAlign w:val="center"/>
          </w:tcPr>
          <w:p>
            <w:pPr>
              <w:pStyle w:val="TableContents"/>
              <w:bidi w:val="0"/>
              <w:spacing w:before="0" w:after="283"/>
              <w:jc w:val="right"/>
              <w:rPr/>
            </w:pPr>
            <w:r>
              <w:rPr/>
              <w:t>126</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7" w:type="dxa"/>
            <w:tcBorders>
              <w:bottom w:val="double" w:sz="10" w:space="0" w:color="000000"/>
            </w:tcBorders>
            <w:shd w:fill="CCEEFF" w:val="clear"/>
            <w:tcMar>
              <w:bottom w:w="28" w:type="dxa"/>
            </w:tcMar>
            <w:vAlign w:val="center"/>
          </w:tcPr>
          <w:p>
            <w:pPr>
              <w:pStyle w:val="TableContents"/>
              <w:bidi w:val="0"/>
              <w:spacing w:before="0" w:after="283"/>
              <w:jc w:val="right"/>
              <w:rPr/>
            </w:pPr>
            <w:r>
              <w:rPr/>
              <w:t>361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8" w:type="dxa"/>
            <w:tcBorders>
              <w:bottom w:val="double" w:sz="10" w:space="0" w:color="000000"/>
            </w:tcBorders>
            <w:shd w:fill="CCEEFF" w:val="clear"/>
            <w:tcMar>
              <w:bottom w:w="28" w:type="dxa"/>
            </w:tcMar>
            <w:vAlign w:val="center"/>
          </w:tcPr>
          <w:p>
            <w:pPr>
              <w:pStyle w:val="TableContents"/>
              <w:bidi w:val="0"/>
              <w:spacing w:before="0" w:after="283"/>
              <w:jc w:val="right"/>
              <w:rPr/>
            </w:pPr>
            <w:r>
              <w:rPr/>
              <w:t>1,035</w:t>
            </w:r>
          </w:p>
        </w:tc>
        <w:tc>
          <w:tcPr>
            <w:tcW w:w="14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7"/>
        <w:gridCol w:w="90"/>
        <w:gridCol w:w="449"/>
        <w:gridCol w:w="1087"/>
        <w:gridCol w:w="151"/>
        <w:gridCol w:w="109"/>
        <w:gridCol w:w="547"/>
        <w:gridCol w:w="934"/>
        <w:gridCol w:w="151"/>
        <w:gridCol w:w="109"/>
        <w:gridCol w:w="482"/>
        <w:gridCol w:w="1167"/>
        <w:gridCol w:w="109"/>
        <w:gridCol w:w="109"/>
        <w:gridCol w:w="696"/>
        <w:gridCol w:w="1190"/>
        <w:gridCol w:w="109"/>
        <w:gridCol w:w="109"/>
        <w:gridCol w:w="211"/>
        <w:gridCol w:w="497"/>
        <w:gridCol w:w="142"/>
      </w:tblGrid>
      <w:tr>
        <w:trPr/>
        <w:tc>
          <w:tcPr>
            <w:tcW w:w="175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16"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2024</w:t>
            </w:r>
          </w:p>
        </w:tc>
        <w:tc>
          <w:tcPr>
            <w:tcW w:w="142" w:type="dxa"/>
            <w:tcBorders/>
            <w:vAlign w:val="center"/>
          </w:tcPr>
          <w:p>
            <w:pPr>
              <w:pStyle w:val="TableContents"/>
              <w:bidi w:val="0"/>
              <w:spacing w:before="0" w:after="283"/>
              <w:jc w:val="left"/>
              <w:rPr/>
            </w:pPr>
            <w:r>
              <w:rPr/>
              <w:t> </w:t>
            </w:r>
          </w:p>
        </w:tc>
      </w:tr>
      <w:tr>
        <w:trPr/>
        <w:tc>
          <w:tcPr>
            <w:tcW w:w="175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6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2" w:type="dxa"/>
            <w:tcBorders/>
            <w:vAlign w:val="center"/>
          </w:tcPr>
          <w:p>
            <w:pPr>
              <w:pStyle w:val="TableContents"/>
              <w:bidi w:val="0"/>
              <w:spacing w:before="0" w:after="283"/>
              <w:jc w:val="left"/>
              <w:rPr/>
            </w:pPr>
            <w:r>
              <w:rPr/>
              <w:t> </w:t>
            </w:r>
          </w:p>
        </w:tc>
      </w:tr>
      <w:tr>
        <w:trPr/>
        <w:tc>
          <w:tcPr>
            <w:tcW w:w="1757" w:type="dxa"/>
            <w:tcBorders/>
            <w:shd w:fill="CCEEFF" w:val="clear"/>
            <w:vAlign w:val="center"/>
          </w:tcPr>
          <w:p>
            <w:pPr>
              <w:pStyle w:val="TableContents"/>
              <w:bidi w:val="0"/>
              <w:spacing w:before="0" w:after="283"/>
              <w:jc w:val="both"/>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w:t>
            </w:r>
          </w:p>
        </w:tc>
        <w:tc>
          <w:tcPr>
            <w:tcW w:w="934" w:type="dxa"/>
            <w:tcBorders/>
            <w:shd w:fill="CCEEFF" w:val="clear"/>
            <w:vAlign w:val="center"/>
          </w:tcPr>
          <w:p>
            <w:pPr>
              <w:pStyle w:val="TableContents"/>
              <w:bidi w:val="0"/>
              <w:spacing w:before="0" w:after="283"/>
              <w:jc w:val="right"/>
              <w:rPr/>
            </w:pPr>
            <w:r>
              <w:rPr/>
              <w:t>5</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w:t>
            </w:r>
          </w:p>
        </w:tc>
        <w:tc>
          <w:tcPr>
            <w:tcW w:w="1167" w:type="dxa"/>
            <w:tcBorders/>
            <w:shd w:fill="CCEEFF" w:val="clear"/>
            <w:vAlign w:val="center"/>
          </w:tcPr>
          <w:p>
            <w:pPr>
              <w:pStyle w:val="TableContents"/>
              <w:bidi w:val="0"/>
              <w:spacing w:before="0" w:after="283"/>
              <w:jc w:val="right"/>
              <w:rPr/>
            </w:pPr>
            <w:r>
              <w:rPr/>
              <w:t>46</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3</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497" w:type="dxa"/>
            <w:tcBorders/>
            <w:shd w:fill="CCEEFF" w:val="clear"/>
            <w:vAlign w:val="center"/>
          </w:tcPr>
          <w:p>
            <w:pPr>
              <w:pStyle w:val="TableContents"/>
              <w:bidi w:val="0"/>
              <w:spacing w:before="0" w:after="283"/>
              <w:jc w:val="right"/>
              <w:rPr/>
            </w:pPr>
            <w:r>
              <w:rPr/>
              <w:t>54</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1757"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137</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w:t>
            </w:r>
          </w:p>
        </w:tc>
        <w:tc>
          <w:tcPr>
            <w:tcW w:w="1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92</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23</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right"/>
              <w:rPr/>
            </w:pPr>
            <w:r>
              <w:rPr/>
              <w:t>251</w:t>
            </w:r>
          </w:p>
        </w:tc>
        <w:tc>
          <w:tcPr>
            <w:tcW w:w="142" w:type="dxa"/>
            <w:tcBorders/>
            <w:vAlign w:val="center"/>
          </w:tcPr>
          <w:p>
            <w:pPr>
              <w:pStyle w:val="TableContents"/>
              <w:bidi w:val="0"/>
              <w:spacing w:before="0" w:after="283"/>
              <w:jc w:val="left"/>
              <w:rPr/>
            </w:pPr>
            <w:r>
              <w:rPr/>
              <w:t> </w:t>
            </w:r>
          </w:p>
        </w:tc>
      </w:tr>
      <w:tr>
        <w:trPr/>
        <w:tc>
          <w:tcPr>
            <w:tcW w:w="1757" w:type="dxa"/>
            <w:tcBorders/>
            <w:shd w:fill="CCEEFF" w:val="clear"/>
            <w:vAlign w:val="center"/>
          </w:tcPr>
          <w:p>
            <w:pPr>
              <w:pStyle w:val="TableContents"/>
              <w:bidi w:val="0"/>
              <w:spacing w:before="0" w:after="283"/>
              <w:jc w:val="both"/>
              <w:rPr/>
            </w:pPr>
            <w:r>
              <w:rPr/>
              <w:t>Write-offs</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1757" w:type="dxa"/>
            <w:tcBorders/>
            <w:vAlign w:val="center"/>
          </w:tcPr>
          <w:p>
            <w:pPr>
              <w:pStyle w:val="TableContents"/>
              <w:bidi w:val="0"/>
              <w:spacing w:before="0" w:after="283"/>
              <w:jc w:val="left"/>
              <w:rPr/>
            </w:pPr>
            <w:r>
              <w:rPr/>
              <w:t>Recoveries</w:t>
            </w:r>
          </w:p>
        </w:tc>
        <w:tc>
          <w:tcPr>
            <w:tcW w:w="90" w:type="dxa"/>
            <w:tcBorders/>
            <w:vAlign w:val="center"/>
          </w:tcPr>
          <w:p>
            <w:pPr>
              <w:pStyle w:val="TableContents"/>
              <w:bidi w:val="0"/>
              <w:spacing w:before="0" w:after="283"/>
              <w:jc w:val="left"/>
              <w:rPr/>
            </w:pPr>
            <w:r>
              <w:rPr/>
              <w:t> </w:t>
            </w:r>
          </w:p>
        </w:tc>
        <w:tc>
          <w:tcPr>
            <w:tcW w:w="4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tcMar>
              <w:bottom w:w="28" w:type="dxa"/>
            </w:tcMar>
            <w:vAlign w:val="center"/>
          </w:tcPr>
          <w:p>
            <w:pPr>
              <w:pStyle w:val="TableContents"/>
              <w:bidi w:val="0"/>
              <w:spacing w:before="0" w:after="283"/>
              <w:jc w:val="right"/>
              <w:rPr/>
            </w:pPr>
            <w:r>
              <w:rPr/>
              <w:t>—</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5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tcMar>
              <w:bottom w:w="28" w:type="dxa"/>
            </w:tcMar>
            <w:vAlign w:val="center"/>
          </w:tcPr>
          <w:p>
            <w:pPr>
              <w:pStyle w:val="TableContents"/>
              <w:bidi w:val="0"/>
              <w:spacing w:before="0" w:after="283"/>
              <w:jc w:val="right"/>
              <w:rPr/>
            </w:pPr>
            <w:r>
              <w:rPr/>
              <w:t>—</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4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7" w:type="dxa"/>
            <w:tcBorders>
              <w:bottom w:val="single" w:sz="12" w:space="0" w:color="000000"/>
            </w:tcBorders>
            <w:tcMar>
              <w:bottom w:w="28" w:type="dxa"/>
            </w:tcMar>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tcMar>
              <w:bottom w:w="28" w:type="dxa"/>
            </w:tcMar>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497" w:type="dxa"/>
            <w:tcBorders>
              <w:bottom w:val="single" w:sz="12" w:space="0" w:color="000000"/>
            </w:tcBorders>
            <w:tcMar>
              <w:bottom w:w="28" w:type="dxa"/>
            </w:tcMar>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jc w:val="left"/>
              <w:rPr/>
            </w:pPr>
            <w:r>
              <w:rPr/>
              <w:t> </w:t>
            </w:r>
          </w:p>
        </w:tc>
      </w:tr>
      <w:tr>
        <w:trPr/>
        <w:tc>
          <w:tcPr>
            <w:tcW w:w="1757"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4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7" w:type="dxa"/>
            <w:tcBorders>
              <w:bottom w:val="double" w:sz="10" w:space="0" w:color="000000"/>
            </w:tcBorders>
            <w:shd w:fill="CCEEFF" w:val="clear"/>
            <w:tcMar>
              <w:bottom w:w="28" w:type="dxa"/>
            </w:tcMar>
            <w:vAlign w:val="center"/>
          </w:tcPr>
          <w:p>
            <w:pPr>
              <w:pStyle w:val="TableContents"/>
              <w:bidi w:val="0"/>
              <w:spacing w:before="0" w:after="283"/>
              <w:jc w:val="right"/>
              <w:rPr/>
            </w:pPr>
            <w:r>
              <w:rPr/>
              <w:t>137</w:t>
            </w:r>
          </w:p>
        </w:tc>
        <w:tc>
          <w:tcPr>
            <w:tcW w:w="151"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5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4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7" w:type="dxa"/>
            <w:tcBorders>
              <w:bottom w:val="double" w:sz="10" w:space="0" w:color="000000"/>
            </w:tcBorders>
            <w:shd w:fill="CCEEFF" w:val="clear"/>
            <w:tcMar>
              <w:bottom w:w="28" w:type="dxa"/>
            </w:tcMar>
            <w:vAlign w:val="center"/>
          </w:tcPr>
          <w:p>
            <w:pPr>
              <w:pStyle w:val="TableContents"/>
              <w:bidi w:val="0"/>
              <w:spacing w:before="0" w:after="283"/>
              <w:jc w:val="right"/>
              <w:rPr/>
            </w:pPr>
            <w:r>
              <w:rPr/>
              <w:t>138</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0" w:type="dxa"/>
            <w:tcBorders>
              <w:bottom w:val="double" w:sz="10" w:space="0" w:color="000000"/>
            </w:tcBorders>
            <w:shd w:fill="CCEEFF" w:val="clear"/>
            <w:tcMar>
              <w:bottom w:w="28" w:type="dxa"/>
            </w:tcMar>
            <w:vAlign w:val="center"/>
          </w:tcPr>
          <w:p>
            <w:pPr>
              <w:pStyle w:val="TableContents"/>
              <w:bidi w:val="0"/>
              <w:spacing w:before="0" w:after="283"/>
              <w:jc w:val="right"/>
              <w:rPr/>
            </w:pPr>
            <w:r>
              <w:rPr/>
              <w:t>26</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7" w:type="dxa"/>
            <w:tcBorders>
              <w:bottom w:val="double" w:sz="10" w:space="0" w:color="000000"/>
            </w:tcBorders>
            <w:shd w:fill="CCEEFF" w:val="clear"/>
            <w:tcMar>
              <w:bottom w:w="28" w:type="dxa"/>
            </w:tcMar>
            <w:vAlign w:val="center"/>
          </w:tcPr>
          <w:p>
            <w:pPr>
              <w:pStyle w:val="TableContents"/>
              <w:bidi w:val="0"/>
              <w:spacing w:before="0" w:after="283"/>
              <w:jc w:val="right"/>
              <w:rPr/>
            </w:pPr>
            <w:r>
              <w:rPr/>
              <w:t>305</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w:t>
      </w:r>
      <w:r>
        <w:rPr>
          <w:rFonts w:ascii="Times New Roman;Times;Serif" w:hAnsi="Times New Roman;Times;Serif"/>
          <w:b/>
          <w:i/>
          <w:caps w:val="false"/>
          <w:smallCaps w:val="false"/>
          <w:sz w:val="20"/>
        </w:rPr>
        <w:t>.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19" w:type="dxa"/>
        <w:jc w:val="left"/>
        <w:tblInd w:w="0" w:type="dxa"/>
        <w:tblLayout w:type="fixed"/>
        <w:tblCellMar>
          <w:top w:w="0" w:type="dxa"/>
          <w:left w:w="0" w:type="dxa"/>
          <w:bottom w:w="0" w:type="dxa"/>
          <w:right w:w="0" w:type="dxa"/>
        </w:tblCellMar>
      </w:tblPr>
      <w:tblGrid>
        <w:gridCol w:w="3965"/>
        <w:gridCol w:w="90"/>
        <w:gridCol w:w="202"/>
        <w:gridCol w:w="702"/>
        <w:gridCol w:w="90"/>
        <w:gridCol w:w="90"/>
        <w:gridCol w:w="279"/>
        <w:gridCol w:w="1166"/>
        <w:gridCol w:w="135"/>
      </w:tblGrid>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Deferred commissions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9,609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12,840</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Bonus install commitment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208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435</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Other</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Prepaid expenses and other current assets</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02" w:type="dxa"/>
            <w:tcBorders>
              <w:bottom w:val="double" w:sz="10" w:space="0" w:color="000000"/>
            </w:tcBorders>
            <w:tcMar>
              <w:bottom w:w="28" w:type="dxa"/>
            </w:tcMar>
            <w:vAlign w:val="center"/>
          </w:tcPr>
          <w:p>
            <w:pPr>
              <w:pStyle w:val="TableContents"/>
              <w:bidi w:val="0"/>
              <w:spacing w:before="0" w:after="283"/>
              <w:jc w:val="right"/>
              <w:rPr/>
            </w:pPr>
            <w:r>
              <w:rPr/>
              <w:t>9,830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13,508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$10,527 of commission expense in the six months ended June 30, 2025,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w:t>
      </w:r>
      <w:r>
        <w:rPr>
          <w:rFonts w:ascii="Times New Roman;Times;Serif" w:hAnsi="Times New Roman;Times;Serif"/>
          <w:b/>
          <w:i/>
          <w:caps w:val="false"/>
          <w:smallCaps w:val="false"/>
          <w:sz w:val="20"/>
        </w:rPr>
        <w:t>.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7478" w:type="dxa"/>
        <w:jc w:val="left"/>
        <w:tblInd w:w="0" w:type="dxa"/>
        <w:tblLayout w:type="fixed"/>
        <w:tblCellMar>
          <w:top w:w="0" w:type="dxa"/>
          <w:left w:w="0" w:type="dxa"/>
          <w:bottom w:w="0" w:type="dxa"/>
          <w:right w:w="0" w:type="dxa"/>
        </w:tblCellMar>
      </w:tblPr>
      <w:tblGrid>
        <w:gridCol w:w="4655"/>
        <w:gridCol w:w="90"/>
        <w:gridCol w:w="234"/>
        <w:gridCol w:w="670"/>
        <w:gridCol w:w="125"/>
        <w:gridCol w:w="90"/>
        <w:gridCol w:w="374"/>
        <w:gridCol w:w="1070"/>
        <w:gridCol w:w="170"/>
      </w:tblGrid>
      <w:tr>
        <w:trPr/>
        <w:tc>
          <w:tcPr>
            <w:tcW w:w="4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Leasehold improvements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202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202</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Furniture and fixtures</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right"/>
              <w:rPr/>
            </w:pPr>
            <w:r>
              <w:rPr/>
              <w:t>188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188</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Computer equipment</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Total cost</w:t>
            </w:r>
          </w:p>
        </w:tc>
        <w:tc>
          <w:tcPr>
            <w:tcW w:w="90" w:type="dxa"/>
            <w:tcBorders/>
            <w:vAlign w:val="center"/>
          </w:tcPr>
          <w:p>
            <w:pPr>
              <w:pStyle w:val="TableContents"/>
              <w:bidi w:val="0"/>
              <w:spacing w:before="0" w:after="283"/>
              <w:jc w:val="left"/>
              <w:rPr/>
            </w:pPr>
            <w:r>
              <w:rPr/>
              <w:t> </w:t>
            </w:r>
          </w:p>
        </w:tc>
        <w:tc>
          <w:tcPr>
            <w:tcW w:w="234" w:type="dxa"/>
            <w:tcBorders>
              <w:bottom w:val="single" w:sz="12" w:space="0" w:color="000000"/>
            </w:tcBorders>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tcMar>
              <w:bottom w:w="28" w:type="dxa"/>
            </w:tcMar>
            <w:vAlign w:val="center"/>
          </w:tcPr>
          <w:p>
            <w:pPr>
              <w:pStyle w:val="TableContents"/>
              <w:bidi w:val="0"/>
              <w:spacing w:before="0" w:after="283"/>
              <w:jc w:val="right"/>
              <w:rPr/>
            </w:pPr>
            <w:r>
              <w:rPr/>
              <w:t>465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right"/>
              <w:rPr/>
            </w:pPr>
            <w:r>
              <w:rPr/>
              <w:t>463</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Less: accumulated depreciation and amortization</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(205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70" w:type="dxa"/>
            <w:tcBorders/>
            <w:shd w:fill="CCEEFF" w:val="clear"/>
            <w:vAlign w:val="center"/>
          </w:tcPr>
          <w:p>
            <w:pPr>
              <w:pStyle w:val="TableContents"/>
              <w:bidi w:val="0"/>
              <w:spacing w:before="0" w:after="283"/>
              <w:jc w:val="left"/>
              <w:rPr/>
            </w:pPr>
            <w:r>
              <w:rPr/>
              <w:t>)</w:t>
            </w:r>
          </w:p>
        </w:tc>
      </w:tr>
      <w:tr>
        <w:trPr/>
        <w:tc>
          <w:tcPr>
            <w:tcW w:w="4655" w:type="dxa"/>
            <w:tcBorders/>
            <w:vAlign w:val="center"/>
          </w:tcPr>
          <w:p>
            <w:pPr>
              <w:pStyle w:val="TableContents"/>
              <w:bidi w:val="0"/>
              <w:spacing w:before="0" w:after="283"/>
              <w:jc w:val="both"/>
              <w:rPr/>
            </w:pPr>
            <w:r>
              <w:rPr/>
              <w:t>Property and equipment, net</w:t>
            </w:r>
          </w:p>
        </w:tc>
        <w:tc>
          <w:tcPr>
            <w:tcW w:w="90" w:type="dxa"/>
            <w:tcBorders/>
            <w:vAlign w:val="center"/>
          </w:tcPr>
          <w:p>
            <w:pPr>
              <w:pStyle w:val="TableContents"/>
              <w:bidi w:val="0"/>
              <w:spacing w:before="0" w:after="283"/>
              <w:jc w:val="left"/>
              <w:rPr/>
            </w:pPr>
            <w:r>
              <w:rPr/>
              <w:t> </w:t>
            </w:r>
          </w:p>
        </w:tc>
        <w:tc>
          <w:tcPr>
            <w:tcW w:w="234" w:type="dxa"/>
            <w:tcBorders>
              <w:bottom w:val="double" w:sz="10" w:space="0" w:color="000000"/>
            </w:tcBorders>
            <w:tcMar>
              <w:bottom w:w="28" w:type="dxa"/>
            </w:tcMar>
            <w:vAlign w:val="center"/>
          </w:tcPr>
          <w:p>
            <w:pPr>
              <w:pStyle w:val="TableContents"/>
              <w:bidi w:val="0"/>
              <w:spacing w:before="0" w:after="283"/>
              <w:jc w:val="left"/>
              <w:rPr/>
            </w:pPr>
            <w:r>
              <w:rPr/>
              <w:t>$</w:t>
            </w:r>
          </w:p>
        </w:tc>
        <w:tc>
          <w:tcPr>
            <w:tcW w:w="670" w:type="dxa"/>
            <w:tcBorders>
              <w:bottom w:val="double" w:sz="10" w:space="0" w:color="000000"/>
            </w:tcBorders>
            <w:tcMar>
              <w:bottom w:w="28" w:type="dxa"/>
            </w:tcMar>
            <w:vAlign w:val="center"/>
          </w:tcPr>
          <w:p>
            <w:pPr>
              <w:pStyle w:val="TableContents"/>
              <w:bidi w:val="0"/>
              <w:spacing w:before="0" w:after="283"/>
              <w:jc w:val="right"/>
              <w:rPr/>
            </w:pPr>
            <w:r>
              <w:rPr/>
              <w:t>260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4" w:type="dxa"/>
            <w:tcBorders>
              <w:bottom w:val="double" w:sz="10" w:space="0" w:color="000000"/>
            </w:tcBorders>
            <w:tcMar>
              <w:bottom w:w="28" w:type="dxa"/>
            </w:tcMar>
            <w:vAlign w:val="center"/>
          </w:tcPr>
          <w:p>
            <w:pPr>
              <w:pStyle w:val="TableContents"/>
              <w:bidi w:val="0"/>
              <w:spacing w:before="0" w:after="283"/>
              <w:jc w:val="left"/>
              <w:rPr/>
            </w:pPr>
            <w:r>
              <w:rPr/>
              <w:t>$</w:t>
            </w:r>
          </w:p>
        </w:tc>
        <w:tc>
          <w:tcPr>
            <w:tcW w:w="1070" w:type="dxa"/>
            <w:tcBorders>
              <w:bottom w:val="double" w:sz="10" w:space="0" w:color="000000"/>
            </w:tcBorders>
            <w:tcMar>
              <w:bottom w:w="28" w:type="dxa"/>
            </w:tcMar>
            <w:vAlign w:val="center"/>
          </w:tcPr>
          <w:p>
            <w:pPr>
              <w:pStyle w:val="TableContents"/>
              <w:bidi w:val="0"/>
              <w:spacing w:before="0" w:after="283"/>
              <w:jc w:val="right"/>
              <w:rPr/>
            </w:pPr>
            <w:r>
              <w:rPr/>
              <w:t>298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2025 and 2024 was $40 and $39,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4835"/>
        <w:gridCol w:w="90"/>
        <w:gridCol w:w="174"/>
        <w:gridCol w:w="730"/>
        <w:gridCol w:w="90"/>
        <w:gridCol w:w="90"/>
        <w:gridCol w:w="322"/>
        <w:gridCol w:w="1122"/>
        <w:gridCol w:w="135"/>
      </w:tblGrid>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Accrued salaries, wages and related expenses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120</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Commissions payable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3,177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1,814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Legal fees payable</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8,195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4,136</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Accrued interest payable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47</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Credit card obligation</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101</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Other</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tcMar>
              <w:bottom w:w="28" w:type="dxa"/>
            </w:tcMar>
            <w:vAlign w:val="center"/>
          </w:tcPr>
          <w:p>
            <w:pPr>
              <w:pStyle w:val="TableContents"/>
              <w:bidi w:val="0"/>
              <w:spacing w:before="0" w:after="283"/>
              <w:jc w:val="right"/>
              <w:rPr/>
            </w:pPr>
            <w:r>
              <w:rPr/>
              <w:t>317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293</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Total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double" w:sz="10" w:space="0" w:color="000000"/>
            </w:tcBorders>
            <w:shd w:fill="CCEEFF" w:val="clear"/>
            <w:tcMar>
              <w:bottom w:w="28" w:type="dxa"/>
            </w:tcMar>
            <w:vAlign w:val="center"/>
          </w:tcPr>
          <w:p>
            <w:pPr>
              <w:pStyle w:val="TableContents"/>
              <w:bidi w:val="0"/>
              <w:spacing w:before="0" w:after="283"/>
              <w:jc w:val="right"/>
              <w:rPr/>
            </w:pPr>
            <w:r>
              <w:rPr/>
              <w:t>11,881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6,511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2023, the Company entered into an unsecured line of credit (“LOC”) agreement with a borrowing limit of $3,000. The LOC had a fixed interest rate of 7.5% and was scheduled to mature on June 30, 2025. The outstanding balance on the line was $2,250 as of June 30, 2025 and December 31, 2024. The LOC was repaid in September 2025 in connection with the sale of the membership interest in the Company. Refer to Note 2 – </w:t>
      </w:r>
      <w:r>
        <w:rPr>
          <w:rFonts w:ascii="Times New Roman;Times;Serif" w:hAnsi="Times New Roman;Times;Serif"/>
          <w:b w:val="false"/>
          <w:i/>
          <w:caps w:val="false"/>
          <w:smallCaps w:val="false"/>
          <w:sz w:val="20"/>
        </w:rPr>
        <w:t>Liquidity Considerations and Sale of Company</w:t>
      </w:r>
      <w:r>
        <w:rPr>
          <w:rFonts w:ascii="Times New Roman;Times;Serif" w:hAnsi="Times New Roman;Times;Serif"/>
          <w:b w:val="false"/>
          <w:i w:val="false"/>
          <w:caps w:val="false"/>
          <w:smallCaps w:val="false"/>
          <w:sz w:val="20"/>
        </w:rPr>
        <w:t xml:space="preserve"> for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recognized in the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w:t>
      </w:r>
      <w:r>
        <w:rPr>
          <w:rFonts w:ascii="Times New Roman;Times;Serif" w:hAnsi="Times New Roman;Times;Serif"/>
          <w:b/>
          <w:i/>
          <w:caps w:val="false"/>
          <w:smallCaps w:val="false"/>
          <w:sz w:val="20"/>
        </w:rPr>
        <w:t>.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operating lease components recorded in the Company’s balance sheets as of June 30, 2025 and December 31, 2024</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23" w:type="dxa"/>
        <w:jc w:val="left"/>
        <w:tblInd w:w="0" w:type="dxa"/>
        <w:tblLayout w:type="fixed"/>
        <w:tblCellMar>
          <w:top w:w="0" w:type="dxa"/>
          <w:left w:w="0" w:type="dxa"/>
          <w:bottom w:w="0" w:type="dxa"/>
          <w:right w:w="0" w:type="dxa"/>
        </w:tblCellMar>
      </w:tblPr>
      <w:tblGrid>
        <w:gridCol w:w="4370"/>
        <w:gridCol w:w="90"/>
        <w:gridCol w:w="265"/>
        <w:gridCol w:w="639"/>
        <w:gridCol w:w="90"/>
        <w:gridCol w:w="90"/>
        <w:gridCol w:w="422"/>
        <w:gridCol w:w="1022"/>
        <w:gridCol w:w="135"/>
      </w:tblGrid>
      <w:tr>
        <w:trPr/>
        <w:tc>
          <w:tcPr>
            <w:tcW w:w="43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Operating lease right-of-use asset, net</w:t>
            </w:r>
          </w:p>
        </w:tc>
        <w:tc>
          <w:tcPr>
            <w:tcW w:w="90" w:type="dxa"/>
            <w:tcBorders/>
            <w:shd w:fill="CCEEFF" w:val="clear"/>
            <w:vAlign w:val="center"/>
          </w:tcPr>
          <w:p>
            <w:pPr>
              <w:pStyle w:val="TableContents"/>
              <w:bidi w:val="0"/>
              <w:spacing w:before="0" w:after="283"/>
              <w:jc w:val="left"/>
              <w:rPr/>
            </w:pPr>
            <w:r>
              <w:rPr/>
              <w:t> </w:t>
            </w:r>
          </w:p>
        </w:tc>
        <w:tc>
          <w:tcPr>
            <w:tcW w:w="2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2"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Current portion of operating lease liability</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w:t>
            </w:r>
          </w:p>
        </w:tc>
        <w:tc>
          <w:tcPr>
            <w:tcW w:w="1022" w:type="dxa"/>
            <w:tcBorders/>
            <w:shd w:fill="CCEEFF" w:val="clear"/>
            <w:vAlign w:val="center"/>
          </w:tcPr>
          <w:p>
            <w:pPr>
              <w:pStyle w:val="TableContents"/>
              <w:bidi w:val="0"/>
              <w:spacing w:before="0" w:after="283"/>
              <w:jc w:val="right"/>
              <w:rPr/>
            </w:pPr>
            <w:r>
              <w:rPr/>
              <w:t>119</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Noncurrent portion of operating lease liability</w:t>
            </w:r>
          </w:p>
        </w:tc>
        <w:tc>
          <w:tcPr>
            <w:tcW w:w="90" w:type="dxa"/>
            <w:tcBorders/>
            <w:vAlign w:val="center"/>
          </w:tcPr>
          <w:p>
            <w:pPr>
              <w:pStyle w:val="TableContents"/>
              <w:bidi w:val="0"/>
              <w:spacing w:before="0" w:after="283"/>
              <w:jc w:val="left"/>
              <w:rPr/>
            </w:pPr>
            <w:r>
              <w:rPr/>
              <w:t> </w:t>
            </w:r>
          </w:p>
        </w:tc>
        <w:tc>
          <w:tcPr>
            <w:tcW w:w="265" w:type="dxa"/>
            <w:tcBorders>
              <w:bottom w:val="single" w:sz="12" w:space="0" w:color="000000"/>
            </w:tcBorders>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tcMar>
              <w:bottom w:w="28" w:type="dxa"/>
            </w:tcMar>
            <w:vAlign w:val="center"/>
          </w:tcPr>
          <w:p>
            <w:pPr>
              <w:pStyle w:val="TableContents"/>
              <w:bidi w:val="0"/>
              <w:spacing w:before="0" w:after="283"/>
              <w:jc w:val="right"/>
              <w:rPr/>
            </w:pPr>
            <w:r>
              <w:rPr/>
              <w:t>237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tcMar>
              <w:bottom w:w="28" w:type="dxa"/>
            </w:tcMar>
            <w:vAlign w:val="center"/>
          </w:tcPr>
          <w:p>
            <w:pPr>
              <w:pStyle w:val="TableContents"/>
              <w:bidi w:val="0"/>
              <w:spacing w:before="0" w:after="283"/>
              <w:jc w:val="right"/>
              <w:rPr/>
            </w:pPr>
            <w:r>
              <w:rPr/>
              <w:t>302</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Total operating lease liability</w:t>
            </w:r>
          </w:p>
        </w:tc>
        <w:tc>
          <w:tcPr>
            <w:tcW w:w="90" w:type="dxa"/>
            <w:tcBorders/>
            <w:shd w:fill="CCEEFF" w:val="clear"/>
            <w:vAlign w:val="center"/>
          </w:tcPr>
          <w:p>
            <w:pPr>
              <w:pStyle w:val="TableContents"/>
              <w:bidi w:val="0"/>
              <w:spacing w:before="0" w:after="283"/>
              <w:jc w:val="left"/>
              <w:rPr/>
            </w:pPr>
            <w:r>
              <w:rPr/>
              <w:t> </w:t>
            </w:r>
          </w:p>
        </w:tc>
        <w:tc>
          <w:tcPr>
            <w:tcW w:w="2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2"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$58 and $53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 and discount rates for the Company’s operating leases:</w:t>
      </w:r>
    </w:p>
    <w:p>
      <w:pPr>
        <w:pStyle w:val="TextBody"/>
        <w:bidi w:val="0"/>
        <w:spacing w:before="0" w:after="0"/>
        <w:ind w:left="0" w:right="0" w:hanging="0"/>
        <w:jc w:val="both"/>
        <w:rPr>
          <w:caps w:val="false"/>
          <w:smallCaps w:val="false"/>
        </w:rPr>
      </w:pPr>
      <w:r>
        <w:rPr>
          <w:caps w:val="false"/>
          <w:smallCaps w:val="false"/>
        </w:rPr>
        <w:t> </w:t>
      </w:r>
    </w:p>
    <w:tbl>
      <w:tblPr>
        <w:tblW w:w="6909" w:type="dxa"/>
        <w:jc w:val="left"/>
        <w:tblInd w:w="0" w:type="dxa"/>
        <w:tblLayout w:type="fixed"/>
        <w:tblCellMar>
          <w:top w:w="0" w:type="dxa"/>
          <w:left w:w="0" w:type="dxa"/>
          <w:bottom w:w="0" w:type="dxa"/>
          <w:right w:w="0" w:type="dxa"/>
        </w:tblCellMar>
      </w:tblPr>
      <w:tblGrid>
        <w:gridCol w:w="3785"/>
        <w:gridCol w:w="90"/>
        <w:gridCol w:w="90"/>
        <w:gridCol w:w="875"/>
        <w:gridCol w:w="245"/>
        <w:gridCol w:w="90"/>
        <w:gridCol w:w="231"/>
        <w:gridCol w:w="1213"/>
        <w:gridCol w:w="290"/>
      </w:tblGrid>
      <w:tr>
        <w:trPr/>
        <w:tc>
          <w:tcPr>
            <w:tcW w:w="37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29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9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Weighted average remaining lease term</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 years</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 years</w:t>
            </w:r>
          </w:p>
        </w:tc>
        <w:tc>
          <w:tcPr>
            <w:tcW w:w="29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Weighted average discount rate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6.5</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June 30, 2025, were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60" w:type="dxa"/>
        <w:jc w:val="left"/>
        <w:tblInd w:w="0" w:type="dxa"/>
        <w:tblLayout w:type="fixed"/>
        <w:tblCellMar>
          <w:top w:w="0" w:type="dxa"/>
          <w:left w:w="0" w:type="dxa"/>
          <w:bottom w:w="0" w:type="dxa"/>
          <w:right w:w="0" w:type="dxa"/>
        </w:tblCellMar>
      </w:tblPr>
      <w:tblGrid>
        <w:gridCol w:w="2120"/>
        <w:gridCol w:w="90"/>
        <w:gridCol w:w="170"/>
        <w:gridCol w:w="410"/>
        <w:gridCol w:w="170"/>
      </w:tblGrid>
      <w:tr>
        <w:trPr/>
        <w:tc>
          <w:tcPr>
            <w:tcW w:w="2120" w:type="dxa"/>
            <w:tcBorders/>
            <w:vAlign w:val="center"/>
          </w:tcPr>
          <w:p>
            <w:pPr>
              <w:pStyle w:val="TableContents"/>
              <w:bidi w:val="0"/>
              <w:spacing w:before="0" w:after="283"/>
              <w:jc w:val="both"/>
              <w:rPr/>
            </w:pPr>
            <w:r>
              <w:rPr/>
              <w:t>Years ending:</w:t>
            </w:r>
          </w:p>
        </w:tc>
        <w:tc>
          <w:tcPr>
            <w:tcW w:w="9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Remainder of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71</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147</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151</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2028</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Total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394</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pPr>
            <w:r>
              <w:rPr/>
              <w:t>(32</w:t>
            </w:r>
          </w:p>
        </w:tc>
        <w:tc>
          <w:tcPr>
            <w:tcW w:w="170" w:type="dxa"/>
            <w:tcBorders/>
            <w:vAlign w:val="center"/>
          </w:tcPr>
          <w:p>
            <w:pPr>
              <w:pStyle w:val="TableContents"/>
              <w:bidi w:val="0"/>
              <w:spacing w:before="0" w:after="283"/>
              <w:jc w:val="left"/>
              <w:rPr/>
            </w:pPr>
            <w:r>
              <w:rPr/>
              <w:t>)</w:t>
            </w:r>
          </w:p>
        </w:tc>
      </w:tr>
      <w:tr>
        <w:trPr/>
        <w:tc>
          <w:tcPr>
            <w:tcW w:w="212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Enzy Technologies LLC (Enzy) is an entity related to the Company by common ownership. 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$50 and $536 for the six months ended June 30, 2025 and 2024, respectively. Expenses incurred for Enzy and fees charged to Enzy totaled $Nil and $924 for the six months ended June 30, 2025 and 2024, respectively. The Company has balances due from Enzy of $Nil and $559 as of June 30, 2025 and December 31, 2024,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obtained a number of insurance policies to help protect the Company from potential losses through a captive insurance company related by common ownership.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equity deficit. The Company recognized expenses of $486 and $442 for the six months ended June 30, 2025 and 2024,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Company’s CEO directly paid $1,000 to certain legal firms for services provided to the Company. The Company’s CEO and the Sole Member entered into an arrangement on or around March 19, 2025 that resulted in the Sole Member and the Company recognizing this payment on behalf of the Company as a capital contribution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activity in the Incentive Units during the six months ended June 30, 2025. The number of outstanding Incentive Units was 46,574 at each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$0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six months ended June 30, 2025 and 2024. As of June 30, 2025 and December 31, 2024, unrecognized compensation cost related to unvested Incentive Units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activity for the six months ended June 30, 2025 is presented below:</w:t>
      </w:r>
    </w:p>
    <w:p>
      <w:pPr>
        <w:pStyle w:val="TextBody"/>
        <w:bidi w:val="0"/>
        <w:spacing w:before="0" w:after="0"/>
        <w:ind w:left="0" w:right="0" w:hanging="0"/>
        <w:jc w:val="both"/>
        <w:rPr>
          <w:caps w:val="false"/>
          <w:smallCaps w:val="false"/>
        </w:rPr>
      </w:pPr>
      <w:r>
        <w:rPr>
          <w:caps w:val="false"/>
          <w:smallCaps w:val="false"/>
        </w:rPr>
        <w:t> </w:t>
      </w:r>
    </w:p>
    <w:tbl>
      <w:tblPr>
        <w:tblW w:w="7904" w:type="dxa"/>
        <w:jc w:val="left"/>
        <w:tblInd w:w="0" w:type="dxa"/>
        <w:tblLayout w:type="fixed"/>
        <w:tblCellMar>
          <w:top w:w="0" w:type="dxa"/>
          <w:left w:w="0" w:type="dxa"/>
          <w:bottom w:w="0" w:type="dxa"/>
          <w:right w:w="0" w:type="dxa"/>
        </w:tblCellMar>
      </w:tblPr>
      <w:tblGrid>
        <w:gridCol w:w="5225"/>
        <w:gridCol w:w="90"/>
        <w:gridCol w:w="544"/>
        <w:gridCol w:w="1755"/>
        <w:gridCol w:w="290"/>
      </w:tblGrid>
      <w:tr>
        <w:trPr/>
        <w:tc>
          <w:tcPr>
            <w:tcW w:w="52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9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both"/>
              <w:rPr/>
            </w:pPr>
            <w:r>
              <w:rPr/>
              <w:t>Compensation award outstanding, December 31, 2024</w:t>
            </w:r>
          </w:p>
        </w:tc>
        <w:tc>
          <w:tcPr>
            <w:tcW w:w="9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both"/>
              <w:rPr/>
            </w:pPr>
            <w:r>
              <w:rPr/>
              <w:t>Forfeitures</w:t>
            </w:r>
          </w:p>
        </w:tc>
        <w:tc>
          <w:tcPr>
            <w:tcW w:w="90" w:type="dxa"/>
            <w:tcBorders/>
            <w:shd w:fill="CCEEFF" w:val="clear"/>
            <w:vAlign w:val="center"/>
          </w:tcPr>
          <w:p>
            <w:pPr>
              <w:pStyle w:val="TableContents"/>
              <w:bidi w:val="0"/>
              <w:spacing w:before="0" w:after="283"/>
              <w:jc w:val="left"/>
              <w:rPr/>
            </w:pPr>
            <w:r>
              <w:rPr/>
              <w:t> </w:t>
            </w:r>
          </w:p>
        </w:tc>
        <w:tc>
          <w:tcPr>
            <w:tcW w:w="5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5"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0" w:after="283"/>
              <w:jc w:val="both"/>
              <w:rPr/>
            </w:pPr>
            <w:r>
              <w:rPr/>
              <w:t>Compensation award outstanding, June 30, 2025</w:t>
            </w:r>
          </w:p>
        </w:tc>
        <w:tc>
          <w:tcPr>
            <w:tcW w:w="90" w:type="dxa"/>
            <w:tcBorders/>
            <w:vAlign w:val="center"/>
          </w:tcPr>
          <w:p>
            <w:pPr>
              <w:pStyle w:val="TableContents"/>
              <w:bidi w:val="0"/>
              <w:spacing w:before="0" w:after="283"/>
              <w:jc w:val="left"/>
              <w:rPr/>
            </w:pPr>
            <w:r>
              <w:rPr/>
              <w:t> </w:t>
            </w:r>
          </w:p>
        </w:tc>
        <w:tc>
          <w:tcPr>
            <w:tcW w:w="544" w:type="dxa"/>
            <w:tcBorders>
              <w:bottom w:val="double" w:sz="10" w:space="0" w:color="000000"/>
            </w:tcBorders>
            <w:tcMar>
              <w:bottom w:w="28" w:type="dxa"/>
            </w:tcMar>
            <w:vAlign w:val="center"/>
          </w:tcPr>
          <w:p>
            <w:pPr>
              <w:pStyle w:val="TableContents"/>
              <w:bidi w:val="0"/>
              <w:spacing w:before="0" w:after="283"/>
              <w:jc w:val="left"/>
              <w:rPr/>
            </w:pPr>
            <w:r>
              <w:rPr/>
              <w:t> </w:t>
            </w:r>
          </w:p>
        </w:tc>
        <w:tc>
          <w:tcPr>
            <w:tcW w:w="1755" w:type="dxa"/>
            <w:tcBorders>
              <w:bottom w:val="double" w:sz="10" w:space="0" w:color="000000"/>
            </w:tcBorders>
            <w:tcMar>
              <w:bottom w:w="28" w:type="dxa"/>
            </w:tcMar>
            <w:vAlign w:val="center"/>
          </w:tcPr>
          <w:p>
            <w:pPr>
              <w:pStyle w:val="TableContents"/>
              <w:bidi w:val="0"/>
              <w:spacing w:before="0" w:after="283"/>
              <w:jc w:val="right"/>
              <w:rPr/>
            </w:pPr>
            <w:r>
              <w:rPr/>
              <w:t>9</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in either of the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$57,800. Per the terms of the MIPA, the Member sold all of the outstanding membership interest of Sunder for (1) $20,700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38300" cy="676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3048000"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48000" cy="200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G_001"/>
      <w:bookmarkEnd w:id="44"/>
      <w:r>
        <w:rPr>
          <w:rFonts w:ascii="Times New Roman;Times;Serif" w:hAnsi="Times New Roman;Times;Serif"/>
          <w:b/>
          <w:i w:val="false"/>
          <w:caps w:val="false"/>
          <w:smallCaps w:val="false"/>
          <w:sz w:val="20"/>
        </w:rPr>
        <w:t>To the Members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financial statements of Ambia Energy, LLC (the Company), which comprise the balance sheet as of December 31, 2024, and the related statement of operations and member’s deficit , and cash flows for the year then ended, and the related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financial statements referred to above present fairly, in all material respects, the financial position of the Company as of December 31, 2024 and the results of its operations and its cash flows for the year then ended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our audit in accordance with auditing standards generally accepted in the United States of America (US GAAS). Our responsibilities under those standards are further described in the </w:t>
      </w:r>
      <w:r>
        <w:rPr>
          <w:rFonts w:ascii="Times New Roman;Times;Serif" w:hAnsi="Times New Roman;Times;Serif"/>
          <w:b w:val="false"/>
          <w:i/>
          <w:caps w:val="false"/>
          <w:smallCaps w:val="false"/>
          <w:sz w:val="20"/>
        </w:rPr>
        <w:t>Auditors’ Responsibilities for the Audit of the Financial Statements</w:t>
      </w:r>
      <w:r>
        <w:rPr>
          <w:rFonts w:ascii="Times New Roman;Times;Serif" w:hAnsi="Times New Roman;Times;Serif"/>
          <w:b w:val="false"/>
          <w:i w:val="false"/>
          <w:caps w:val="false"/>
          <w:smallCaps w:val="false"/>
          <w:sz w:val="20"/>
        </w:rPr>
        <w:t xml:space="preserve">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US GAAP,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generally accepted auditing standards, we:</w:t>
      </w:r>
    </w:p>
    <w:p>
      <w:pPr>
        <w:pStyle w:val="TextBody"/>
        <w:bidi w:val="0"/>
        <w:spacing w:before="0" w:after="0"/>
        <w:ind w:left="0" w:right="0" w:hanging="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68"/>
        <w:gridCol w:w="200"/>
        <w:gridCol w:w="86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 xml:space="preserve">Exercise professional judgment and maintain professional skepticism throughout the audit.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Tanner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120"/>
        <w:ind w:left="0" w:right="0" w:hanging="0"/>
        <w:jc w:val="left"/>
        <w:rPr>
          <w:rFonts w:ascii="Times New Roman;Times;Serif" w:hAnsi="Times New Roman;Times;Serif"/>
          <w:b/>
          <w:i/>
          <w:caps w:val="false"/>
          <w:smallCaps w:val="false"/>
          <w:sz w:val="20"/>
        </w:rPr>
      </w:pPr>
      <w:bookmarkStart w:id="45" w:name="G_002"/>
      <w:bookmarkEnd w:id="45"/>
      <w:r>
        <w:rPr>
          <w:rFonts w:ascii="Times New Roman;Times;Serif" w:hAnsi="Times New Roman;Times;Serif"/>
          <w:b/>
          <w:i/>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09" w:type="dxa"/>
        <w:jc w:val="left"/>
        <w:tblInd w:w="0" w:type="dxa"/>
        <w:tblLayout w:type="fixed"/>
        <w:tblCellMar>
          <w:top w:w="0" w:type="dxa"/>
          <w:left w:w="0" w:type="dxa"/>
          <w:bottom w:w="0" w:type="dxa"/>
          <w:right w:w="0" w:type="dxa"/>
        </w:tblCellMar>
      </w:tblPr>
      <w:tblGrid>
        <w:gridCol w:w="6410"/>
        <w:gridCol w:w="90"/>
        <w:gridCol w:w="253"/>
        <w:gridCol w:w="1686"/>
        <w:gridCol w:w="170"/>
      </w:tblGrid>
      <w:tr>
        <w:trPr/>
        <w:tc>
          <w:tcPr>
            <w:tcW w:w="6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As of December 31,</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Assets</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1,043,269</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$123,000</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1,010,295</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assets - unbilled revenues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4,601,890</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366,027</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 receivable</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423,719</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3,511,328</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costs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6,137,615</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531,238</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17,625,381</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385,192</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740,654</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right-of-use assets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1,971,170</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116,819</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90" w:type="dxa"/>
            <w:tcBorders/>
            <w:vAlign w:val="center"/>
          </w:tcPr>
          <w:p>
            <w:pPr>
              <w:pStyle w:val="TableContents"/>
              <w:bidi w:val="0"/>
              <w:spacing w:before="0" w:after="283"/>
              <w:jc w:val="left"/>
              <w:rPr/>
            </w:pPr>
            <w:r>
              <w:rPr/>
              <w:t> </w:t>
            </w:r>
          </w:p>
        </w:tc>
        <w:tc>
          <w:tcPr>
            <w:tcW w:w="25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Liabilities and Member’s Deficit</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2,168,566</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2,799,860</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commissions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180,114</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accounts payable</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509,649</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10,585,293</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liabilities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401,456</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finance lease liabilities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315,541</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16,960,479</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net of current portion</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367,346</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liabilities, net of current portion</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1,228,546</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lines of credit</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2,175,000</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notes payable</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7,140,109</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27,871,480</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Member’s deficit</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(7,032,264</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member’s deficit</w:t>
            </w:r>
          </w:p>
        </w:tc>
        <w:tc>
          <w:tcPr>
            <w:tcW w:w="90" w:type="dxa"/>
            <w:tcBorders/>
            <w:vAlign w:val="center"/>
          </w:tcPr>
          <w:p>
            <w:pPr>
              <w:pStyle w:val="TableContents"/>
              <w:bidi w:val="0"/>
              <w:spacing w:before="0" w:after="283"/>
              <w:jc w:val="left"/>
              <w:rPr/>
            </w:pPr>
            <w:r>
              <w:rPr/>
              <w:t> </w:t>
            </w:r>
          </w:p>
        </w:tc>
        <w:tc>
          <w:tcPr>
            <w:tcW w:w="25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i/>
          <w:caps w:val="false"/>
          <w:smallCaps w:val="false"/>
          <w:sz w:val="20"/>
        </w:rPr>
      </w:pPr>
      <w:bookmarkStart w:id="46" w:name="G_003"/>
      <w:bookmarkEnd w:id="46"/>
      <w:r>
        <w:rPr>
          <w:rFonts w:ascii="Times New Roman;Times;Serif" w:hAnsi="Times New Roman;Times;Serif"/>
          <w:b/>
          <w:i/>
          <w:caps w:val="false"/>
          <w:smallCaps w:val="false"/>
          <w:sz w:val="20"/>
        </w:rPr>
        <w:t>Statement of Operations and Member’s Deficit</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999" w:type="dxa"/>
        <w:jc w:val="left"/>
        <w:tblInd w:w="0" w:type="dxa"/>
        <w:tblLayout w:type="fixed"/>
        <w:tblCellMar>
          <w:top w:w="0" w:type="dxa"/>
          <w:left w:w="0" w:type="dxa"/>
          <w:bottom w:w="0" w:type="dxa"/>
          <w:right w:w="0" w:type="dxa"/>
        </w:tblCellMar>
      </w:tblPr>
      <w:tblGrid>
        <w:gridCol w:w="3800"/>
        <w:gridCol w:w="90"/>
        <w:gridCol w:w="253"/>
        <w:gridCol w:w="1686"/>
        <w:gridCol w:w="170"/>
      </w:tblGrid>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center"/>
              <w:rPr>
                <w:i/>
              </w:rPr>
            </w:pPr>
            <w:r>
              <w:rPr>
                <w:i/>
              </w:rPr>
              <w:t>For the Year Ended</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54,273,721</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pPr>
            <w:r>
              <w:rPr/>
              <w:t>31,932,462</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22,341,259</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11,156,319</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Commissions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14,399,701</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Rent</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1,198,814</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pPr>
            <w:r>
              <w:rPr/>
              <w:t>401,665</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27,156,499</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Operating loss</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pPr>
            <w:r>
              <w:rPr/>
              <w:t>(4,815,240</w:t>
            </w:r>
          </w:p>
        </w:tc>
        <w:tc>
          <w:tcPr>
            <w:tcW w:w="170" w:type="dxa"/>
            <w:tcBorders/>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Other expense:</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(1,233,685</w:t>
            </w:r>
          </w:p>
        </w:tc>
        <w:tc>
          <w:tcPr>
            <w:tcW w:w="170" w:type="dxa"/>
            <w:tcBorders/>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Other expense</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(204,126</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vAlign w:val="center"/>
          </w:tcPr>
          <w:p>
            <w:pPr>
              <w:pStyle w:val="TableContents"/>
              <w:bidi w:val="0"/>
              <w:spacing w:before="0" w:after="283"/>
              <w:jc w:val="left"/>
              <w:rPr/>
            </w:pPr>
            <w:r>
              <w:rPr/>
              <w:t>Total other expense</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pPr>
            <w:r>
              <w:rPr/>
              <w:t>(1,437,811</w:t>
            </w:r>
          </w:p>
        </w:tc>
        <w:tc>
          <w:tcPr>
            <w:tcW w:w="170" w:type="dxa"/>
            <w:tcBorders/>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10" w:space="0" w:color="000000"/>
            </w:tcBorders>
            <w:shd w:fill="CCEEFF" w:val="clear"/>
            <w:tcMar>
              <w:bottom w:w="28" w:type="dxa"/>
            </w:tcMar>
            <w:vAlign w:val="center"/>
          </w:tcPr>
          <w:p>
            <w:pPr>
              <w:pStyle w:val="TableContents"/>
              <w:bidi w:val="0"/>
              <w:spacing w:before="0" w:after="283"/>
              <w:jc w:val="right"/>
              <w:rPr/>
            </w:pPr>
            <w:r>
              <w:rPr/>
              <w:t>(6,253,051</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vAlign w:val="center"/>
          </w:tcPr>
          <w:p>
            <w:pPr>
              <w:pStyle w:val="TableContents"/>
              <w:bidi w:val="0"/>
              <w:spacing w:before="0" w:after="283"/>
              <w:jc w:val="left"/>
              <w:rPr/>
            </w:pPr>
            <w:r>
              <w:rPr/>
              <w:t>Member’s deficit, beginning of the year</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686" w:type="dxa"/>
            <w:tcBorders/>
            <w:vAlign w:val="center"/>
          </w:tcPr>
          <w:p>
            <w:pPr>
              <w:pStyle w:val="TableContents"/>
              <w:bidi w:val="0"/>
              <w:spacing w:before="0" w:after="283"/>
              <w:jc w:val="right"/>
              <w:rPr/>
            </w:pPr>
            <w:r>
              <w:rPr/>
              <w:t>(5,112,377</w:t>
            </w:r>
          </w:p>
        </w:tc>
        <w:tc>
          <w:tcPr>
            <w:tcW w:w="170" w:type="dxa"/>
            <w:tcBorders/>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Member’s contribution</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4,333,164</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pPr>
            <w:r>
              <w:rPr/>
              <w:t>(6,253,051</w:t>
            </w:r>
          </w:p>
        </w:tc>
        <w:tc>
          <w:tcPr>
            <w:tcW w:w="170" w:type="dxa"/>
            <w:tcBorders/>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Member’s deficit, end of the year</w:t>
            </w:r>
          </w:p>
        </w:tc>
        <w:tc>
          <w:tcPr>
            <w:tcW w:w="90" w:type="dxa"/>
            <w:tcBorders/>
            <w:shd w:fill="CCEEFF" w:val="clear"/>
            <w:vAlign w:val="center"/>
          </w:tcPr>
          <w:p>
            <w:pPr>
              <w:pStyle w:val="TableContents"/>
              <w:bidi w:val="0"/>
              <w:spacing w:before="0" w:after="283"/>
              <w:jc w:val="left"/>
              <w:rPr/>
            </w:pPr>
            <w:r>
              <w:rPr/>
              <w:t> </w:t>
            </w:r>
          </w:p>
        </w:tc>
        <w:tc>
          <w:tcPr>
            <w:tcW w:w="2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10" w:space="0" w:color="000000"/>
            </w:tcBorders>
            <w:shd w:fill="CCEEFF" w:val="clear"/>
            <w:tcMar>
              <w:bottom w:w="28" w:type="dxa"/>
            </w:tcMar>
            <w:vAlign w:val="center"/>
          </w:tcPr>
          <w:p>
            <w:pPr>
              <w:pStyle w:val="TableContents"/>
              <w:bidi w:val="0"/>
              <w:spacing w:before="0" w:after="283"/>
              <w:jc w:val="right"/>
              <w:rPr/>
            </w:pPr>
            <w:r>
              <w:rPr/>
              <w:t>(7,032,264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i/>
          <w:caps w:val="false"/>
          <w:smallCaps w:val="false"/>
          <w:sz w:val="20"/>
        </w:rPr>
      </w:pPr>
      <w:bookmarkStart w:id="47" w:name="G_004"/>
      <w:bookmarkEnd w:id="47"/>
      <w:r>
        <w:rPr>
          <w:rFonts w:ascii="Times New Roman;Times;Serif" w:hAnsi="Times New Roman;Times;Serif"/>
          <w:b/>
          <w:i/>
          <w:caps w:val="false"/>
          <w:smallCaps w:val="false"/>
          <w:sz w:val="20"/>
        </w:rPr>
        <w:t>Statement of Cash Flows</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1"/>
        <w:gridCol w:w="90"/>
        <w:gridCol w:w="261"/>
        <w:gridCol w:w="1672"/>
        <w:gridCol w:w="171"/>
      </w:tblGrid>
      <w:tr>
        <w:trPr/>
        <w:tc>
          <w:tcPr>
            <w:tcW w:w="8011"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933" w:type="dxa"/>
            <w:gridSpan w:val="2"/>
            <w:tcBorders/>
            <w:vAlign w:val="center"/>
          </w:tcPr>
          <w:p>
            <w:pPr>
              <w:pStyle w:val="TableContents"/>
              <w:bidi w:val="0"/>
              <w:spacing w:before="0" w:after="283"/>
              <w:jc w:val="center"/>
              <w:rPr>
                <w:i/>
              </w:rPr>
            </w:pPr>
            <w:r>
              <w:rPr>
                <w:i/>
              </w:rPr>
              <w:t>For the Year Ended</w:t>
              <w:br/>
              <w:t>December 31,</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933"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672" w:type="dxa"/>
            <w:tcBorders/>
            <w:shd w:fill="CCEEFF" w:val="clear"/>
            <w:vAlign w:val="center"/>
          </w:tcPr>
          <w:p>
            <w:pPr>
              <w:pStyle w:val="TableContents"/>
              <w:bidi w:val="0"/>
              <w:spacing w:before="0" w:after="283"/>
              <w:jc w:val="right"/>
              <w:rPr/>
            </w:pPr>
            <w:r>
              <w:rPr/>
              <w:t>(6,253,051</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Amortization of operating right-of-use assets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759,705</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401,665</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(854,494</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pPr>
            <w:r>
              <w:rPr/>
              <w:t>Contract assets - unbilled revenues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(685,328</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Other receivables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(70,215</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pPr>
            <w:r>
              <w:rPr/>
              <w:t>Sales commissions receivable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143,272</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74,447</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Deferred costs and commissions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(701,857</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Prepaid expenses and other assets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(323,190</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pPr>
            <w:r>
              <w:rPr/>
              <w:t>Deposits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(14,304</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696,549</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Accrued expenses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2,009,806</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Accrued commissions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180,114</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Related-party accounts payable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89,561</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Deferred revenue</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(1,076,155</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shd w:fill="CCEEFF" w:val="clear"/>
            <w:tcMar>
              <w:bottom w:w="28" w:type="dxa"/>
            </w:tcMar>
            <w:vAlign w:val="center"/>
          </w:tcPr>
          <w:p>
            <w:pPr>
              <w:pStyle w:val="TableContents"/>
              <w:bidi w:val="0"/>
              <w:spacing w:before="0" w:after="283"/>
              <w:jc w:val="right"/>
              <w:rPr/>
            </w:pPr>
            <w:r>
              <w:rPr/>
              <w:t>(698,091</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tcMar>
              <w:bottom w:w="28" w:type="dxa"/>
            </w:tcMar>
            <w:vAlign w:val="center"/>
          </w:tcPr>
          <w:p>
            <w:pPr>
              <w:pStyle w:val="TableContents"/>
              <w:bidi w:val="0"/>
              <w:spacing w:before="0" w:after="283"/>
              <w:jc w:val="right"/>
              <w:rPr/>
            </w:pPr>
            <w:r>
              <w:rPr/>
              <w:t>(6,321,566</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Purchase of property and equipment</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tcMar>
              <w:bottom w:w="28" w:type="dxa"/>
            </w:tcMar>
            <w:vAlign w:val="center"/>
          </w:tcPr>
          <w:p>
            <w:pPr>
              <w:pStyle w:val="TableContents"/>
              <w:bidi w:val="0"/>
              <w:spacing w:before="0" w:after="283"/>
              <w:jc w:val="right"/>
              <w:rPr/>
            </w:pPr>
            <w:r>
              <w:rPr/>
              <w:t>(335,303</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Proceeds from related-party notes payable and revolving lines of credit</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8,925,000</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Payments on related-party notes payable and revolving lines of credit</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(3,305,747</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Payments on finance lease liabilities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(530,918</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pPr>
            <w:r>
              <w:rPr/>
              <w:t>Proceeds from members’ contribution</w:t>
            </w:r>
          </w:p>
        </w:tc>
        <w:tc>
          <w:tcPr>
            <w:tcW w:w="9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shd w:fill="CCEEFF" w:val="clear"/>
            <w:tcMar>
              <w:bottom w:w="28" w:type="dxa"/>
            </w:tcMar>
            <w:vAlign w:val="center"/>
          </w:tcPr>
          <w:p>
            <w:pPr>
              <w:pStyle w:val="TableContents"/>
              <w:bidi w:val="0"/>
              <w:spacing w:before="0" w:after="283"/>
              <w:jc w:val="right"/>
              <w:rPr/>
            </w:pPr>
            <w:r>
              <w:rPr/>
              <w:t>1,883,164</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Net cash provided by financing activities</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tcMar>
              <w:bottom w:w="28" w:type="dxa"/>
            </w:tcMar>
            <w:vAlign w:val="center"/>
          </w:tcPr>
          <w:p>
            <w:pPr>
              <w:pStyle w:val="TableContents"/>
              <w:bidi w:val="0"/>
              <w:spacing w:before="0" w:after="283"/>
              <w:jc w:val="right"/>
              <w:rPr/>
            </w:pPr>
            <w:r>
              <w:rPr/>
              <w:t>6,971,499</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Net change in cash</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314,630</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Cash at beginning of year</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tcMar>
              <w:bottom w:w="28" w:type="dxa"/>
            </w:tcMar>
            <w:vAlign w:val="center"/>
          </w:tcPr>
          <w:p>
            <w:pPr>
              <w:pStyle w:val="TableContents"/>
              <w:bidi w:val="0"/>
              <w:spacing w:before="0" w:after="283"/>
              <w:jc w:val="right"/>
              <w:rPr/>
            </w:pPr>
            <w:r>
              <w:rPr/>
              <w:t>728,639</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Cash at end of year</w:t>
            </w:r>
          </w:p>
        </w:tc>
        <w:tc>
          <w:tcPr>
            <w:tcW w:w="90" w:type="dxa"/>
            <w:tcBorders/>
            <w:shd w:fill="CCEEFF" w:val="clear"/>
            <w:vAlign w:val="center"/>
          </w:tcPr>
          <w:p>
            <w:pPr>
              <w:pStyle w:val="TableContents"/>
              <w:bidi w:val="0"/>
              <w:spacing w:before="0" w:after="283"/>
              <w:jc w:val="left"/>
              <w:rPr/>
            </w:pPr>
            <w:r>
              <w:rPr/>
              <w:t> </w:t>
            </w:r>
          </w:p>
        </w:tc>
        <w:tc>
          <w:tcPr>
            <w:tcW w:w="2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72" w:type="dxa"/>
            <w:tcBorders>
              <w:bottom w:val="double" w:sz="10" w:space="0" w:color="000000"/>
            </w:tcBorders>
            <w:shd w:fill="CCEEFF" w:val="clear"/>
            <w:tcMar>
              <w:bottom w:w="28" w:type="dxa"/>
            </w:tcMar>
            <w:vAlign w:val="center"/>
          </w:tcPr>
          <w:p>
            <w:pPr>
              <w:pStyle w:val="TableContents"/>
              <w:bidi w:val="0"/>
              <w:spacing w:before="0" w:after="283"/>
              <w:jc w:val="right"/>
              <w:rPr/>
            </w:pPr>
            <w:r>
              <w:rPr/>
              <w:t>1,043,269</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b/>
              </w:rPr>
            </w:pPr>
            <w:r>
              <w:rPr>
                <w:b/>
              </w:rPr>
              <w:t>Supplemental disclosure of cash flow information:</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Cash paid for interest</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672" w:type="dxa"/>
            <w:tcBorders/>
            <w:shd w:fill="CCEEFF" w:val="clear"/>
            <w:vAlign w:val="center"/>
          </w:tcPr>
          <w:p>
            <w:pPr>
              <w:pStyle w:val="TableContents"/>
              <w:bidi w:val="0"/>
              <w:spacing w:before="0" w:after="283"/>
              <w:jc w:val="right"/>
              <w:rPr/>
            </w:pPr>
            <w:r>
              <w:rPr/>
              <w:t>235,503</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b/>
              </w:rPr>
            </w:pPr>
            <w:r>
              <w:rPr>
                <w:b/>
              </w:rPr>
              <w:t>Supplemental disclosure of non-cash investing and financing activities: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672" w:type="dxa"/>
            <w:tcBorders/>
            <w:shd w:fill="CCEEFF" w:val="clear"/>
            <w:vAlign w:val="center"/>
          </w:tcPr>
          <w:p>
            <w:pPr>
              <w:pStyle w:val="TableContents"/>
              <w:bidi w:val="0"/>
              <w:spacing w:before="0" w:after="283"/>
              <w:jc w:val="right"/>
              <w:rPr/>
            </w:pPr>
            <w:r>
              <w:rPr/>
              <w:t>61,313</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Finance lease right-of-use assets obtained in exchange for finance lease liabilities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1,477,040</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Conversion of related-party notes payable to members’ equity</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2,450,000</w:t>
            </w:r>
          </w:p>
        </w:tc>
        <w:tc>
          <w:tcPr>
            <w:tcW w:w="17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i/>
          <w:caps w:val="false"/>
          <w:smallCaps w:val="false"/>
          <w:sz w:val="20"/>
        </w:rPr>
      </w:pPr>
      <w:bookmarkStart w:id="48" w:name="G_005"/>
      <w:bookmarkEnd w:id="48"/>
      <w:r>
        <w:rPr>
          <w:rFonts w:ascii="Times New Roman;Times;Serif" w:hAnsi="Times New Roman;Times;Serif"/>
          <w:b/>
          <w:i/>
          <w:caps w:val="false"/>
          <w:smallCaps w:val="false"/>
          <w:sz w:val="20"/>
        </w:rPr>
        <w:t>Notes to Financial Statements</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68"/>
        <w:gridCol w:w="230"/>
        <w:gridCol w:w="225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1.</w:t>
            </w:r>
          </w:p>
        </w:tc>
        <w:tc>
          <w:tcPr>
            <w:tcW w:w="2255" w:type="dxa"/>
            <w:tcBorders/>
            <w:vAlign w:val="center"/>
          </w:tcPr>
          <w:p>
            <w:pPr>
              <w:pStyle w:val="TableContents"/>
              <w:bidi w:val="0"/>
              <w:spacing w:before="0" w:after="283"/>
              <w:jc w:val="both"/>
              <w:rPr>
                <w:b/>
              </w:rPr>
            </w:pPr>
            <w:r>
              <w:rPr>
                <w:b/>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Organization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68"/>
        <w:gridCol w:w="230"/>
        <w:gridCol w:w="453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2.</w:t>
            </w:r>
          </w:p>
        </w:tc>
        <w:tc>
          <w:tcPr>
            <w:tcW w:w="4535"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1890" w:type="dxa"/>
        <w:jc w:val="left"/>
        <w:tblInd w:w="0" w:type="dxa"/>
        <w:tblLayout w:type="fixed"/>
        <w:tblCellMar>
          <w:top w:w="0" w:type="dxa"/>
          <w:left w:w="0" w:type="dxa"/>
          <w:bottom w:w="0" w:type="dxa"/>
          <w:right w:w="0" w:type="dxa"/>
        </w:tblCellMar>
      </w:tblPr>
      <w:tblGrid>
        <w:gridCol w:w="980"/>
        <w:gridCol w:w="90"/>
        <w:gridCol w:w="125"/>
        <w:gridCol w:w="405"/>
        <w:gridCol w:w="290"/>
      </w:tblGrid>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283"/>
              <w:jc w:val="left"/>
              <w:rPr/>
            </w:pPr>
            <w:r>
              <w:rPr/>
              <w:t>Lender A</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64</w:t>
            </w:r>
          </w:p>
        </w:tc>
        <w:tc>
          <w:tcPr>
            <w:tcW w:w="290" w:type="dxa"/>
            <w:tcBorders/>
            <w:shd w:fill="CCEEFF" w:val="clear"/>
            <w:vAlign w:val="center"/>
          </w:tcPr>
          <w:p>
            <w:pPr>
              <w:pStyle w:val="TableContents"/>
              <w:bidi w:val="0"/>
              <w:spacing w:before="0" w:after="283"/>
              <w:jc w:val="left"/>
              <w:rPr/>
            </w:pPr>
            <w:r>
              <w:rPr/>
              <w:t>%</w:t>
            </w:r>
          </w:p>
        </w:tc>
      </w:tr>
      <w:tr>
        <w:trPr/>
        <w:tc>
          <w:tcPr>
            <w:tcW w:w="980" w:type="dxa"/>
            <w:tcBorders/>
            <w:vAlign w:val="center"/>
          </w:tcPr>
          <w:p>
            <w:pPr>
              <w:pStyle w:val="TableContents"/>
              <w:bidi w:val="0"/>
              <w:spacing w:before="0" w:after="283"/>
              <w:jc w:val="left"/>
              <w:rPr/>
            </w:pPr>
            <w:r>
              <w:rPr/>
              <w:t>Lender B</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right"/>
              <w:rPr/>
            </w:pPr>
            <w:r>
              <w:rPr/>
              <w:t>26</w:t>
            </w:r>
          </w:p>
        </w:tc>
        <w:tc>
          <w:tcPr>
            <w:tcW w:w="290" w:type="dxa"/>
            <w:tcBorders/>
            <w:vAlign w:val="center"/>
          </w:tcPr>
          <w:p>
            <w:pPr>
              <w:pStyle w:val="TableContents"/>
              <w:bidi w:val="0"/>
              <w:spacing w:before="0" w:after="283"/>
              <w:jc w:val="left"/>
              <w:rPr/>
            </w:pPr>
            <w:r>
              <w:rPr/>
              <w:t>%</w:t>
            </w:r>
          </w:p>
        </w:tc>
      </w:tr>
      <w:tr>
        <w:trPr/>
        <w:tc>
          <w:tcPr>
            <w:tcW w:w="980" w:type="dxa"/>
            <w:tcBorders/>
            <w:shd w:fill="CCEEFF" w:val="clear"/>
            <w:vAlign w:val="center"/>
          </w:tcPr>
          <w:p>
            <w:pPr>
              <w:pStyle w:val="TableContents"/>
              <w:bidi w:val="0"/>
              <w:spacing w:before="0" w:after="283"/>
              <w:jc w:val="left"/>
              <w:rPr/>
            </w:pPr>
            <w:r>
              <w:rPr/>
              <w:t>Lender C</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185"/>
        <w:gridCol w:w="4835"/>
      </w:tblGrid>
      <w:tr>
        <w:trPr/>
        <w:tc>
          <w:tcPr>
            <w:tcW w:w="185" w:type="dxa"/>
            <w:tcBorders/>
            <w:vAlign w:val="center"/>
          </w:tcPr>
          <w:p>
            <w:pPr>
              <w:pStyle w:val="TableContents"/>
              <w:bidi w:val="0"/>
              <w:spacing w:before="0" w:after="283"/>
              <w:jc w:val="left"/>
              <w:rPr>
                <w:i/>
              </w:rPr>
            </w:pPr>
            <w:r>
              <w:rPr>
                <w:i/>
              </w:rPr>
              <w:t>*</w:t>
            </w:r>
          </w:p>
        </w:tc>
        <w:tc>
          <w:tcPr>
            <w:tcW w:w="4835" w:type="dxa"/>
            <w:tcBorders/>
            <w:vAlign w:val="center"/>
          </w:tcPr>
          <w:p>
            <w:pPr>
              <w:pStyle w:val="TableContents"/>
              <w:bidi w:val="0"/>
              <w:spacing w:before="0" w:after="283"/>
              <w:jc w:val="both"/>
              <w:rPr>
                <w:i/>
              </w:rPr>
            </w:pPr>
            <w:r>
              <w:rPr>
                <w:i/>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December 31:</w:t>
      </w:r>
    </w:p>
    <w:p>
      <w:pPr>
        <w:pStyle w:val="TextBody"/>
        <w:bidi w:val="0"/>
        <w:spacing w:before="0" w:after="0"/>
        <w:ind w:left="0" w:right="0" w:hanging="0"/>
        <w:jc w:val="both"/>
        <w:rPr>
          <w:caps w:val="false"/>
          <w:smallCaps w:val="false"/>
        </w:rPr>
      </w:pPr>
      <w:r>
        <w:rPr>
          <w:caps w:val="false"/>
          <w:smallCaps w:val="false"/>
        </w:rPr>
        <w:t> </w:t>
      </w:r>
    </w:p>
    <w:tbl>
      <w:tblPr>
        <w:tblW w:w="1890" w:type="dxa"/>
        <w:jc w:val="left"/>
        <w:tblInd w:w="0" w:type="dxa"/>
        <w:tblLayout w:type="fixed"/>
        <w:tblCellMar>
          <w:top w:w="0" w:type="dxa"/>
          <w:left w:w="0" w:type="dxa"/>
          <w:bottom w:w="0" w:type="dxa"/>
          <w:right w:w="0" w:type="dxa"/>
        </w:tblCellMar>
      </w:tblPr>
      <w:tblGrid>
        <w:gridCol w:w="980"/>
        <w:gridCol w:w="90"/>
        <w:gridCol w:w="125"/>
        <w:gridCol w:w="405"/>
        <w:gridCol w:w="290"/>
      </w:tblGrid>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283"/>
              <w:jc w:val="left"/>
              <w:rPr/>
            </w:pPr>
            <w:r>
              <w:rPr/>
              <w:t>Lender A</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46</w:t>
            </w:r>
          </w:p>
        </w:tc>
        <w:tc>
          <w:tcPr>
            <w:tcW w:w="290" w:type="dxa"/>
            <w:tcBorders/>
            <w:shd w:fill="CCEEFF" w:val="clear"/>
            <w:vAlign w:val="center"/>
          </w:tcPr>
          <w:p>
            <w:pPr>
              <w:pStyle w:val="TableContents"/>
              <w:bidi w:val="0"/>
              <w:spacing w:before="0" w:after="283"/>
              <w:jc w:val="left"/>
              <w:rPr/>
            </w:pPr>
            <w:r>
              <w:rPr/>
              <w:t>%</w:t>
            </w:r>
          </w:p>
        </w:tc>
      </w:tr>
      <w:tr>
        <w:trPr/>
        <w:tc>
          <w:tcPr>
            <w:tcW w:w="980" w:type="dxa"/>
            <w:tcBorders/>
            <w:vAlign w:val="center"/>
          </w:tcPr>
          <w:p>
            <w:pPr>
              <w:pStyle w:val="TableContents"/>
              <w:bidi w:val="0"/>
              <w:spacing w:before="0" w:after="283"/>
              <w:jc w:val="left"/>
              <w:rPr/>
            </w:pPr>
            <w:r>
              <w:rPr/>
              <w:t>Lender B</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right"/>
              <w:rPr/>
            </w:pPr>
            <w:r>
              <w:rPr/>
              <w:t>31</w:t>
            </w:r>
          </w:p>
        </w:tc>
        <w:tc>
          <w:tcPr>
            <w:tcW w:w="290" w:type="dxa"/>
            <w:tcBorders/>
            <w:vAlign w:val="center"/>
          </w:tcPr>
          <w:p>
            <w:pPr>
              <w:pStyle w:val="TableContents"/>
              <w:bidi w:val="0"/>
              <w:spacing w:before="0" w:after="283"/>
              <w:jc w:val="left"/>
              <w:rPr/>
            </w:pPr>
            <w:r>
              <w:rPr/>
              <w:t>%</w:t>
            </w:r>
          </w:p>
        </w:tc>
      </w:tr>
      <w:tr>
        <w:trPr/>
        <w:tc>
          <w:tcPr>
            <w:tcW w:w="980" w:type="dxa"/>
            <w:tcBorders/>
            <w:shd w:fill="CCEEFF" w:val="clear"/>
            <w:vAlign w:val="center"/>
          </w:tcPr>
          <w:p>
            <w:pPr>
              <w:pStyle w:val="TableContents"/>
              <w:bidi w:val="0"/>
              <w:spacing w:before="0" w:after="283"/>
              <w:jc w:val="left"/>
              <w:rPr/>
            </w:pPr>
            <w:r>
              <w:rPr/>
              <w:t>Lender D</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185"/>
        <w:gridCol w:w="6830"/>
      </w:tblGrid>
      <w:tr>
        <w:trPr/>
        <w:tc>
          <w:tcPr>
            <w:tcW w:w="185"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pPr>
            <w:r>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purchases. The following was a major vendor for the year ended December 31:</w:t>
      </w:r>
    </w:p>
    <w:p>
      <w:pPr>
        <w:pStyle w:val="TextBody"/>
        <w:bidi w:val="0"/>
        <w:spacing w:before="0" w:after="0"/>
        <w:ind w:left="0" w:right="0" w:hanging="0"/>
        <w:jc w:val="right"/>
        <w:rPr>
          <w:caps w:val="false"/>
          <w:smallCaps w:val="false"/>
        </w:rPr>
      </w:pPr>
      <w:r>
        <w:rPr>
          <w:caps w:val="false"/>
          <w:smallCaps w:val="false"/>
        </w:rPr>
        <w:t> </w:t>
      </w:r>
    </w:p>
    <w:tbl>
      <w:tblPr>
        <w:tblW w:w="1935" w:type="dxa"/>
        <w:jc w:val="left"/>
        <w:tblInd w:w="0" w:type="dxa"/>
        <w:tblLayout w:type="fixed"/>
        <w:tblCellMar>
          <w:top w:w="0" w:type="dxa"/>
          <w:left w:w="0" w:type="dxa"/>
          <w:bottom w:w="0" w:type="dxa"/>
          <w:right w:w="0" w:type="dxa"/>
        </w:tblCellMar>
      </w:tblPr>
      <w:tblGrid>
        <w:gridCol w:w="1025"/>
        <w:gridCol w:w="90"/>
        <w:gridCol w:w="125"/>
        <w:gridCol w:w="405"/>
        <w:gridCol w:w="290"/>
      </w:tblGrid>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Vendor A</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pPr>
            <w:r>
              <w:rPr/>
              <w:t>58</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143750" cy="57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571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year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December 31, 2024, the allowance for credit losses was $123,000.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2435"/>
        <w:gridCol w:w="90"/>
        <w:gridCol w:w="965"/>
      </w:tblGrid>
      <w:tr>
        <w:trPr/>
        <w:tc>
          <w:tcPr>
            <w:tcW w:w="2435" w:type="dxa"/>
            <w:tcBorders/>
            <w:shd w:fill="CCEEFF" w:val="clear"/>
            <w:vAlign w:val="center"/>
          </w:tcPr>
          <w:p>
            <w:pPr>
              <w:pStyle w:val="TableContents"/>
              <w:bidi w:val="0"/>
              <w:spacing w:before="0" w:after="283"/>
              <w:jc w:val="left"/>
              <w:rPr/>
            </w:pPr>
            <w:r>
              <w:rPr/>
              <w:t>Tools and gear</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3 years</w:t>
            </w:r>
          </w:p>
        </w:tc>
      </w:tr>
      <w:tr>
        <w:trPr/>
        <w:tc>
          <w:tcPr>
            <w:tcW w:w="2435" w:type="dxa"/>
            <w:tcBorders/>
            <w:vAlign w:val="center"/>
          </w:tcPr>
          <w:p>
            <w:pPr>
              <w:pStyle w:val="TableContents"/>
              <w:bidi w:val="0"/>
              <w:spacing w:before="0" w:after="283"/>
              <w:jc w:val="left"/>
              <w:rPr/>
            </w:pPr>
            <w:r>
              <w:rPr/>
              <w:t>Computer equipment</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3 years</w:t>
            </w:r>
          </w:p>
        </w:tc>
      </w:tr>
      <w:tr>
        <w:trPr/>
        <w:tc>
          <w:tcPr>
            <w:tcW w:w="2435" w:type="dxa"/>
            <w:tcBorders/>
            <w:shd w:fill="CCEEFF" w:val="clear"/>
            <w:vAlign w:val="center"/>
          </w:tcPr>
          <w:p>
            <w:pPr>
              <w:pStyle w:val="TableContents"/>
              <w:bidi w:val="0"/>
              <w:spacing w:before="0" w:after="283"/>
              <w:jc w:val="left"/>
              <w:rPr/>
            </w:pPr>
            <w:r>
              <w:rPr/>
              <w:t>Furniture</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5 years</w:t>
            </w:r>
          </w:p>
        </w:tc>
      </w:tr>
      <w:tr>
        <w:trPr/>
        <w:tc>
          <w:tcPr>
            <w:tcW w:w="2435" w:type="dxa"/>
            <w:tcBorders/>
            <w:vAlign w:val="center"/>
          </w:tcPr>
          <w:p>
            <w:pPr>
              <w:pStyle w:val="TableContents"/>
              <w:bidi w:val="0"/>
              <w:spacing w:before="0" w:after="283"/>
              <w:jc w:val="left"/>
              <w:rPr/>
            </w:pPr>
            <w:r>
              <w:rPr/>
              <w:t>Vehicles</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3 years</w:t>
            </w:r>
          </w:p>
        </w:tc>
      </w:tr>
      <w:tr>
        <w:trPr/>
        <w:tc>
          <w:tcPr>
            <w:tcW w:w="2435" w:type="dxa"/>
            <w:tcBorders/>
            <w:shd w:fill="CCEEFF" w:val="clear"/>
            <w:vAlign w:val="center"/>
          </w:tcPr>
          <w:p>
            <w:pPr>
              <w:pStyle w:val="TableContents"/>
              <w:bidi w:val="0"/>
              <w:spacing w:before="0" w:after="283"/>
              <w:jc w:val="left"/>
              <w:rPr/>
            </w:pPr>
            <w:r>
              <w:rPr/>
              <w:t>Leasehold improvements</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1-3 years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December 31,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taxed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December 31,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are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349"/>
        <w:gridCol w:w="9738"/>
      </w:tblGrid>
      <w:tr>
        <w:trPr/>
        <w:tc>
          <w:tcPr>
            <w:tcW w:w="11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w:t>
            </w:r>
          </w:p>
        </w:tc>
        <w:tc>
          <w:tcPr>
            <w:tcW w:w="97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contract, or contracts, with a customer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44"/>
        <w:gridCol w:w="9745"/>
      </w:tblGrid>
      <w:tr>
        <w:trPr/>
        <w:tc>
          <w:tcPr>
            <w:tcW w:w="1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w:t>
            </w:r>
          </w:p>
        </w:tc>
        <w:tc>
          <w:tcPr>
            <w:tcW w:w="97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performance obligations in the contract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520"/>
        <w:gridCol w:w="9508"/>
      </w:tblGrid>
      <w:tr>
        <w:trPr/>
        <w:tc>
          <w:tcPr>
            <w:tcW w:w="17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w:t>
            </w:r>
          </w:p>
        </w:tc>
        <w:tc>
          <w:tcPr>
            <w:tcW w:w="95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Determination of the transaction price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9"/>
        <w:gridCol w:w="9859"/>
      </w:tblGrid>
      <w:tr>
        <w:trPr/>
        <w:tc>
          <w:tcPr>
            <w:tcW w:w="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Allocation of the transaction price to the performance obligations in the contract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269"/>
        <w:gridCol w:w="9845"/>
      </w:tblGrid>
      <w:tr>
        <w:trPr/>
        <w:tc>
          <w:tcPr>
            <w:tcW w:w="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Sales Dealer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sale of solar energy systems for third parties who then perform the installation. The Company recognizes revenue upon the closing of each sale in the amount of the fee they earn for closing the sale, as that is when the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2720"/>
        <w:gridCol w:w="90"/>
        <w:gridCol w:w="170"/>
        <w:gridCol w:w="1130"/>
        <w:gridCol w:w="135"/>
      </w:tblGrid>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Installation services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54,164,441</w:t>
            </w:r>
          </w:p>
        </w:tc>
        <w:tc>
          <w:tcPr>
            <w:tcW w:w="13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Sales dealer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109,280</w:t>
            </w:r>
          </w:p>
        </w:tc>
        <w:tc>
          <w:tcPr>
            <w:tcW w:w="13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54,273,721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6073" w:type="dxa"/>
        <w:jc w:val="left"/>
        <w:tblInd w:w="0" w:type="dxa"/>
        <w:tblLayout w:type="fixed"/>
        <w:tblCellMar>
          <w:top w:w="0" w:type="dxa"/>
          <w:left w:w="0" w:type="dxa"/>
          <w:bottom w:w="0" w:type="dxa"/>
          <w:right w:w="0" w:type="dxa"/>
        </w:tblCellMar>
      </w:tblPr>
      <w:tblGrid>
        <w:gridCol w:w="2000"/>
        <w:gridCol w:w="90"/>
        <w:gridCol w:w="258"/>
        <w:gridCol w:w="1726"/>
        <w:gridCol w:w="90"/>
        <w:gridCol w:w="90"/>
        <w:gridCol w:w="220"/>
        <w:gridCol w:w="1464"/>
        <w:gridCol w:w="135"/>
      </w:tblGrid>
      <w:tr>
        <w:trPr/>
        <w:tc>
          <w:tcPr>
            <w:tcW w:w="20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1, 2024</w:t>
            </w:r>
          </w:p>
        </w:tc>
        <w:tc>
          <w:tcPr>
            <w:tcW w:w="135" w:type="dxa"/>
            <w:tcBorders/>
            <w:vAlign w:val="center"/>
          </w:tcPr>
          <w:p>
            <w:pPr>
              <w:pStyle w:val="TableContents"/>
              <w:bidi w:val="0"/>
              <w:spacing w:before="0" w:after="283"/>
              <w:jc w:val="center"/>
              <w:rPr/>
            </w:pPr>
            <w:r>
              <w:rPr/>
              <w:t> </w:t>
            </w:r>
          </w:p>
        </w:tc>
      </w:tr>
      <w:tr>
        <w:trPr/>
        <w:tc>
          <w:tcPr>
            <w:tcW w:w="2000"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1,010,295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464" w:type="dxa"/>
            <w:tcBorders/>
            <w:shd w:fill="CCEEFF" w:val="clear"/>
            <w:vAlign w:val="center"/>
          </w:tcPr>
          <w:p>
            <w:pPr>
              <w:pStyle w:val="TableContents"/>
              <w:bidi w:val="0"/>
              <w:spacing w:before="0" w:after="283"/>
              <w:jc w:val="right"/>
              <w:rPr/>
            </w:pPr>
            <w:r>
              <w:rPr/>
              <w:t>155,801</w:t>
            </w:r>
          </w:p>
        </w:tc>
        <w:tc>
          <w:tcPr>
            <w:tcW w:w="13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Unbilled receivables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4,601,890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3,916,562</w:t>
            </w:r>
          </w:p>
        </w:tc>
        <w:tc>
          <w:tcPr>
            <w:tcW w:w="13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10,585,293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11,661,448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that they will be watertight. The Company bases its estimates on historical estimates and known conditions at the time. To date, warranty claims have been nominal. Accordingly, there was no warranty accrual recorded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did not exist.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 The Company had $6,137,615 in deferred contract fulfillment costs classified as deferred costs in the accompanying balance sheet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year ended December 31, 2024 totaled approximately $291,000.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December 22, 2025,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68"/>
        <w:gridCol w:w="230"/>
        <w:gridCol w:w="104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3.</w:t>
            </w:r>
          </w:p>
        </w:tc>
        <w:tc>
          <w:tcPr>
            <w:tcW w:w="1040" w:type="dxa"/>
            <w:tcBorders/>
            <w:vAlign w:val="center"/>
          </w:tcPr>
          <w:p>
            <w:pPr>
              <w:pStyle w:val="TableContents"/>
              <w:bidi w:val="0"/>
              <w:spacing w:before="0" w:after="283"/>
              <w:jc w:val="both"/>
              <w:rPr>
                <w:b/>
              </w:rPr>
            </w:pPr>
            <w:r>
              <w:rPr>
                <w:b/>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in the future to support its operating and capital expenditure commitments. The Company’s liquidity needs are to meet its operating expense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 working capital surplus of approximately $665,000 and stockholders’ deficit of approximately $7,032,000. For the year ended December 31, 2024, the Company had a net loss of approximately $6,253,000 and used cash in operating activities of approximately $6,322,000.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evaluated these conditions and believes the Company’s working capital and sales from operations will allow the Company to fund operations and pay current liabilities. Additionally, the Company raised additional funds in 2025 (See Note 13) that will assist the Company with liquidity needs, and finally, management believes the pending acquisition of the Company as previously mentioned will provide sufficient liquidity for the Company’s needs. The financial statements do not include any adjustments that might be necessary if the Company is unable to continue as a going concern. Although there can be no assurances, management believes that the capital raised and pending acquisition of the Company, combined with continued operational improvements as needed will provide the Company with the resources necessary to meet its liquidity needs for 12 months from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68"/>
        <w:gridCol w:w="230"/>
        <w:gridCol w:w="266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4.</w:t>
            </w:r>
          </w:p>
        </w:tc>
        <w:tc>
          <w:tcPr>
            <w:tcW w:w="2660" w:type="dxa"/>
            <w:tcBorders/>
            <w:vAlign w:val="center"/>
          </w:tcPr>
          <w:p>
            <w:pPr>
              <w:pStyle w:val="TableContents"/>
              <w:bidi w:val="0"/>
              <w:spacing w:before="0" w:after="283"/>
              <w:jc w:val="both"/>
              <w:rPr>
                <w:b/>
              </w:rPr>
            </w:pPr>
            <w:r>
              <w:rPr>
                <w:b/>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w:t>
      </w:r>
    </w:p>
    <w:p>
      <w:pPr>
        <w:pStyle w:val="TextBody"/>
        <w:bidi w:val="0"/>
        <w:spacing w:before="0" w:after="0"/>
        <w:ind w:left="0" w:right="0" w:hanging="0"/>
        <w:jc w:val="both"/>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4595"/>
        <w:gridCol w:w="90"/>
        <w:gridCol w:w="170"/>
        <w:gridCol w:w="905"/>
        <w:gridCol w:w="170"/>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Tools and gear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296,085</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Leasehold improvements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76,701</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Vehicles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52,552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Computer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54,392</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Furniture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30,946</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510,676</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Less accumulated 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(125,484</w:t>
            </w:r>
          </w:p>
        </w:tc>
        <w:tc>
          <w:tcPr>
            <w:tcW w:w="170" w:type="dxa"/>
            <w:tcBorders/>
            <w:shd w:fill="CCEEFF" w:val="clear"/>
            <w:vAlign w:val="center"/>
          </w:tcPr>
          <w:p>
            <w:pPr>
              <w:pStyle w:val="TableContents"/>
              <w:bidi w:val="0"/>
              <w:spacing w:before="0" w:after="283"/>
              <w:jc w:val="left"/>
              <w:rPr/>
            </w:pPr>
            <w:r>
              <w:rPr/>
              <w:t>)</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283"/>
              <w:jc w:val="right"/>
              <w:rPr/>
            </w:pPr>
            <w:r>
              <w:rPr/>
              <w:t>385,192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year ended December 31, 2024 was $101,680. Amortization of right-of-use assets held under finance leases was $299,985 for the year ended December 31, 2024; and is included in depreciation and amortization expense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68"/>
        <w:gridCol w:w="230"/>
        <w:gridCol w:w="302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5.</w:t>
            </w:r>
          </w:p>
        </w:tc>
        <w:tc>
          <w:tcPr>
            <w:tcW w:w="3020" w:type="dxa"/>
            <w:tcBorders/>
            <w:vAlign w:val="center"/>
          </w:tcPr>
          <w:p>
            <w:pPr>
              <w:pStyle w:val="TableContents"/>
              <w:bidi w:val="0"/>
              <w:spacing w:before="0" w:after="283"/>
              <w:jc w:val="both"/>
              <w:rPr>
                <w:b/>
              </w:rPr>
            </w:pPr>
            <w:r>
              <w:rPr>
                <w:b/>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28" w:type="dxa"/>
          <w:right w:w="0" w:type="dxa"/>
        </w:tblCellMar>
      </w:tblPr>
      <w:tblGrid>
        <w:gridCol w:w="3545"/>
        <w:gridCol w:w="90"/>
        <w:gridCol w:w="170"/>
        <w:gridCol w:w="1010"/>
        <w:gridCol w:w="135"/>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3,100,000</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4,040,109</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10" w:type="dxa"/>
            <w:tcBorders>
              <w:bottom w:val="double" w:sz="10" w:space="0" w:color="000000"/>
            </w:tcBorders>
            <w:shd w:fill="CCEEFF" w:val="clear"/>
            <w:vAlign w:val="center"/>
          </w:tcPr>
          <w:p>
            <w:pPr>
              <w:pStyle w:val="TableContents"/>
              <w:bidi w:val="0"/>
              <w:spacing w:before="0" w:after="283"/>
              <w:jc w:val="right"/>
              <w:rPr/>
            </w:pPr>
            <w:r>
              <w:rPr/>
              <w:t>7,140,109</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68"/>
        <w:gridCol w:w="230"/>
        <w:gridCol w:w="311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6.</w:t>
            </w:r>
          </w:p>
        </w:tc>
        <w:tc>
          <w:tcPr>
            <w:tcW w:w="3110" w:type="dxa"/>
            <w:tcBorders/>
            <w:vAlign w:val="center"/>
          </w:tcPr>
          <w:p>
            <w:pPr>
              <w:pStyle w:val="TableContents"/>
              <w:bidi w:val="0"/>
              <w:spacing w:before="0" w:after="283"/>
              <w:jc w:val="both"/>
              <w:rPr>
                <w:b/>
              </w:rPr>
            </w:pPr>
            <w:r>
              <w:rPr>
                <w:b/>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$250,000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28" w:type="dxa"/>
          <w:right w:w="0" w:type="dxa"/>
        </w:tblCellMar>
      </w:tblPr>
      <w:tblGrid>
        <w:gridCol w:w="3545"/>
        <w:gridCol w:w="90"/>
        <w:gridCol w:w="170"/>
        <w:gridCol w:w="1010"/>
        <w:gridCol w:w="135"/>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2,175,000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010" w:type="dxa"/>
            <w:tcBorders>
              <w:bottom w:val="double" w:sz="10" w:space="0" w:color="000000"/>
            </w:tcBorders>
            <w:vAlign w:val="center"/>
          </w:tcPr>
          <w:p>
            <w:pPr>
              <w:pStyle w:val="TableContents"/>
              <w:bidi w:val="0"/>
              <w:spacing w:before="0" w:after="283"/>
              <w:jc w:val="right"/>
              <w:rPr/>
            </w:pPr>
            <w:r>
              <w:rPr/>
              <w:t>2,175,000</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68"/>
        <w:gridCol w:w="230"/>
        <w:gridCol w:w="185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7.</w:t>
            </w:r>
          </w:p>
        </w:tc>
        <w:tc>
          <w:tcPr>
            <w:tcW w:w="1850" w:type="dxa"/>
            <w:tcBorders/>
            <w:vAlign w:val="center"/>
          </w:tcPr>
          <w:p>
            <w:pPr>
              <w:pStyle w:val="TableContents"/>
              <w:bidi w:val="0"/>
              <w:spacing w:before="0" w:after="283"/>
              <w:jc w:val="both"/>
              <w:rPr>
                <w:b/>
              </w:rPr>
            </w:pPr>
            <w:r>
              <w:rPr>
                <w:b/>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a 100% of the membership interests outstanding are held by Ambia Holdings, Inc.</w:t>
      </w:r>
    </w:p>
    <w:p>
      <w:pPr>
        <w:pStyle w:val="TextBody"/>
        <w:bidi w:val="0"/>
        <w:spacing w:before="0" w:after="0"/>
        <w:ind w:left="0" w:right="0" w:hanging="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68"/>
        <w:gridCol w:w="230"/>
        <w:gridCol w:w="345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8.</w:t>
            </w:r>
          </w:p>
        </w:tc>
        <w:tc>
          <w:tcPr>
            <w:tcW w:w="3455"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no amounts were forgiven. As of December 31, 2024, the outstanding balance under this loan agreement was $400,000, and is included within accrued liabilities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68"/>
        <w:gridCol w:w="230"/>
        <w:gridCol w:w="77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9.</w:t>
            </w:r>
          </w:p>
        </w:tc>
        <w:tc>
          <w:tcPr>
            <w:tcW w:w="770" w:type="dxa"/>
            <w:tcBorders/>
            <w:vAlign w:val="center"/>
          </w:tcPr>
          <w:p>
            <w:pPr>
              <w:pStyle w:val="TableContents"/>
              <w:bidi w:val="0"/>
              <w:spacing w:before="0" w:after="283"/>
              <w:jc w:val="both"/>
              <w:rPr>
                <w:b/>
              </w:rPr>
            </w:pPr>
            <w:r>
              <w:rPr>
                <w:b/>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$313,445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6215" w:type="dxa"/>
        <w:jc w:val="left"/>
        <w:tblInd w:w="0" w:type="dxa"/>
        <w:tblLayout w:type="fixed"/>
        <w:tblCellMar>
          <w:top w:w="0" w:type="dxa"/>
          <w:left w:w="0" w:type="dxa"/>
          <w:bottom w:w="28" w:type="dxa"/>
          <w:right w:w="0" w:type="dxa"/>
        </w:tblCellMar>
      </w:tblPr>
      <w:tblGrid>
        <w:gridCol w:w="1820"/>
        <w:gridCol w:w="90"/>
        <w:gridCol w:w="2900"/>
        <w:gridCol w:w="90"/>
        <w:gridCol w:w="170"/>
        <w:gridCol w:w="1010"/>
        <w:gridCol w:w="135"/>
      </w:tblGrid>
      <w:tr>
        <w:trPr/>
        <w:tc>
          <w:tcPr>
            <w:tcW w:w="1820" w:type="dxa"/>
            <w:tcBorders>
              <w:bottom w:val="single" w:sz="12" w:space="0" w:color="000000"/>
            </w:tcBorders>
            <w:vAlign w:val="center"/>
          </w:tcPr>
          <w:p>
            <w:pPr>
              <w:pStyle w:val="TableContents"/>
              <w:bidi w:val="0"/>
              <w:spacing w:before="0" w:after="283"/>
              <w:jc w:val="left"/>
              <w:rPr>
                <w:b/>
              </w:rPr>
            </w:pPr>
            <w:r>
              <w:rPr>
                <w:b/>
              </w:rPr>
              <w:t>Lease Cost</w:t>
            </w:r>
          </w:p>
        </w:tc>
        <w:tc>
          <w:tcPr>
            <w:tcW w:w="90" w:type="dxa"/>
            <w:tcBorders/>
            <w:tcMar>
              <w:bottom w:w="0" w:type="dxa"/>
            </w:tcMar>
            <w:vAlign w:val="center"/>
          </w:tcPr>
          <w:p>
            <w:pPr>
              <w:pStyle w:val="TableContents"/>
              <w:bidi w:val="0"/>
              <w:spacing w:before="0" w:after="283"/>
              <w:jc w:val="left"/>
              <w:rPr/>
            </w:pPr>
            <w:r>
              <w:rPr/>
              <w:t> </w:t>
            </w:r>
          </w:p>
        </w:tc>
        <w:tc>
          <w:tcPr>
            <w:tcW w:w="2900" w:type="dxa"/>
            <w:tcBorders>
              <w:bottom w:val="single" w:sz="12" w:space="0" w:color="000000"/>
            </w:tcBorders>
            <w:vAlign w:val="center"/>
          </w:tcPr>
          <w:p>
            <w:pPr>
              <w:pStyle w:val="TableContents"/>
              <w:bidi w:val="0"/>
              <w:spacing w:before="0" w:after="283"/>
              <w:jc w:val="center"/>
              <w:rPr>
                <w:b/>
              </w:rPr>
            </w:pPr>
            <w:r>
              <w:rPr>
                <w:b/>
              </w:rPr>
              <w:t>Classification</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2024</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Operating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759,705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Finance:</w:t>
            </w:r>
          </w:p>
        </w:tc>
        <w:tc>
          <w:tcPr>
            <w:tcW w:w="9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Asset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299,985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Interest on liability</w:t>
            </w:r>
          </w:p>
        </w:tc>
        <w:tc>
          <w:tcPr>
            <w:tcW w:w="9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Net interest expense</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44,223</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Net lease cost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10" w:type="dxa"/>
            <w:tcBorders>
              <w:bottom w:val="double" w:sz="10" w:space="0" w:color="000000"/>
            </w:tcBorders>
            <w:shd w:fill="CCEEFF" w:val="clear"/>
            <w:vAlign w:val="center"/>
          </w:tcPr>
          <w:p>
            <w:pPr>
              <w:pStyle w:val="TableContents"/>
              <w:bidi w:val="0"/>
              <w:spacing w:before="0" w:after="283"/>
              <w:jc w:val="right"/>
              <w:rPr/>
            </w:pPr>
            <w:r>
              <w:rPr/>
              <w:t>1,103,913</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interest rates were as follows as of December 31, 2024:</w:t>
      </w:r>
    </w:p>
    <w:p>
      <w:pPr>
        <w:pStyle w:val="TextBody"/>
        <w:bidi w:val="0"/>
        <w:jc w:val="left"/>
        <w:rPr>
          <w:caps w:val="false"/>
          <w:smallCaps w:val="false"/>
        </w:rPr>
      </w:pPr>
      <w:r>
        <w:rPr>
          <w:caps w:val="false"/>
          <w:smallCaps w:val="false"/>
        </w:rPr>
        <w:t> </w:t>
      </w:r>
    </w:p>
    <w:tbl>
      <w:tblPr>
        <w:tblW w:w="5430" w:type="dxa"/>
        <w:jc w:val="left"/>
        <w:tblInd w:w="0" w:type="dxa"/>
        <w:tblLayout w:type="fixed"/>
        <w:tblCellMar>
          <w:top w:w="0" w:type="dxa"/>
          <w:left w:w="0" w:type="dxa"/>
          <w:bottom w:w="28" w:type="dxa"/>
          <w:right w:w="0" w:type="dxa"/>
        </w:tblCellMar>
      </w:tblPr>
      <w:tblGrid>
        <w:gridCol w:w="4490"/>
        <w:gridCol w:w="90"/>
        <w:gridCol w:w="90"/>
        <w:gridCol w:w="470"/>
        <w:gridCol w:w="290"/>
      </w:tblGrid>
      <w:tr>
        <w:trPr/>
        <w:tc>
          <w:tcPr>
            <w:tcW w:w="449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Weighted average remaining lease term (years)</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283"/>
              <w:jc w:val="left"/>
              <w:rPr/>
            </w:pPr>
            <w:r>
              <w:rPr/>
              <w:t>Operating leases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2.26</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Finance leases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4.36</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283"/>
              <w:jc w:val="left"/>
              <w:rPr/>
            </w:pPr>
            <w:r>
              <w:rPr/>
              <w:t>Weighted average discount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Operating leases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4.07</w:t>
            </w:r>
          </w:p>
        </w:tc>
        <w:tc>
          <w:tcPr>
            <w:tcW w:w="290"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283"/>
              <w:jc w:val="left"/>
              <w:rPr/>
            </w:pPr>
            <w:r>
              <w:rPr/>
              <w:t>Finance leaess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4.31</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December 31, 2024:</w:t>
      </w:r>
    </w:p>
    <w:p>
      <w:pPr>
        <w:pStyle w:val="TextBody"/>
        <w:bidi w:val="0"/>
        <w:spacing w:before="0" w:after="0"/>
        <w:ind w:left="0" w:right="0" w:hanging="0"/>
        <w:jc w:val="both"/>
        <w:rPr>
          <w:caps w:val="false"/>
          <w:smallCaps w:val="false"/>
        </w:rPr>
      </w:pPr>
      <w:r>
        <w:rPr>
          <w:caps w:val="false"/>
          <w:smallCaps w:val="false"/>
        </w:rPr>
        <w:t> </w:t>
      </w:r>
    </w:p>
    <w:tbl>
      <w:tblPr>
        <w:tblW w:w="6285" w:type="dxa"/>
        <w:jc w:val="left"/>
        <w:tblInd w:w="0" w:type="dxa"/>
        <w:tblLayout w:type="fixed"/>
        <w:tblCellMar>
          <w:top w:w="0" w:type="dxa"/>
          <w:left w:w="0" w:type="dxa"/>
          <w:bottom w:w="28" w:type="dxa"/>
          <w:right w:w="0" w:type="dxa"/>
        </w:tblCellMar>
      </w:tblPr>
      <w:tblGrid>
        <w:gridCol w:w="3545"/>
        <w:gridCol w:w="90"/>
        <w:gridCol w:w="184"/>
        <w:gridCol w:w="901"/>
        <w:gridCol w:w="125"/>
        <w:gridCol w:w="90"/>
        <w:gridCol w:w="170"/>
        <w:gridCol w:w="1010"/>
        <w:gridCol w:w="170"/>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901" w:type="dxa"/>
            <w:tcBorders/>
            <w:shd w:fill="CCEEFF" w:val="clear"/>
            <w:tcMar>
              <w:bottom w:w="0" w:type="dxa"/>
            </w:tcMar>
            <w:vAlign w:val="center"/>
          </w:tcPr>
          <w:p>
            <w:pPr>
              <w:pStyle w:val="TableContents"/>
              <w:bidi w:val="0"/>
              <w:spacing w:before="0" w:after="283"/>
              <w:jc w:val="right"/>
              <w:rPr/>
            </w:pPr>
            <w:r>
              <w:rPr/>
              <w:t>424,140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375,721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901" w:type="dxa"/>
            <w:tcBorders/>
            <w:tcMar>
              <w:bottom w:w="0" w:type="dxa"/>
            </w:tcMar>
            <w:vAlign w:val="center"/>
          </w:tcPr>
          <w:p>
            <w:pPr>
              <w:pStyle w:val="TableContents"/>
              <w:bidi w:val="0"/>
              <w:spacing w:before="0" w:after="283"/>
              <w:jc w:val="right"/>
              <w:rPr/>
            </w:pPr>
            <w:r>
              <w:rPr/>
              <w:t>215,620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374,183</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93,048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374,183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901" w:type="dxa"/>
            <w:tcBorders/>
            <w:tcMar>
              <w:bottom w:w="0" w:type="dxa"/>
            </w:tcMar>
            <w:vAlign w:val="center"/>
          </w:tcPr>
          <w:p>
            <w:pPr>
              <w:pStyle w:val="TableContents"/>
              <w:bidi w:val="0"/>
              <w:spacing w:before="0" w:after="283"/>
              <w:jc w:val="right"/>
              <w:rPr/>
            </w:pPr>
            <w:r>
              <w:rPr/>
              <w:t>70,521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353,318</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vAlign w:val="center"/>
          </w:tcPr>
          <w:p>
            <w:pPr>
              <w:pStyle w:val="TableContents"/>
              <w:bidi w:val="0"/>
              <w:spacing w:before="0" w:after="283"/>
              <w:jc w:val="left"/>
              <w:rPr/>
            </w:pPr>
            <w:r>
              <w:rPr/>
              <w:t> </w:t>
            </w:r>
          </w:p>
        </w:tc>
        <w:tc>
          <w:tcPr>
            <w:tcW w:w="901"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231,674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Total lease payments</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901" w:type="dxa"/>
            <w:tcBorders/>
            <w:tcMar>
              <w:bottom w:w="0" w:type="dxa"/>
            </w:tcMar>
            <w:vAlign w:val="center"/>
          </w:tcPr>
          <w:p>
            <w:pPr>
              <w:pStyle w:val="TableContents"/>
              <w:bidi w:val="0"/>
              <w:spacing w:before="0" w:after="283"/>
              <w:jc w:val="right"/>
              <w:rPr/>
            </w:pPr>
            <w:r>
              <w:rPr/>
              <w:t>803,329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1,709,079</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Less: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vAlign w:val="center"/>
          </w:tcPr>
          <w:p>
            <w:pPr>
              <w:pStyle w:val="TableContents"/>
              <w:bidi w:val="0"/>
              <w:spacing w:before="0" w:after="283"/>
              <w:jc w:val="left"/>
              <w:rPr/>
            </w:pPr>
            <w:r>
              <w:rPr/>
              <w:t> </w:t>
            </w:r>
          </w:p>
        </w:tc>
        <w:tc>
          <w:tcPr>
            <w:tcW w:w="901" w:type="dxa"/>
            <w:tcBorders>
              <w:bottom w:val="single" w:sz="12" w:space="0" w:color="000000"/>
            </w:tcBorders>
            <w:shd w:fill="CCEEFF" w:val="clear"/>
            <w:vAlign w:val="center"/>
          </w:tcPr>
          <w:p>
            <w:pPr>
              <w:pStyle w:val="TableContents"/>
              <w:bidi w:val="0"/>
              <w:spacing w:before="0" w:after="283"/>
              <w:jc w:val="right"/>
              <w:rPr/>
            </w:pPr>
            <w:r>
              <w:rPr/>
              <w:t>(34,527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(164,992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545" w:type="dxa"/>
            <w:tcBorders/>
            <w:tcMar>
              <w:bottom w:w="0" w:type="dxa"/>
            </w:tcMar>
            <w:vAlign w:val="center"/>
          </w:tcPr>
          <w:p>
            <w:pPr>
              <w:pStyle w:val="TableContents"/>
              <w:bidi w:val="0"/>
              <w:spacing w:before="0" w:after="283"/>
              <w:jc w:val="left"/>
              <w:rPr/>
            </w:pPr>
            <w:r>
              <w:rPr/>
              <w:t>Present value of lease liabilities</w:t>
            </w:r>
          </w:p>
        </w:tc>
        <w:tc>
          <w:tcPr>
            <w:tcW w:w="90" w:type="dxa"/>
            <w:tcBorders/>
            <w:tcMar>
              <w:bottom w:w="0" w:type="dxa"/>
            </w:tcMar>
            <w:vAlign w:val="center"/>
          </w:tcPr>
          <w:p>
            <w:pPr>
              <w:pStyle w:val="TableContents"/>
              <w:bidi w:val="0"/>
              <w:spacing w:before="0" w:after="283"/>
              <w:jc w:val="left"/>
              <w:rPr/>
            </w:pPr>
            <w:r>
              <w:rPr/>
              <w:t> </w:t>
            </w:r>
          </w:p>
        </w:tc>
        <w:tc>
          <w:tcPr>
            <w:tcW w:w="184" w:type="dxa"/>
            <w:tcBorders>
              <w:bottom w:val="double" w:sz="10" w:space="0" w:color="000000"/>
            </w:tcBorders>
            <w:vAlign w:val="center"/>
          </w:tcPr>
          <w:p>
            <w:pPr>
              <w:pStyle w:val="TableContents"/>
              <w:bidi w:val="0"/>
              <w:spacing w:before="0" w:after="283"/>
              <w:jc w:val="left"/>
              <w:rPr/>
            </w:pPr>
            <w:r>
              <w:rPr/>
              <w:t>$</w:t>
            </w:r>
          </w:p>
        </w:tc>
        <w:tc>
          <w:tcPr>
            <w:tcW w:w="901" w:type="dxa"/>
            <w:tcBorders>
              <w:bottom w:val="double" w:sz="10" w:space="0" w:color="000000"/>
            </w:tcBorders>
            <w:vAlign w:val="center"/>
          </w:tcPr>
          <w:p>
            <w:pPr>
              <w:pStyle w:val="TableContents"/>
              <w:bidi w:val="0"/>
              <w:spacing w:before="0" w:after="283"/>
              <w:jc w:val="right"/>
              <w:rPr/>
            </w:pPr>
            <w:r>
              <w:rPr/>
              <w:t>768,802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010" w:type="dxa"/>
            <w:tcBorders>
              <w:bottom w:val="double" w:sz="10" w:space="0" w:color="000000"/>
            </w:tcBorders>
            <w:vAlign w:val="center"/>
          </w:tcPr>
          <w:p>
            <w:pPr>
              <w:pStyle w:val="TableContents"/>
              <w:bidi w:val="0"/>
              <w:spacing w:before="0" w:after="283"/>
              <w:jc w:val="right"/>
              <w:rPr/>
            </w:pPr>
            <w:r>
              <w:rPr/>
              <w:t>1,544,087</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68"/>
        <w:gridCol w:w="350"/>
        <w:gridCol w:w="543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10.</w:t>
            </w:r>
          </w:p>
        </w:tc>
        <w:tc>
          <w:tcPr>
            <w:tcW w:w="5435" w:type="dxa"/>
            <w:tcBorders/>
            <w:vAlign w:val="center"/>
          </w:tcPr>
          <w:p>
            <w:pPr>
              <w:pStyle w:val="TableContents"/>
              <w:bidi w:val="0"/>
              <w:spacing w:before="0" w:after="283"/>
              <w:jc w:val="both"/>
              <w:rPr>
                <w:b/>
              </w:rPr>
            </w:pPr>
            <w:r>
              <w:rPr>
                <w:b/>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December 31, 2024 in the amount of approximately $424,000.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December 31, 2024, the Company owed approximately $510,000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accrued interest to related parties of approximately $1,091,000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leased certain office space from a related-party entity. This lease terminated on December 31, 2024. Amortization expense for the year ended December 31, 2024 was approximately $279,000, and is included in rent expense in the accompanying statement of operations and member’s deficit. The present value of the lease payments for this related-party lease was computed using a discount rate of 4.33%.</w:t>
      </w:r>
    </w:p>
    <w:p>
      <w:pPr>
        <w:pStyle w:val="TextBody"/>
        <w:bidi w:val="0"/>
        <w:spacing w:before="0" w:after="0"/>
        <w:ind w:left="0" w:right="0" w:hanging="0"/>
        <w:jc w:val="both"/>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68"/>
        <w:gridCol w:w="350"/>
        <w:gridCol w:w="134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11.</w:t>
            </w:r>
          </w:p>
        </w:tc>
        <w:tc>
          <w:tcPr>
            <w:tcW w:w="1340" w:type="dxa"/>
            <w:tcBorders/>
            <w:vAlign w:val="center"/>
          </w:tcPr>
          <w:p>
            <w:pPr>
              <w:pStyle w:val="TableContents"/>
              <w:bidi w:val="0"/>
              <w:spacing w:before="0" w:after="283"/>
              <w:jc w:val="both"/>
              <w:rPr>
                <w:b/>
              </w:rPr>
            </w:pPr>
            <w:r>
              <w:rPr>
                <w:b/>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year ending December 31, 2024, the Company made $217,639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68"/>
        <w:gridCol w:w="350"/>
        <w:gridCol w:w="203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12.</w:t>
            </w:r>
          </w:p>
        </w:tc>
        <w:tc>
          <w:tcPr>
            <w:tcW w:w="2030"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existing related-party lenders loaned the Company a combined $500,000 in additional funds to increase maximum line of credit balances that were in place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signed a lease agreement extending the lease for its main office through May 31, 2030. Total lease payments to be made during the 5 year extension are $3,533,133.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2025, the Company entered into a sale and purchase of future receivables agreement with a lender. This third-party lender lent the Company $1,000,000 and in return the Company agreed to pay the lender 8% of all cash collections from customers until a total of $1,320,000 has been paid. This agreement was paid in full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 and December 31,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For the Nine Months Ended September 30,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9" w:name="H_001"/>
      <w:bookmarkEnd w:id="49"/>
      <w:r>
        <w:rPr>
          <w:rFonts w:ascii="Times New Roman;Times;Serif" w:hAnsi="Times New Roman;Times;Serif"/>
          <w:b/>
          <w:i/>
          <w:caps w:val="false"/>
          <w:smallCaps w:val="false"/>
          <w:sz w:val="20"/>
        </w:rPr>
        <w:t>Unaudited Balance Sheets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1"/>
        <w:gridCol w:w="90"/>
        <w:gridCol w:w="187"/>
        <w:gridCol w:w="1249"/>
        <w:gridCol w:w="125"/>
        <w:gridCol w:w="90"/>
        <w:gridCol w:w="179"/>
        <w:gridCol w:w="1192"/>
        <w:gridCol w:w="172"/>
      </w:tblGrid>
      <w:tr>
        <w:trPr/>
        <w:tc>
          <w:tcPr>
            <w:tcW w:w="69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436" w:type="dxa"/>
            <w:gridSpan w:val="2"/>
            <w:tcBorders/>
            <w:vAlign w:val="center"/>
          </w:tcPr>
          <w:p>
            <w:pPr>
              <w:pStyle w:val="TableContents"/>
              <w:bidi w:val="0"/>
              <w:spacing w:before="0" w:after="283"/>
              <w:jc w:val="center"/>
              <w:rPr>
                <w:b/>
                <w:i/>
              </w:rPr>
            </w:pPr>
            <w:r>
              <w:rPr>
                <w:b/>
                <w:i/>
              </w:rPr>
              <w:t xml:space="preserve">As of </w:t>
              <w:br/>
              <w:t xml:space="preserve">September 30,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b/>
                <w:i/>
              </w:rPr>
            </w:pPr>
            <w:r>
              <w:rPr>
                <w:b/>
                <w:i/>
              </w:rPr>
              <w:t>As of</w:t>
              <w:br/>
              <w:t>December 31,</w:t>
            </w:r>
          </w:p>
        </w:tc>
        <w:tc>
          <w:tcPr>
            <w:tcW w:w="172" w:type="dxa"/>
            <w:tcBorders/>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2024</w:t>
            </w:r>
          </w:p>
        </w:tc>
        <w:tc>
          <w:tcPr>
            <w:tcW w:w="172" w:type="dxa"/>
            <w:tcBorders/>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b/>
                <w:u w:val="single"/>
              </w:rPr>
            </w:pPr>
            <w:r>
              <w:rPr>
                <w:b/>
                <w:u w:val="single"/>
              </w:rPr>
              <w:t>Assets</w:t>
            </w:r>
          </w:p>
        </w:tc>
        <w:tc>
          <w:tcPr>
            <w:tcW w:w="90" w:type="dxa"/>
            <w:tcBorders/>
            <w:vAlign w:val="center"/>
          </w:tcPr>
          <w:p>
            <w:pPr>
              <w:pStyle w:val="TableContents"/>
              <w:bidi w:val="0"/>
              <w:spacing w:before="0" w:after="283"/>
              <w:jc w:val="left"/>
              <w:rPr/>
            </w:pPr>
            <w:r>
              <w:rPr/>
              <w:t> </w:t>
            </w:r>
          </w:p>
        </w:tc>
        <w:tc>
          <w:tcPr>
            <w:tcW w:w="1436"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6"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36"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693,520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1,043,269</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Accounts receivable, net of allowance for credit losses of $225,000 and $123,000, respectively</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1,293,174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1,010,295</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Contract assets - unbilled revenues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5,715,605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4,601,890</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Other receivables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485,863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366,027</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Sales commissions receivable, net of allowance of $760,413</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1,580,974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423,719</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Deferred commissions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1,145,672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3,511,328</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Deferred costs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3,943,059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6,137,615</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343,410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531,238</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15,201,277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17,625,381</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424,031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385,192</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2,856,409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740,654</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Finance lease right-of-use assets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1,602,376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1,971,170</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Deposits</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181,510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116,819</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20,265,603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20,839,216</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b/>
                <w:u w:val="single"/>
              </w:rPr>
            </w:pPr>
            <w:r>
              <w:rPr>
                <w:b/>
                <w:u w:val="single"/>
              </w:rPr>
              <w:t>Liabilities and Member’s Deficit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2,489,153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2,168,566</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Accrued expenses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3,431,906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2,799,860</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Accrued commissions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212,469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180,114</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Merchant cash advance, net of debt discount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487,500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Related-party accounts payable</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294,384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509,649</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7,701,532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10,585,293</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Current portion of operating lease liabilities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622,419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401,456</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Current portion of finance lease liabilities</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308,794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315,541</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15,548,157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16,960,479</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Operating lease liabilities, net of current portion</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2,145,929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367,346</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Finance lease liabilities, net of current portion</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985,849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1,228,546</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Related-party lines of credit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2,675,000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2,175,000</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Related-party notes payable</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7,140,109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7,140,109</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28,495,044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27,871,480</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Commitments and contingencies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Member’s deficit</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(8,229,441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(7,032,264</w:t>
            </w:r>
          </w:p>
        </w:tc>
        <w:tc>
          <w:tcPr>
            <w:tcW w:w="172" w:type="dxa"/>
            <w:tcBorders/>
            <w:vAlign w:val="center"/>
          </w:tcPr>
          <w:p>
            <w:pPr>
              <w:pStyle w:val="TableContents"/>
              <w:bidi w:val="0"/>
              <w:spacing w:before="0" w:after="283"/>
              <w:jc w:val="left"/>
              <w:rPr/>
            </w:pPr>
            <w:r>
              <w:rPr/>
              <w:t>)</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Total liabilities and member’s deficit</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20,265,603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20,839,216</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0" w:name="H_002"/>
      <w:bookmarkEnd w:id="50"/>
      <w:r>
        <w:rPr>
          <w:rFonts w:ascii="Times New Roman;Times;Serif" w:hAnsi="Times New Roman;Times;Serif"/>
          <w:b/>
          <w:i/>
          <w:caps w:val="false"/>
          <w:smallCaps w:val="false"/>
          <w:sz w:val="20"/>
        </w:rPr>
        <w:t xml:space="preserve">Unaudited Statements of Operations and Member’s Deficit </w:t>
      </w:r>
    </w:p>
    <w:p>
      <w:pPr>
        <w:pStyle w:val="TextBody"/>
        <w:bidi w:val="0"/>
        <w:spacing w:before="0" w:after="0"/>
        <w:ind w:left="0" w:right="0" w:hanging="0"/>
        <w:jc w:val="both"/>
        <w:rPr>
          <w:caps w:val="false"/>
          <w:smallCaps w:val="false"/>
        </w:rPr>
      </w:pPr>
      <w:r>
        <w:rPr>
          <w:caps w:val="false"/>
          <w:smallCaps w:val="false"/>
        </w:rPr>
        <w:t> </w:t>
      </w:r>
    </w:p>
    <w:tbl>
      <w:tblPr>
        <w:tblW w:w="8465" w:type="dxa"/>
        <w:jc w:val="left"/>
        <w:tblInd w:w="0" w:type="dxa"/>
        <w:tblLayout w:type="fixed"/>
        <w:tblCellMar>
          <w:top w:w="0" w:type="dxa"/>
          <w:left w:w="0" w:type="dxa"/>
          <w:bottom w:w="0" w:type="dxa"/>
          <w:right w:w="0" w:type="dxa"/>
        </w:tblCellMar>
      </w:tblPr>
      <w:tblGrid>
        <w:gridCol w:w="5690"/>
        <w:gridCol w:w="90"/>
        <w:gridCol w:w="155"/>
        <w:gridCol w:w="980"/>
        <w:gridCol w:w="110"/>
        <w:gridCol w:w="90"/>
        <w:gridCol w:w="155"/>
        <w:gridCol w:w="1040"/>
        <w:gridCol w:w="155"/>
      </w:tblGrid>
      <w:tr>
        <w:trPr/>
        <w:tc>
          <w:tcPr>
            <w:tcW w:w="5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155"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61,075,725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28,114,668</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32,622,179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20,517,813</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28,453,546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7,596,855</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10,845,446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7,303,877</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16,003,211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8,043,929</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1,038,258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888,362</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28,381,482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16,472,472</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72,064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(8,875,617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(1,285,993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(925,263</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net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income (expense), net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(1,269,241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(936,233</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beginning of the period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(7,032,264</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(5,112,377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contribution and conversion of related-party notes payable</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4,333,164</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end of the period</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(8,229,441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(10,591,063</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1" w:name="H_003"/>
      <w:bookmarkEnd w:id="51"/>
      <w:r>
        <w:rPr>
          <w:rFonts w:ascii="Times New Roman;Times;Serif" w:hAnsi="Times New Roman;Times;Serif"/>
          <w:b/>
          <w:i/>
          <w:caps w:val="false"/>
          <w:smallCaps w:val="false"/>
          <w:sz w:val="20"/>
        </w:rPr>
        <w:t>Unaudited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0"/>
        <w:gridCol w:w="90"/>
        <w:gridCol w:w="155"/>
        <w:gridCol w:w="935"/>
        <w:gridCol w:w="110"/>
        <w:gridCol w:w="90"/>
        <w:gridCol w:w="155"/>
        <w:gridCol w:w="935"/>
        <w:gridCol w:w="155"/>
      </w:tblGrid>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155"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operating right-of-use assets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523,352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643,603</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(282,879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(413,593</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 revenues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(1,113,715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739,308</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(119,836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295,812</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commissions receivable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(1,157,255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(134,894</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74,447</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costs and commissions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4,560,212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(848,215</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187,828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(427,389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(64,691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(13,337</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106,122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539,602</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369,546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3,229,015</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commissions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32,355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395,000</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accounts payable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(215,265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51,411</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(2,883,761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(1,314,260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(425,096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(618,953</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(1,185,693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(7,377,989</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(191,243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(222,908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related-party revolving lines of credit and notes payable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8,925,000</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related-party revolving lines of credits and notes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(3,305,747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member’s contribution</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1,883,164</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repayments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finance lease liabilities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(222,813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(363,900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1,027,187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7,138,517</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 in cash</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(349,749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(462,380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beginning of period</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1,043,269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728,639</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end of period</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693,520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266,259</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703,167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50,441</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 obtained in exchange for operating lease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2,424,642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125,849</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operating right-of-use assets and accounts payable for lessor owned tenant improvements paid by the Company</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214,465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ind w:left="0" w:right="0" w:hanging="180"/>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right-of-use assets obtained in exchange for finance lease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1,169,095</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terminations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26,631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related-party notes payable to member’s equity</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2,450,000</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 accrued guaranteed interest payment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262,500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bookmarkStart w:id="52" w:name="H_004"/>
      <w:bookmarkEnd w:id="52"/>
      <w:r>
        <w:rPr>
          <w:rFonts w:ascii="Times New Roman;Times;Serif" w:hAnsi="Times New Roman;Times;Serif"/>
          <w:b/>
          <w:i/>
          <w:caps w:val="false"/>
          <w:smallCaps w:val="false"/>
          <w:sz w:val="20"/>
        </w:rPr>
        <w:t>Notes to Unaudited Financial Statements</w:t>
      </w:r>
    </w:p>
    <w:p>
      <w:pPr>
        <w:pStyle w:val="TextBody"/>
        <w:bidi w:val="0"/>
        <w:spacing w:before="0" w:after="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15"/>
        <w:gridCol w:w="188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15"/>
        <w:gridCol w:w="381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815"/>
        <w:gridCol w:w="90"/>
        <w:gridCol w:w="120"/>
        <w:gridCol w:w="350"/>
        <w:gridCol w:w="215"/>
        <w:gridCol w:w="90"/>
        <w:gridCol w:w="120"/>
        <w:gridCol w:w="350"/>
        <w:gridCol w:w="260"/>
      </w:tblGrid>
      <w:tr>
        <w:trPr/>
        <w:tc>
          <w:tcPr>
            <w:tcW w:w="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C</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D</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70"/>
        <w:gridCol w:w="4160"/>
      </w:tblGrid>
      <w:tr>
        <w:trPr/>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1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815"/>
        <w:gridCol w:w="90"/>
        <w:gridCol w:w="120"/>
        <w:gridCol w:w="350"/>
        <w:gridCol w:w="215"/>
        <w:gridCol w:w="90"/>
        <w:gridCol w:w="120"/>
        <w:gridCol w:w="350"/>
        <w:gridCol w:w="260"/>
      </w:tblGrid>
      <w:tr>
        <w:trPr/>
        <w:tc>
          <w:tcPr>
            <w:tcW w:w="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70"/>
        <w:gridCol w:w="5975"/>
      </w:tblGrid>
      <w:tr>
        <w:trPr/>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597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solar materials costs. The following was a major vendor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845"/>
        <w:gridCol w:w="90"/>
        <w:gridCol w:w="120"/>
        <w:gridCol w:w="350"/>
        <w:gridCol w:w="215"/>
        <w:gridCol w:w="90"/>
        <w:gridCol w:w="120"/>
        <w:gridCol w:w="350"/>
        <w:gridCol w:w="260"/>
      </w:tblGrid>
      <w:tr>
        <w:trPr/>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A</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B</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170"/>
        <w:gridCol w:w="4775"/>
      </w:tblGrid>
      <w:tr>
        <w:trPr/>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77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Vendor did not represent more than 10% of expenditures.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period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September 30, 2025 and 2024, the allowance for credit losses was $225,000 and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105"/>
        <w:gridCol w:w="90"/>
        <w:gridCol w:w="90"/>
        <w:gridCol w:w="785"/>
        <w:gridCol w:w="135"/>
      </w:tblGrid>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Tools and gear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September 30, 2025 and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taxes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its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September 30, 2025 and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is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68"/>
        <w:gridCol w:w="200"/>
        <w:gridCol w:w="48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contract, or contracts, with a customer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391"/>
        <w:gridCol w:w="9682"/>
      </w:tblGrid>
      <w:tr>
        <w:trPr/>
        <w:tc>
          <w:tcPr>
            <w:tcW w:w="1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594"/>
        <w:gridCol w:w="9410"/>
      </w:tblGrid>
      <w:tr>
        <w:trPr/>
        <w:tc>
          <w:tcPr>
            <w:tcW w:w="20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Determination of the transaction price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296"/>
        <w:gridCol w:w="9809"/>
      </w:tblGrid>
      <w:tr>
        <w:trPr/>
        <w:tc>
          <w:tcPr>
            <w:tcW w:w="10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w:t>
            </w:r>
          </w:p>
        </w:tc>
        <w:tc>
          <w:tcPr>
            <w:tcW w:w="98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of the transaction price to the performance obligations in the contract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11"/>
        <w:gridCol w:w="9788"/>
      </w:tblGrid>
      <w:tr>
        <w:trPr/>
        <w:tc>
          <w:tcPr>
            <w:tcW w:w="1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the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HVAC and Roofing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installation of the HVAC system or roof. The Company recognizes revenue upon the completion of the HVAC system or roof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720"/>
        <w:gridCol w:w="90"/>
        <w:gridCol w:w="170"/>
        <w:gridCol w:w="1130"/>
        <w:gridCol w:w="90"/>
        <w:gridCol w:w="90"/>
        <w:gridCol w:w="170"/>
        <w:gridCol w:w="1130"/>
        <w:gridCol w:w="135"/>
      </w:tblGrid>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Installation services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59,438,442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28,114,668</w:t>
            </w:r>
          </w:p>
        </w:tc>
        <w:tc>
          <w:tcPr>
            <w:tcW w:w="13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HVAC revenue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990,177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Roofing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647,106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61,075,725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28,114,668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6683" w:type="dxa"/>
        <w:jc w:val="left"/>
        <w:tblInd w:w="0" w:type="dxa"/>
        <w:tblLayout w:type="fixed"/>
        <w:tblCellMar>
          <w:top w:w="0" w:type="dxa"/>
          <w:left w:w="0" w:type="dxa"/>
          <w:bottom w:w="28" w:type="dxa"/>
          <w:right w:w="0" w:type="dxa"/>
        </w:tblCellMar>
      </w:tblPr>
      <w:tblGrid>
        <w:gridCol w:w="2000"/>
        <w:gridCol w:w="90"/>
        <w:gridCol w:w="186"/>
        <w:gridCol w:w="1108"/>
        <w:gridCol w:w="90"/>
        <w:gridCol w:w="90"/>
        <w:gridCol w:w="170"/>
        <w:gridCol w:w="1130"/>
        <w:gridCol w:w="90"/>
        <w:gridCol w:w="90"/>
        <w:gridCol w:w="196"/>
        <w:gridCol w:w="1308"/>
        <w:gridCol w:w="135"/>
      </w:tblGrid>
      <w:tr>
        <w:trPr/>
        <w:tc>
          <w:tcPr>
            <w:tcW w:w="2000" w:type="dxa"/>
            <w:tcBorders>
              <w:bottom w:val="single" w:sz="12" w:space="0" w:color="000000"/>
            </w:tcBorders>
            <w:vAlign w:val="center"/>
          </w:tcPr>
          <w:p>
            <w:pPr>
              <w:pStyle w:val="TableContents"/>
              <w:bidi w:val="0"/>
              <w:spacing w:before="0" w:after="283"/>
              <w:jc w:val="left"/>
              <w:rPr>
                <w:b/>
              </w:rPr>
            </w:pPr>
            <w:r>
              <w:rPr>
                <w:b/>
              </w:rPr>
              <w:t>As of:</w:t>
            </w:r>
          </w:p>
        </w:tc>
        <w:tc>
          <w:tcPr>
            <w:tcW w:w="9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30, </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31, </w:t>
              <w:br/>
              <w:t>2024 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2023</w:t>
            </w:r>
          </w:p>
        </w:tc>
        <w:tc>
          <w:tcPr>
            <w:tcW w:w="13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Accounts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108" w:type="dxa"/>
            <w:tcBorders/>
            <w:shd w:fill="CCEEFF" w:val="clear"/>
            <w:tcMar>
              <w:bottom w:w="0" w:type="dxa"/>
            </w:tcMar>
            <w:vAlign w:val="center"/>
          </w:tcPr>
          <w:p>
            <w:pPr>
              <w:pStyle w:val="TableContents"/>
              <w:bidi w:val="0"/>
              <w:spacing w:before="0" w:after="283"/>
              <w:jc w:val="right"/>
              <w:rPr/>
            </w:pPr>
            <w:r>
              <w:rPr/>
              <w:t>1,293,174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1,010,295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308" w:type="dxa"/>
            <w:tcBorders/>
            <w:shd w:fill="CCEEFF" w:val="clear"/>
            <w:tcMar>
              <w:bottom w:w="0" w:type="dxa"/>
            </w:tcMar>
            <w:vAlign w:val="center"/>
          </w:tcPr>
          <w:p>
            <w:pPr>
              <w:pStyle w:val="TableContents"/>
              <w:bidi w:val="0"/>
              <w:spacing w:before="0" w:after="283"/>
              <w:jc w:val="right"/>
              <w:rPr/>
            </w:pPr>
            <w:r>
              <w:rPr/>
              <w:t>155,801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Unbilled receivables</w:t>
            </w:r>
          </w:p>
        </w:tc>
        <w:tc>
          <w:tcPr>
            <w:tcW w:w="90" w:type="dxa"/>
            <w:tcBorders/>
            <w:tcMar>
              <w:bottom w:w="0" w:type="dxa"/>
            </w:tcMar>
            <w:vAlign w:val="center"/>
          </w:tcPr>
          <w:p>
            <w:pPr>
              <w:pStyle w:val="TableContents"/>
              <w:bidi w:val="0"/>
              <w:spacing w:before="0" w:after="283"/>
              <w:jc w:val="left"/>
              <w:rPr/>
            </w:pPr>
            <w:r>
              <w:rPr/>
              <w:t> </w:t>
            </w:r>
          </w:p>
        </w:tc>
        <w:tc>
          <w:tcPr>
            <w:tcW w:w="186" w:type="dxa"/>
            <w:tcBorders/>
            <w:tcMar>
              <w:bottom w:w="0" w:type="dxa"/>
            </w:tcMar>
            <w:vAlign w:val="center"/>
          </w:tcPr>
          <w:p>
            <w:pPr>
              <w:pStyle w:val="TableContents"/>
              <w:bidi w:val="0"/>
              <w:spacing w:before="0" w:after="283"/>
              <w:jc w:val="left"/>
              <w:rPr/>
            </w:pPr>
            <w:r>
              <w:rPr/>
              <w:t> </w:t>
            </w:r>
          </w:p>
        </w:tc>
        <w:tc>
          <w:tcPr>
            <w:tcW w:w="1108" w:type="dxa"/>
            <w:tcBorders/>
            <w:tcMar>
              <w:bottom w:w="0" w:type="dxa"/>
            </w:tcMar>
            <w:vAlign w:val="center"/>
          </w:tcPr>
          <w:p>
            <w:pPr>
              <w:pStyle w:val="TableContents"/>
              <w:bidi w:val="0"/>
              <w:spacing w:before="0" w:after="283"/>
              <w:jc w:val="right"/>
              <w:rPr/>
            </w:pPr>
            <w:r>
              <w:rPr/>
              <w:t>5,715,605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4,601,890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3,916,562</w:t>
            </w:r>
          </w:p>
        </w:tc>
        <w:tc>
          <w:tcPr>
            <w:tcW w:w="13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Deferred revenue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7,701,532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10,585,293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11,661,448</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will be watertight. The Company estimates its liability for warranty claims based historical claim patterns and known conditions at the time. To date, warranty claims have been nominal. Accordingly, there was no warranty accrual recorded as of September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had not existed.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nine months ended September 30, 2025 and 2024 totaled approximately $304,000 and $140,000,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January 12, 2026,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215"/>
        <w:gridCol w:w="89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to support its operating and capital expenditure commitments. As of September 30, 2025, the Company had a working capital surplus of approximately $347,000 and stockholders’ deficit of approximately $8,229,000. For the nine months ended September 30, 2025, the Company had a net loss of approximately $1,197,000 and used cash in operating activities of approximately $1,186,000.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 resulting in the Company becoming a wholly owned subsidiary of SunPower, Inc. The acquisition of the Company effectively merged the Company’s operations into SunPower, Inc., which provided the Company with any additional liquidity that may have been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15"/>
        <w:gridCol w:w="219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1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4595"/>
        <w:gridCol w:w="90"/>
        <w:gridCol w:w="170"/>
        <w:gridCol w:w="905"/>
        <w:gridCol w:w="125"/>
        <w:gridCol w:w="90"/>
        <w:gridCol w:w="170"/>
        <w:gridCol w:w="905"/>
        <w:gridCol w:w="170"/>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Office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251,199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Tools and gear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152,426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296,085</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Computer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95,530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54,392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Leasehold improvements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92,373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76,701</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Vehicles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77,990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52,552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Furniture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32,400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30,946</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701,918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510,676</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Less accumulated depreciation and amortization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(277,887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(125,484</w:t>
            </w:r>
          </w:p>
        </w:tc>
        <w:tc>
          <w:tcPr>
            <w:tcW w:w="170" w:type="dxa"/>
            <w:tcBorders/>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424,031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385,192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nine months ended September 30, 2025 and 2024 was $152,404 and $62,514, respectively. Amortization of right-of-use assets held under finance leases for the nine months ended September 30, 2025 and 2024 was $342,163 and $173,790, respectively; and is included in depreciation and amortization expense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15"/>
        <w:gridCol w:w="252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28" w:type="dxa"/>
          <w:right w:w="0" w:type="dxa"/>
        </w:tblCellMar>
      </w:tblPr>
      <w:tblGrid>
        <w:gridCol w:w="3545"/>
        <w:gridCol w:w="90"/>
        <w:gridCol w:w="170"/>
        <w:gridCol w:w="1010"/>
        <w:gridCol w:w="135"/>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center"/>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 (Remainder)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3,100,000</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4,040,109</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w:t>
            </w:r>
          </w:p>
        </w:tc>
        <w:tc>
          <w:tcPr>
            <w:tcW w:w="1010" w:type="dxa"/>
            <w:tcBorders>
              <w:bottom w:val="single" w:sz="12" w:space="0" w:color="000000"/>
            </w:tcBorders>
            <w:vAlign w:val="center"/>
          </w:tcPr>
          <w:p>
            <w:pPr>
              <w:pStyle w:val="TableContents"/>
              <w:bidi w:val="0"/>
              <w:spacing w:before="0" w:after="283"/>
              <w:jc w:val="right"/>
              <w:rPr/>
            </w:pPr>
            <w:r>
              <w:rPr/>
              <w:t>7,140,109</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15"/>
        <w:gridCol w:w="258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$500,000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28" w:type="dxa"/>
          <w:right w:w="0" w:type="dxa"/>
        </w:tblCellMar>
      </w:tblPr>
      <w:tblGrid>
        <w:gridCol w:w="3545"/>
        <w:gridCol w:w="90"/>
        <w:gridCol w:w="170"/>
        <w:gridCol w:w="1010"/>
        <w:gridCol w:w="135"/>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center"/>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 (Remainder)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2,675,000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1010" w:type="dxa"/>
            <w:tcBorders>
              <w:bottom w:val="single" w:sz="12" w:space="0" w:color="000000"/>
            </w:tcBorders>
            <w:shd w:fill="CCEEFF" w:val="clear"/>
            <w:vAlign w:val="center"/>
          </w:tcPr>
          <w:p>
            <w:pPr>
              <w:pStyle w:val="TableContents"/>
              <w:bidi w:val="0"/>
              <w:spacing w:before="0" w:after="283"/>
              <w:jc w:val="right"/>
              <w:rPr/>
            </w:pPr>
            <w:r>
              <w:rPr/>
              <w:t>2,675,000</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15"/>
        <w:gridCol w:w="216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1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Merchant Cash Advance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April 22, 2025. Under the terms of the agreement, the Company received $1,000,000 in cash, exclusive of a transaction fee of 3.00%, or $25,000. The Company repaid the advance as of September 30, 2025, plus an additional $320,000, which is included as interest expense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September 26, 2025. Under the terms of the agreement, the Company received $750,000 in cash, exclusive of a transaction fee of 3.00%, or $22,500. The amount to be repaid is as follows under the terms of the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5"/>
        <w:gridCol w:w="808"/>
        <w:gridCol w:w="9122"/>
      </w:tblGrid>
      <w:tr>
        <w:trPr/>
        <w:tc>
          <w:tcPr>
            <w:tcW w:w="27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pPr>
            <w:r>
              <w:rPr/>
              <w:t>●</w:t>
            </w:r>
          </w:p>
        </w:tc>
        <w:tc>
          <w:tcPr>
            <w:tcW w:w="91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30 days, $862,500.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5"/>
        <w:gridCol w:w="808"/>
        <w:gridCol w:w="9122"/>
      </w:tblGrid>
      <w:tr>
        <w:trPr/>
        <w:tc>
          <w:tcPr>
            <w:tcW w:w="27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pPr>
            <w:r>
              <w:rPr/>
              <w:t>●</w:t>
            </w:r>
          </w:p>
        </w:tc>
        <w:tc>
          <w:tcPr>
            <w:tcW w:w="91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60 days, $892,500.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5"/>
        <w:gridCol w:w="808"/>
        <w:gridCol w:w="9122"/>
      </w:tblGrid>
      <w:tr>
        <w:trPr/>
        <w:tc>
          <w:tcPr>
            <w:tcW w:w="27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pPr>
            <w:r>
              <w:rPr/>
              <w:t>●</w:t>
            </w:r>
          </w:p>
        </w:tc>
        <w:tc>
          <w:tcPr>
            <w:tcW w:w="91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90 days, $922,500.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777"/>
        <w:gridCol w:w="9165"/>
      </w:tblGrid>
      <w:tr>
        <w:trPr/>
        <w:tc>
          <w:tcPr>
            <w:tcW w:w="26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pPr>
            <w:r>
              <w:rPr/>
              <w:t>●</w:t>
            </w:r>
          </w:p>
        </w:tc>
        <w:tc>
          <w:tcPr>
            <w:tcW w:w="9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120 days, $952,500.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5"/>
        <w:gridCol w:w="781"/>
        <w:gridCol w:w="9159"/>
      </w:tblGrid>
      <w:tr>
        <w:trPr/>
        <w:tc>
          <w:tcPr>
            <w:tcW w:w="2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pPr>
            <w:r>
              <w:rPr/>
              <w:t>●</w:t>
            </w:r>
          </w:p>
        </w:tc>
        <w:tc>
          <w:tcPr>
            <w:tcW w:w="9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120 days, $1,012,500.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agreement depends upon the Company’s cash receipts, and is calculated as 11.00% of receipts, as defined in the terms of the agreement. The estimated weekly payment is $21,094. Management estimates that the amount will not be repaid within 120 days and as of September 30, 2025 have accrued the additional $262,500 above the amount borrowed, which is included as part of accrued expenses on the balance sheet. The $262,500 is recorded as a debt discount against the merchant cash advance and is being amortized over the term of the advance to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15"/>
        <w:gridCol w:w="155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5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100% of the membership interests outstanding are held by Ambia Holdings, Inc. A members liability is limited, and all such debts, obligations and liabilities of the Company are solely the debts and obligations of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1"/>
        <w:gridCol w:w="650"/>
        <w:gridCol w:w="9334"/>
      </w:tblGrid>
      <w:tr>
        <w:trPr/>
        <w:tc>
          <w:tcPr>
            <w:tcW w:w="22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933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forgave $200,000 in draws. As of September 30, 2025 and December 31, 2024, the outstanding balance under this loan agreement was $200,000 and $400,000, respectively, and is included within accrued expenses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320"/>
        <w:gridCol w:w="66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$632,934 and $187,249, respectively, as of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7395" w:type="dxa"/>
        <w:jc w:val="left"/>
        <w:tblInd w:w="0" w:type="dxa"/>
        <w:tblLayout w:type="fixed"/>
        <w:tblCellMar>
          <w:top w:w="0" w:type="dxa"/>
          <w:left w:w="0" w:type="dxa"/>
          <w:bottom w:w="28" w:type="dxa"/>
          <w:right w:w="0" w:type="dxa"/>
        </w:tblCellMar>
      </w:tblPr>
      <w:tblGrid>
        <w:gridCol w:w="1820"/>
        <w:gridCol w:w="90"/>
        <w:gridCol w:w="2900"/>
        <w:gridCol w:w="90"/>
        <w:gridCol w:w="170"/>
        <w:gridCol w:w="1010"/>
        <w:gridCol w:w="90"/>
        <w:gridCol w:w="90"/>
        <w:gridCol w:w="170"/>
        <w:gridCol w:w="830"/>
        <w:gridCol w:w="135"/>
      </w:tblGrid>
      <w:tr>
        <w:trPr/>
        <w:tc>
          <w:tcPr>
            <w:tcW w:w="1820" w:type="dxa"/>
            <w:tcBorders>
              <w:bottom w:val="single" w:sz="12" w:space="0" w:color="000000"/>
            </w:tcBorders>
            <w:vAlign w:val="center"/>
          </w:tcPr>
          <w:p>
            <w:pPr>
              <w:pStyle w:val="TableContents"/>
              <w:bidi w:val="0"/>
              <w:spacing w:before="0" w:after="283"/>
              <w:jc w:val="left"/>
              <w:rPr>
                <w:b/>
              </w:rPr>
            </w:pPr>
            <w:r>
              <w:rPr>
                <w:b/>
              </w:rPr>
              <w:t>Lease Cost</w:t>
            </w:r>
          </w:p>
        </w:tc>
        <w:tc>
          <w:tcPr>
            <w:tcW w:w="90" w:type="dxa"/>
            <w:tcBorders/>
            <w:tcMar>
              <w:bottom w:w="0" w:type="dxa"/>
            </w:tcMar>
            <w:vAlign w:val="center"/>
          </w:tcPr>
          <w:p>
            <w:pPr>
              <w:pStyle w:val="TableContents"/>
              <w:bidi w:val="0"/>
              <w:spacing w:before="0" w:after="283"/>
              <w:jc w:val="left"/>
              <w:rPr/>
            </w:pPr>
            <w:r>
              <w:rPr/>
              <w:t> </w:t>
            </w:r>
          </w:p>
        </w:tc>
        <w:tc>
          <w:tcPr>
            <w:tcW w:w="2900" w:type="dxa"/>
            <w:tcBorders>
              <w:bottom w:val="single" w:sz="12" w:space="0" w:color="000000"/>
            </w:tcBorders>
            <w:vAlign w:val="center"/>
          </w:tcPr>
          <w:p>
            <w:pPr>
              <w:pStyle w:val="TableContents"/>
              <w:bidi w:val="0"/>
              <w:spacing w:before="0" w:after="283"/>
              <w:jc w:val="center"/>
              <w:rPr>
                <w:b/>
              </w:rPr>
            </w:pPr>
            <w:r>
              <w:rPr>
                <w:b/>
              </w:rPr>
              <w:t>Classification</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Operating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611,224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632,804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Finance: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Asset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342,163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173,790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Interest on liability</w:t>
            </w:r>
          </w:p>
        </w:tc>
        <w:tc>
          <w:tcPr>
            <w:tcW w:w="9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Net interest expense</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47,543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27,937</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Net lease cost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1010" w:type="dxa"/>
            <w:tcBorders>
              <w:bottom w:val="single" w:sz="12" w:space="0" w:color="000000"/>
            </w:tcBorders>
            <w:shd w:fill="CCEEFF" w:val="clear"/>
            <w:vAlign w:val="center"/>
          </w:tcPr>
          <w:p>
            <w:pPr>
              <w:pStyle w:val="TableContents"/>
              <w:bidi w:val="0"/>
              <w:spacing w:before="0" w:after="283"/>
              <w:jc w:val="right"/>
              <w:rPr/>
            </w:pPr>
            <w:r>
              <w:rPr/>
              <w:t>1,000,930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830" w:type="dxa"/>
            <w:tcBorders>
              <w:bottom w:val="single" w:sz="12" w:space="0" w:color="000000"/>
            </w:tcBorders>
            <w:shd w:fill="CCEEFF" w:val="clear"/>
            <w:vAlign w:val="center"/>
          </w:tcPr>
          <w:p>
            <w:pPr>
              <w:pStyle w:val="TableContents"/>
              <w:bidi w:val="0"/>
              <w:spacing w:before="0" w:after="283"/>
              <w:jc w:val="right"/>
              <w:rPr/>
            </w:pPr>
            <w:r>
              <w:rPr/>
              <w:t>834,531</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interest rates were as follows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28" w:type="dxa"/>
          <w:right w:w="0" w:type="dxa"/>
        </w:tblCellMar>
      </w:tblPr>
      <w:tblGrid>
        <w:gridCol w:w="4490"/>
        <w:gridCol w:w="90"/>
        <w:gridCol w:w="90"/>
        <w:gridCol w:w="470"/>
        <w:gridCol w:w="245"/>
        <w:gridCol w:w="90"/>
        <w:gridCol w:w="90"/>
        <w:gridCol w:w="470"/>
        <w:gridCol w:w="290"/>
      </w:tblGrid>
      <w:tr>
        <w:trPr/>
        <w:tc>
          <w:tcPr>
            <w:tcW w:w="449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2025</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Weighted average remaining lease term (years)</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283"/>
              <w:jc w:val="left"/>
              <w:rPr/>
            </w:pPr>
            <w:r>
              <w:rPr/>
              <w:t xml:space="preserve">Operating leases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4.23</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2.34</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 xml:space="preserve">Finance leases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3.69</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4.51</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283"/>
              <w:jc w:val="left"/>
              <w:rPr/>
            </w:pPr>
            <w:r>
              <w:rPr/>
              <w:t xml:space="preserve">Weighted average discount rate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 xml:space="preserve">Operating leases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6.60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4.25</w:t>
            </w:r>
          </w:p>
        </w:tc>
        <w:tc>
          <w:tcPr>
            <w:tcW w:w="290"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283"/>
              <w:jc w:val="left"/>
              <w:rPr/>
            </w:pPr>
            <w:r>
              <w:rPr/>
              <w:t xml:space="preserve">Finance leaess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4.31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4.13</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September 30, 2025:</w:t>
      </w:r>
    </w:p>
    <w:p>
      <w:pPr>
        <w:pStyle w:val="TextBody"/>
        <w:bidi w:val="0"/>
        <w:spacing w:before="0" w:after="0"/>
        <w:ind w:left="0" w:right="0" w:hanging="0"/>
        <w:jc w:val="both"/>
        <w:rPr>
          <w:caps w:val="false"/>
          <w:smallCaps w:val="false"/>
        </w:rPr>
      </w:pPr>
      <w:r>
        <w:rPr>
          <w:caps w:val="false"/>
          <w:smallCaps w:val="false"/>
        </w:rPr>
        <w:t> </w:t>
      </w:r>
    </w:p>
    <w:tbl>
      <w:tblPr>
        <w:tblW w:w="6380" w:type="dxa"/>
        <w:jc w:val="left"/>
        <w:tblInd w:w="0" w:type="dxa"/>
        <w:tblLayout w:type="fixed"/>
        <w:tblCellMar>
          <w:top w:w="0" w:type="dxa"/>
          <w:left w:w="0" w:type="dxa"/>
          <w:bottom w:w="28" w:type="dxa"/>
          <w:right w:w="0" w:type="dxa"/>
        </w:tblCellMar>
      </w:tblPr>
      <w:tblGrid>
        <w:gridCol w:w="3545"/>
        <w:gridCol w:w="90"/>
        <w:gridCol w:w="170"/>
        <w:gridCol w:w="1010"/>
        <w:gridCol w:w="125"/>
        <w:gridCol w:w="90"/>
        <w:gridCol w:w="170"/>
        <w:gridCol w:w="1010"/>
        <w:gridCol w:w="170"/>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 (Remainder)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187,097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114,134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570,490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364,512</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689,483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374,183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759,660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399,923</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741,734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232,443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2030</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312,086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Total lease payments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3,260,550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1,485,195</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Less: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(492,202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(190,552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545" w:type="dxa"/>
            <w:tcBorders/>
            <w:tcMar>
              <w:bottom w:w="0" w:type="dxa"/>
            </w:tcMar>
            <w:vAlign w:val="center"/>
          </w:tcPr>
          <w:p>
            <w:pPr>
              <w:pStyle w:val="TableContents"/>
              <w:bidi w:val="0"/>
              <w:spacing w:before="0" w:after="283"/>
              <w:jc w:val="left"/>
              <w:rPr/>
            </w:pPr>
            <w:r>
              <w:rPr/>
              <w:t>Present value of lease liabilities</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w:t>
            </w:r>
          </w:p>
        </w:tc>
        <w:tc>
          <w:tcPr>
            <w:tcW w:w="1010" w:type="dxa"/>
            <w:tcBorders>
              <w:bottom w:val="single" w:sz="12" w:space="0" w:color="000000"/>
            </w:tcBorders>
            <w:vAlign w:val="center"/>
          </w:tcPr>
          <w:p>
            <w:pPr>
              <w:pStyle w:val="TableContents"/>
              <w:bidi w:val="0"/>
              <w:spacing w:before="0" w:after="283"/>
              <w:jc w:val="right"/>
              <w:rPr/>
            </w:pPr>
            <w:r>
              <w:rPr/>
              <w:t>2,768,348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w:t>
            </w:r>
          </w:p>
        </w:tc>
        <w:tc>
          <w:tcPr>
            <w:tcW w:w="1010" w:type="dxa"/>
            <w:tcBorders>
              <w:bottom w:val="single" w:sz="12" w:space="0" w:color="000000"/>
            </w:tcBorders>
            <w:vAlign w:val="center"/>
          </w:tcPr>
          <w:p>
            <w:pPr>
              <w:pStyle w:val="TableContents"/>
              <w:bidi w:val="0"/>
              <w:spacing w:before="0" w:after="283"/>
              <w:jc w:val="right"/>
              <w:rPr/>
            </w:pPr>
            <w:r>
              <w:rPr/>
              <w:t>1,294,643</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short-term leases for the nine months ended September 30, 2025 and 2024 was $224,202 and $36,513, respectively. Cash payments made for the nine months ended September 30, 2025 and 2024 that are included in the measurement of lease liabilities was $681,392 and $643,415, respectively.</w:t>
      </w:r>
    </w:p>
    <w:p>
      <w:pPr>
        <w:pStyle w:val="TextBody"/>
        <w:bidi w:val="0"/>
        <w:spacing w:before="0" w:after="0"/>
        <w:ind w:left="0" w:right="0" w:hanging="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20"/>
        <w:gridCol w:w="452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45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September 30, 2025 sales commissions receivable was approximately $1,581,000, net of allowance of approximately $760,000. As of December 31, 2024, sales commissions receivable was approximately $424,000, net of allowance of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September 30, 2025 and December 31, 2024, the Company owed approximately $294,000 and $510,000, respectively,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accrued interest due to related parties of approximately $1,343,000 and $1,091,000, respectively,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1"/>
        <w:gridCol w:w="2071"/>
        <w:gridCol w:w="7673"/>
      </w:tblGrid>
      <w:tr>
        <w:trPr/>
        <w:tc>
          <w:tcPr>
            <w:tcW w:w="4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67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nine months ended September 30, 2025 and 2024, the Company made $219,037 and $148,663, respectively,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2"/>
        <w:gridCol w:w="1534"/>
        <w:gridCol w:w="8329"/>
      </w:tblGrid>
      <w:tr>
        <w:trPr/>
        <w:tc>
          <w:tcPr>
            <w:tcW w:w="34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832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combined statement of operations is derived from the historical consolidated financial statements of SunPower Inc. and Subsidiaries (the “Company”, “SunPower”), the historical financial statements of Sunder Energy, LLC (“Sunder”) and the historical financial statements of Ambia Energy LLC (“Ambia”) and reflects (1) the acquisition of Ambia which closed on November 21, 2025 (the “Ambia Acquisition”), (2) the acquisition of Sunder which closed on September 24, 2025 (the “Sunder Acquisition” and collectively with the Ambia Acquisition and Sunder Acquisition “Acquisitions”) and (3) the financing of the Sunder Acquisition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related to the Acquisitions has been prepared by the Company using the acquisition method of accounting in accordance with GAAP. The Company has been treated as the acquirer for accounting purposes and thus accounts for the Acquisitions as a business combination in accordance with Accounting Standards Codification (“ASC”) Topic 805, Business Combinations (“ASC 805”). The estimated fair values of the assets acquired and liabilities assumed and the related purchase price allocation for both Ambia and Sunder are provisional and have been made solely for the purpose of providing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Acquisitions and the Financing had been consummated on January 1, 2025, the beginning of the earliest period presented. An unaudited combined balance sheet is not presented as the Acquisitions and the Financing have been reflected in the Company’s balance as of March 29, 2026, included in the Company’s Quarterly Report on Form 10-Q for the quarterly period ended March 29, 2026 filed with the SEC on May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give effect to any cost savings, operating synergies or revenue synergies that may result from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 of operations has been developed from and should be read in conjunction with:</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32"/>
        <w:gridCol w:w="9895"/>
      </w:tblGrid>
      <w:tr>
        <w:trPr/>
        <w:tc>
          <w:tcPr>
            <w:tcW w:w="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the accompanying notes to the Unaudited Pro Forma Combined Statement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audited financial statements of the Company for the fiscal year ended December 28, 2025 and the related notes in its Annual Report for such fiscal year;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Ambia as of and for the year ended December 31, 2024, and the unaudited financial statements of Ambia as of and for the nine months ended September 30, 2025;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Sunder as of and for the year ended December 31, 2024, and the unaudited financial statements of Sunder as of and for the six months ended June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and estimates underlying the unaudited pro forma adjustments set forth in the unaudited pro forma combined statement of operations are described in the accompanying notes. The unaudited pro forma combined statement of operations has been presented for illustrative purposes only and are not necessarily indicative of the operating results and financial position that would have been achieved had the Acquisition and Financing occurred on the dates indicated. Further, the unaudited pro forma combined financial statements do not purport to project the future operating results or financial position of SunPower following the completion of the Acquisitions.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k_001"/>
      <w:bookmarkEnd w:id="53"/>
      <w:r>
        <w:rPr>
          <w:rFonts w:ascii="Times New Roman;Times;Serif" w:hAnsi="Times New Roman;Times;Serif"/>
          <w:b/>
          <w:i w:val="false"/>
          <w:caps w:val="false"/>
          <w:smallCaps w:val="false"/>
          <w:sz w:val="20"/>
        </w:rPr>
        <w:t>UNAUDITED PRO FORMA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28,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2690" w:type="dxa"/>
        <w:jc w:val="left"/>
        <w:tblInd w:w="0" w:type="dxa"/>
        <w:tblLayout w:type="fixed"/>
        <w:tblCellMar>
          <w:top w:w="0" w:type="dxa"/>
          <w:left w:w="0" w:type="dxa"/>
          <w:bottom w:w="0" w:type="dxa"/>
          <w:right w:w="0" w:type="dxa"/>
        </w:tblCellMar>
      </w:tblPr>
      <w:tblGrid>
        <w:gridCol w:w="1040"/>
        <w:gridCol w:w="90"/>
        <w:gridCol w:w="140"/>
        <w:gridCol w:w="860"/>
        <w:gridCol w:w="110"/>
        <w:gridCol w:w="90"/>
        <w:gridCol w:w="175"/>
        <w:gridCol w:w="685"/>
        <w:gridCol w:w="110"/>
        <w:gridCol w:w="90"/>
        <w:gridCol w:w="146"/>
        <w:gridCol w:w="804"/>
        <w:gridCol w:w="275"/>
        <w:gridCol w:w="90"/>
        <w:gridCol w:w="140"/>
        <w:gridCol w:w="770"/>
        <w:gridCol w:w="110"/>
        <w:gridCol w:w="90"/>
        <w:gridCol w:w="175"/>
        <w:gridCol w:w="685"/>
        <w:gridCol w:w="110"/>
        <w:gridCol w:w="90"/>
        <w:gridCol w:w="140"/>
        <w:gridCol w:w="1490"/>
        <w:gridCol w:w="290"/>
        <w:gridCol w:w="90"/>
        <w:gridCol w:w="140"/>
        <w:gridCol w:w="860"/>
        <w:gridCol w:w="230"/>
        <w:gridCol w:w="90"/>
        <w:gridCol w:w="140"/>
        <w:gridCol w:w="860"/>
        <w:gridCol w:w="110"/>
        <w:gridCol w:w="90"/>
        <w:gridCol w:w="200"/>
        <w:gridCol w:w="950"/>
        <w:gridCol w:w="135"/>
      </w:tblGrid>
      <w:tr>
        <w:trPr/>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sz w:val="16"/>
              </w:rPr>
            </w:pPr>
            <w:r>
              <w:rPr>
                <w:b/>
                <w:sz w:val="16"/>
              </w:rPr>
              <w:t>SunPower</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Sunder Energy LLC</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90" w:type="dxa"/>
            <w:gridSpan w:val="14"/>
            <w:tcBorders>
              <w:bottom w:val="single" w:sz="12" w:space="0" w:color="000000"/>
            </w:tcBorders>
            <w:tcMar>
              <w:bottom w:w="28" w:type="dxa"/>
            </w:tcMar>
            <w:vAlign w:val="center"/>
          </w:tcPr>
          <w:p>
            <w:pPr>
              <w:pStyle w:val="TableContents"/>
              <w:bidi w:val="0"/>
              <w:spacing w:before="0" w:after="283"/>
              <w:jc w:val="center"/>
              <w:rPr>
                <w:b/>
                <w:sz w:val="16"/>
              </w:rPr>
            </w:pPr>
            <w:r>
              <w:rPr>
                <w:b/>
                <w:sz w:val="16"/>
              </w:rPr>
              <w:t>Ambia Energy LLC</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b/>
                <w:sz w:val="16"/>
              </w:rPr>
            </w:pPr>
            <w:r>
              <w:rPr>
                <w:b/>
                <w:sz w:val="16"/>
              </w:rPr>
              <w:t>Combined</w:t>
            </w:r>
          </w:p>
        </w:tc>
        <w:tc>
          <w:tcPr>
            <w:tcW w:w="13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Historical</w:t>
              <w:br/>
              <w:t>Results of</w:t>
              <w:br/>
              <w:t>Operations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jc w:val="center"/>
              <w:rPr>
                <w:b/>
                <w:sz w:val="16"/>
              </w:rPr>
            </w:pPr>
            <w:r>
              <w:rPr>
                <w:b/>
                <w:sz w:val="16"/>
              </w:rPr>
              <w:t>Historical</w:t>
              <w:br/>
              <w:t>Results of</w:t>
              <w:br/>
              <w:t>Operations</w:t>
            </w:r>
          </w:p>
          <w:p>
            <w:pPr>
              <w:pStyle w:val="TableContents"/>
              <w:bidi w:val="0"/>
              <w:spacing w:before="0" w:after="283"/>
              <w:jc w:val="center"/>
              <w:rPr>
                <w:b/>
                <w:sz w:val="16"/>
              </w:rPr>
            </w:pPr>
            <w:r>
              <w:rPr>
                <w:b/>
                <w:sz w:val="16"/>
              </w:rPr>
              <w:t>(Note 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Transaction</w:t>
              <w:br/>
              <w:t>Adjustments</w:t>
              <w:br/>
              <w:t>(Note 4)</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w:t>
              <w:br/>
              <w:t>Results of</w:t>
              <w:br/>
              <w:t>Operations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jc w:val="center"/>
              <w:rPr>
                <w:b/>
                <w:sz w:val="16"/>
              </w:rPr>
            </w:pPr>
            <w:r>
              <w:rPr>
                <w:b/>
                <w:sz w:val="16"/>
              </w:rPr>
              <w:t>Historical</w:t>
              <w:br/>
              <w:t>Results of</w:t>
              <w:br/>
              <w:t>Operations</w:t>
            </w:r>
          </w:p>
          <w:p>
            <w:pPr>
              <w:pStyle w:val="TableContents"/>
              <w:bidi w:val="0"/>
              <w:spacing w:before="0" w:after="283"/>
              <w:jc w:val="center"/>
              <w:rPr>
                <w:b/>
                <w:sz w:val="16"/>
              </w:rPr>
            </w:pPr>
            <w:r>
              <w:rPr>
                <w:b/>
                <w:sz w:val="16"/>
              </w:rPr>
              <w:t>(Note 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Reclassification</w:t>
              <w:br/>
              <w:t>Adjustments</w:t>
              <w:br/>
              <w:t>(Note 4)</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Transaction</w:t>
              <w:br/>
              <w:t>Adjustments</w:t>
              <w:br/>
              <w:t>(Note 4)</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w:t>
              <w:br/>
              <w:t>Results of</w:t>
              <w:br/>
              <w:t>Operations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 Results of</w:t>
              <w:br/>
              <w:t>Operations</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Revenues</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6"/>
              </w:rPr>
            </w:pPr>
            <w:r>
              <w:rPr>
                <w:sz w:val="16"/>
              </w:rPr>
              <w:t>$</w:t>
            </w:r>
          </w:p>
        </w:tc>
        <w:tc>
          <w:tcPr>
            <w:tcW w:w="860" w:type="dxa"/>
            <w:tcBorders/>
            <w:shd w:fill="CCEEFF" w:val="clear"/>
            <w:vAlign w:val="center"/>
          </w:tcPr>
          <w:p>
            <w:pPr>
              <w:pStyle w:val="TableContents"/>
              <w:bidi w:val="0"/>
              <w:spacing w:before="0" w:after="283"/>
              <w:jc w:val="right"/>
              <w:rPr>
                <w:sz w:val="16"/>
              </w:rPr>
            </w:pPr>
            <w:r>
              <w:rPr>
                <w:sz w:val="16"/>
              </w:rPr>
              <w:t>300,000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16"/>
              </w:rPr>
            </w:pPr>
            <w:r>
              <w:rPr>
                <w:sz w:val="16"/>
              </w:rPr>
              <w:t>$</w:t>
            </w:r>
          </w:p>
        </w:tc>
        <w:tc>
          <w:tcPr>
            <w:tcW w:w="685" w:type="dxa"/>
            <w:tcBorders/>
            <w:shd w:fill="CCEEFF" w:val="clear"/>
            <w:vAlign w:val="center"/>
          </w:tcPr>
          <w:p>
            <w:pPr>
              <w:pStyle w:val="TableContents"/>
              <w:bidi w:val="0"/>
              <w:spacing w:before="0" w:after="283"/>
              <w:jc w:val="right"/>
              <w:rPr>
                <w:sz w:val="16"/>
              </w:rPr>
            </w:pPr>
            <w:r>
              <w:rPr>
                <w:sz w:val="16"/>
              </w:rPr>
              <w:t>56,084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16"/>
              </w:rPr>
            </w:pPr>
            <w:r>
              <w:rPr>
                <w:sz w:val="16"/>
              </w:rPr>
              <w:t>$</w:t>
            </w:r>
          </w:p>
        </w:tc>
        <w:tc>
          <w:tcPr>
            <w:tcW w:w="804" w:type="dxa"/>
            <w:tcBorders/>
            <w:shd w:fill="CCEEFF" w:val="clear"/>
            <w:vAlign w:val="center"/>
          </w:tcPr>
          <w:p>
            <w:pPr>
              <w:pStyle w:val="TableContents"/>
              <w:bidi w:val="0"/>
              <w:spacing w:before="0" w:after="283"/>
              <w:jc w:val="right"/>
              <w:rPr>
                <w:sz w:val="16"/>
              </w:rPr>
            </w:pPr>
            <w:r>
              <w:rPr>
                <w:sz w:val="16"/>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6"/>
              </w:rPr>
            </w:pPr>
            <w:r>
              <w:rPr>
                <w:sz w:val="16"/>
              </w:rPr>
              <w:t>$</w:t>
            </w:r>
          </w:p>
        </w:tc>
        <w:tc>
          <w:tcPr>
            <w:tcW w:w="770" w:type="dxa"/>
            <w:tcBorders/>
            <w:shd w:fill="CCEEFF" w:val="clear"/>
            <w:vAlign w:val="center"/>
          </w:tcPr>
          <w:p>
            <w:pPr>
              <w:pStyle w:val="TableContents"/>
              <w:bidi w:val="0"/>
              <w:spacing w:before="0" w:after="283"/>
              <w:jc w:val="right"/>
              <w:rPr>
                <w:sz w:val="16"/>
              </w:rPr>
            </w:pPr>
            <w:r>
              <w:rPr>
                <w:sz w:val="16"/>
              </w:rPr>
              <w:t>56,084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16"/>
              </w:rPr>
            </w:pPr>
            <w:r>
              <w:rPr>
                <w:sz w:val="16"/>
              </w:rPr>
              <w:t>$</w:t>
            </w:r>
          </w:p>
        </w:tc>
        <w:tc>
          <w:tcPr>
            <w:tcW w:w="685" w:type="dxa"/>
            <w:tcBorders/>
            <w:shd w:fill="CCEEFF" w:val="clear"/>
            <w:vAlign w:val="center"/>
          </w:tcPr>
          <w:p>
            <w:pPr>
              <w:pStyle w:val="TableContents"/>
              <w:bidi w:val="0"/>
              <w:spacing w:before="0" w:after="283"/>
              <w:jc w:val="right"/>
              <w:rPr>
                <w:sz w:val="16"/>
              </w:rPr>
            </w:pPr>
            <w:r>
              <w:rPr>
                <w:sz w:val="16"/>
              </w:rPr>
              <w:t>73,604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6"/>
              </w:rPr>
            </w:pPr>
            <w:r>
              <w:rPr>
                <w:sz w:val="16"/>
              </w:rPr>
              <w:t>$</w:t>
            </w:r>
          </w:p>
        </w:tc>
        <w:tc>
          <w:tcPr>
            <w:tcW w:w="1490" w:type="dxa"/>
            <w:tcBorders/>
            <w:shd w:fill="CCEEFF" w:val="clear"/>
            <w:vAlign w:val="center"/>
          </w:tcPr>
          <w:p>
            <w:pPr>
              <w:pStyle w:val="TableContents"/>
              <w:bidi w:val="0"/>
              <w:spacing w:before="0" w:after="283"/>
              <w:jc w:val="right"/>
              <w:rPr/>
            </w:pPr>
            <w:r>
              <w:rPr/>
              <w:t>                       </w:t>
            </w: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6"/>
              </w:rPr>
            </w:pPr>
            <w:r>
              <w:rPr>
                <w:sz w:val="16"/>
              </w:rPr>
              <w:t>$</w:t>
            </w:r>
          </w:p>
        </w:tc>
        <w:tc>
          <w:tcPr>
            <w:tcW w:w="860" w:type="dxa"/>
            <w:tcBorders/>
            <w:shd w:fill="CCEEFF" w:val="cle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6"/>
              </w:rPr>
            </w:pPr>
            <w:r>
              <w:rPr>
                <w:sz w:val="16"/>
              </w:rPr>
              <w:t>$</w:t>
            </w:r>
          </w:p>
        </w:tc>
        <w:tc>
          <w:tcPr>
            <w:tcW w:w="860" w:type="dxa"/>
            <w:tcBorders/>
            <w:shd w:fill="CCEEFF" w:val="clear"/>
            <w:vAlign w:val="center"/>
          </w:tcPr>
          <w:p>
            <w:pPr>
              <w:pStyle w:val="TableContents"/>
              <w:bidi w:val="0"/>
              <w:spacing w:before="0" w:after="283"/>
              <w:jc w:val="right"/>
              <w:rPr>
                <w:sz w:val="16"/>
              </w:rPr>
            </w:pPr>
            <w:r>
              <w:rPr>
                <w:sz w:val="16"/>
              </w:rPr>
              <w:t>73,604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r>
              <w:rPr>
                <w:sz w:val="16"/>
              </w:rPr>
              <w:t>$</w:t>
            </w:r>
          </w:p>
        </w:tc>
        <w:tc>
          <w:tcPr>
            <w:tcW w:w="950" w:type="dxa"/>
            <w:tcBorders/>
            <w:shd w:fill="CCEEFF" w:val="clear"/>
            <w:vAlign w:val="center"/>
          </w:tcPr>
          <w:p>
            <w:pPr>
              <w:pStyle w:val="TableContents"/>
              <w:bidi w:val="0"/>
              <w:spacing w:before="0" w:after="283"/>
              <w:jc w:val="right"/>
              <w:rPr>
                <w:sz w:val="16"/>
              </w:rPr>
            </w:pPr>
            <w:r>
              <w:rPr>
                <w:sz w:val="16"/>
              </w:rPr>
              <w:t>429,688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Cost of revenues</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170,788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300</w:t>
            </w:r>
          </w:p>
        </w:tc>
        <w:tc>
          <w:tcPr>
            <w:tcW w:w="275" w:type="dxa"/>
            <w:tcBorders/>
            <w:vAlign w:val="center"/>
          </w:tcPr>
          <w:p>
            <w:pPr>
              <w:pStyle w:val="TableContents"/>
              <w:bidi w:val="0"/>
              <w:spacing w:before="0" w:after="283"/>
              <w:jc w:val="left"/>
              <w:rPr>
                <w:sz w:val="16"/>
              </w:rPr>
            </w:pPr>
            <w:r>
              <w:rPr>
                <w:sz w:val="16"/>
              </w:rPr>
              <w:t>(C)</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2,132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38,881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38,881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209,969</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Gross profit (loss)</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129,212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56,084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(300</w:t>
            </w:r>
          </w:p>
        </w:tc>
        <w:tc>
          <w:tcPr>
            <w:tcW w:w="275"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53,952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34,723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34,723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219,719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Operating expenses</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Sales commissions</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37,009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45,615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16"/>
              </w:rPr>
            </w:pPr>
            <w:r>
              <w:rPr>
                <w:sz w:val="16"/>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45,615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18,813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18,813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101,437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Sales and marketing</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29,030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1,251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sz w:val="16"/>
              </w:rPr>
            </w:pPr>
            <w:r>
              <w:rPr>
                <w:sz w:val="16"/>
              </w:rPr>
              <w:t>-</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6"/>
              </w:rPr>
            </w:pPr>
            <w:r>
              <w:rPr>
                <w:sz w:val="16"/>
              </w:rPr>
              <w:t>1,251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128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128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16"/>
              </w:rPr>
            </w:pPr>
            <w:r>
              <w:rPr>
                <w:sz w:val="16"/>
              </w:rPr>
              <w:t>30,409</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General and administrative</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90,104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15,916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16"/>
              </w:rPr>
            </w:pPr>
            <w:r>
              <w:rPr>
                <w:sz w:val="16"/>
              </w:rPr>
              <w:t>2,753</w:t>
            </w:r>
          </w:p>
        </w:tc>
        <w:tc>
          <w:tcPr>
            <w:tcW w:w="275" w:type="dxa"/>
            <w:tcBorders/>
            <w:shd w:fill="CCEEFF" w:val="clear"/>
            <w:vAlign w:val="center"/>
          </w:tcPr>
          <w:p>
            <w:pPr>
              <w:pStyle w:val="TableContents"/>
              <w:bidi w:val="0"/>
              <w:spacing w:before="0" w:after="283"/>
              <w:jc w:val="left"/>
              <w:rPr>
                <w:sz w:val="16"/>
              </w:rPr>
            </w:pPr>
            <w:r>
              <w:rPr>
                <w:sz w:val="16"/>
              </w:rPr>
              <w:t>(C)</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18,669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13,979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sz w:val="16"/>
              </w:rPr>
            </w:pPr>
            <w:r>
              <w:rPr>
                <w:sz w:val="16"/>
              </w:rPr>
              <w:t>1,975</w:t>
            </w:r>
          </w:p>
        </w:tc>
        <w:tc>
          <w:tcPr>
            <w:tcW w:w="290" w:type="dxa"/>
            <w:tcBorders/>
            <w:shd w:fill="CCEEFF" w:val="clear"/>
            <w:vAlign w:val="center"/>
          </w:tcPr>
          <w:p>
            <w:pPr>
              <w:pStyle w:val="TableContents"/>
              <w:bidi w:val="0"/>
              <w:spacing w:before="0" w:after="283"/>
              <w:jc w:val="left"/>
              <w:rPr>
                <w:sz w:val="16"/>
              </w:rPr>
            </w:pPr>
            <w:r>
              <w:rPr>
                <w:sz w:val="16"/>
              </w:rPr>
              <w:t>(H)</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1,792</w:t>
            </w:r>
          </w:p>
        </w:tc>
        <w:tc>
          <w:tcPr>
            <w:tcW w:w="230" w:type="dxa"/>
            <w:tcBorders/>
            <w:shd w:fill="CCEEFF" w:val="clear"/>
            <w:vAlign w:val="center"/>
          </w:tcPr>
          <w:p>
            <w:pPr>
              <w:pStyle w:val="TableContents"/>
              <w:bidi w:val="0"/>
              <w:spacing w:before="0" w:after="283"/>
              <w:jc w:val="left"/>
              <w:rPr>
                <w:sz w:val="16"/>
              </w:rPr>
            </w:pPr>
            <w:r>
              <w:rPr>
                <w:sz w:val="16"/>
              </w:rPr>
              <w:t>(D)</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17,746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126,519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Rent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sz w:val="16"/>
              </w:rPr>
            </w:pPr>
            <w:r>
              <w:rPr>
                <w:sz w:val="16"/>
              </w:rPr>
              <w:t>-</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1,338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sz w:val="16"/>
              </w:rPr>
            </w:pPr>
            <w:r>
              <w:rPr>
                <w:sz w:val="16"/>
              </w:rPr>
              <w:t>(1,338</w:t>
            </w:r>
          </w:p>
        </w:tc>
        <w:tc>
          <w:tcPr>
            <w:tcW w:w="290" w:type="dxa"/>
            <w:tcBorders/>
            <w:vAlign w:val="center"/>
          </w:tcPr>
          <w:p>
            <w:pPr>
              <w:pStyle w:val="TableContents"/>
              <w:bidi w:val="0"/>
              <w:spacing w:before="0" w:after="283"/>
              <w:jc w:val="left"/>
              <w:rPr>
                <w:sz w:val="16"/>
              </w:rPr>
            </w:pPr>
            <w:r>
              <w:rPr>
                <w:sz w:val="16"/>
              </w:rPr>
              <w:t>)(H)</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16"/>
              </w:rPr>
            </w:pPr>
            <w:r>
              <w:rPr>
                <w:sz w:val="16"/>
              </w:rPr>
              <w:t>-</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(637</w:t>
            </w:r>
          </w:p>
        </w:tc>
        <w:tc>
          <w:tcPr>
            <w:tcW w:w="290" w:type="dxa"/>
            <w:tcBorders/>
            <w:shd w:fill="CCEEFF" w:val="clear"/>
            <w:vAlign w:val="center"/>
          </w:tcPr>
          <w:p>
            <w:pPr>
              <w:pStyle w:val="TableContents"/>
              <w:bidi w:val="0"/>
              <w:spacing w:before="0" w:after="283"/>
              <w:jc w:val="left"/>
              <w:rPr>
                <w:sz w:val="16"/>
              </w:rPr>
            </w:pPr>
            <w:r>
              <w:rPr>
                <w:sz w:val="16"/>
              </w:rPr>
              <w:t>)(H)</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Total operating expenses</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156,143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62,782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2,753</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65,535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34,895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(1,792</w:t>
            </w:r>
          </w:p>
        </w:tc>
        <w:tc>
          <w:tcPr>
            <w:tcW w:w="23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36,687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258,365</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(26,931</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(6,698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(3,053</w:t>
            </w:r>
          </w:p>
        </w:tc>
        <w:tc>
          <w:tcPr>
            <w:tcW w:w="275"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(9,194</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(38,646</w:t>
            </w:r>
          </w:p>
        </w:tc>
        <w:tc>
          <w:tcPr>
            <w:tcW w:w="135" w:type="dxa"/>
            <w:tcBorders/>
            <w:shd w:fill="CCEEFF" w:val="clear"/>
            <w:vAlign w:val="center"/>
          </w:tcPr>
          <w:p>
            <w:pPr>
              <w:pStyle w:val="TableContents"/>
              <w:bidi w:val="0"/>
              <w:spacing w:before="0" w:after="283"/>
              <w:ind w:left="0" w:right="0" w:hanging="180"/>
              <w:jc w:val="left"/>
              <w:rPr>
                <w:sz w:val="16"/>
              </w:rPr>
            </w:pPr>
            <w:r>
              <w:rPr>
                <w:sz w:val="16"/>
              </w:rPr>
              <w:t>) </w:t>
            </w:r>
          </w:p>
        </w:tc>
      </w:tr>
      <w:tr>
        <w:trPr/>
        <w:tc>
          <w:tcPr>
            <w:tcW w:w="1040" w:type="dxa"/>
            <w:tcBorders/>
            <w:vAlign w:val="center"/>
          </w:tcPr>
          <w:p>
            <w:pPr>
              <w:pStyle w:val="TableContents"/>
              <w:bidi w:val="0"/>
              <w:spacing w:before="0" w:after="283"/>
              <w:jc w:val="left"/>
              <w:rPr>
                <w:sz w:val="16"/>
              </w:rPr>
            </w:pPr>
            <w:r>
              <w:rPr>
                <w:sz w:val="16"/>
              </w:rPr>
              <w:t>Interest expense</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(25,095</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(246</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sz w:val="16"/>
              </w:rPr>
            </w:pPr>
            <w:r>
              <w:rPr>
                <w:sz w:val="16"/>
              </w:rPr>
              <w:t>(2,658</w:t>
            </w:r>
          </w:p>
        </w:tc>
        <w:tc>
          <w:tcPr>
            <w:tcW w:w="275" w:type="dxa"/>
            <w:tcBorders/>
            <w:vAlign w:val="center"/>
          </w:tcPr>
          <w:p>
            <w:pPr>
              <w:pStyle w:val="TableContents"/>
              <w:bidi w:val="0"/>
              <w:spacing w:before="0" w:after="283"/>
              <w:jc w:val="left"/>
              <w:rPr>
                <w:sz w:val="16"/>
              </w:rPr>
            </w:pPr>
            <w:r>
              <w:rPr>
                <w:sz w:val="16"/>
              </w:rPr>
              <w:t>)(E)</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6"/>
              </w:rPr>
            </w:pPr>
            <w:r>
              <w:rPr>
                <w:sz w:val="16"/>
              </w:rPr>
              <w:t>(2,904</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(1,286</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1,286</w:t>
            </w:r>
          </w:p>
        </w:tc>
        <w:tc>
          <w:tcPr>
            <w:tcW w:w="230" w:type="dxa"/>
            <w:tcBorders/>
            <w:vAlign w:val="center"/>
          </w:tcPr>
          <w:p>
            <w:pPr>
              <w:pStyle w:val="TableContents"/>
              <w:bidi w:val="0"/>
              <w:spacing w:before="0" w:after="283"/>
              <w:jc w:val="left"/>
              <w:rPr>
                <w:sz w:val="16"/>
              </w:rPr>
            </w:pPr>
            <w:r>
              <w:rPr>
                <w:sz w:val="16"/>
              </w:rPr>
              <w:t>(F)</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16"/>
              </w:rPr>
            </w:pPr>
            <w:r>
              <w:rPr>
                <w:sz w:val="16"/>
              </w:rPr>
              <w:t>(27,999</w:t>
            </w:r>
          </w:p>
        </w:tc>
        <w:tc>
          <w:tcPr>
            <w:tcW w:w="135" w:type="dxa"/>
            <w:tcBorders/>
            <w:vAlign w:val="center"/>
          </w:tcPr>
          <w:p>
            <w:pPr>
              <w:pStyle w:val="TableContents"/>
              <w:bidi w:val="0"/>
              <w:spacing w:before="0" w:after="283"/>
              <w:ind w:left="0" w:right="0" w:hanging="180"/>
              <w:jc w:val="left"/>
              <w:rPr>
                <w:sz w:val="16"/>
              </w:rPr>
            </w:pPr>
            <w:r>
              <w:rPr>
                <w:sz w:val="16"/>
              </w:rPr>
              <w:t>)</w:t>
            </w:r>
          </w:p>
        </w:tc>
      </w:tr>
      <w:tr>
        <w:trPr/>
        <w:tc>
          <w:tcPr>
            <w:tcW w:w="1040" w:type="dxa"/>
            <w:tcBorders/>
            <w:shd w:fill="CCEEFF" w:val="clear"/>
            <w:vAlign w:val="center"/>
          </w:tcPr>
          <w:p>
            <w:pPr>
              <w:pStyle w:val="TableContents"/>
              <w:bidi w:val="0"/>
              <w:spacing w:before="0" w:after="283"/>
              <w:jc w:val="left"/>
              <w:rPr>
                <w:sz w:val="16"/>
              </w:rPr>
            </w:pPr>
            <w:r>
              <w:rPr>
                <w:sz w:val="16"/>
              </w:rPr>
              <w:t>Interest income</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36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16"/>
              </w:rPr>
            </w:pPr>
            <w:r>
              <w:rPr>
                <w:sz w:val="16"/>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36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16"/>
              </w:rPr>
            </w:pPr>
            <w:r>
              <w:rPr>
                <w:sz w:val="16"/>
              </w:rPr>
              <w:t>39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Other income (expense), net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9,347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320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320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9,684</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(15,745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110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(2,658</w:t>
            </w:r>
          </w:p>
        </w:tc>
        <w:tc>
          <w:tcPr>
            <w:tcW w:w="275"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(2,548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(1,269</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1,286</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(18,276</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40" w:type="dxa"/>
            <w:tcBorders/>
            <w:vAlign w:val="center"/>
          </w:tcPr>
          <w:p>
            <w:pPr>
              <w:pStyle w:val="TableContents"/>
              <w:bidi w:val="0"/>
              <w:spacing w:before="0" w:after="283"/>
              <w:jc w:val="left"/>
              <w:rPr>
                <w:sz w:val="16"/>
              </w:rPr>
            </w:pPr>
            <w:r>
              <w:rPr>
                <w:sz w:val="16"/>
              </w:rPr>
              <w:t>Loss from continuing operations before income taxes</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(42,676</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(6,588</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sz w:val="16"/>
              </w:rPr>
            </w:pPr>
            <w:r>
              <w:rPr>
                <w:sz w:val="16"/>
              </w:rPr>
              <w:t>(5,711</w:t>
            </w:r>
          </w:p>
        </w:tc>
        <w:tc>
          <w:tcPr>
            <w:tcW w:w="275"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(12,299</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(1,441</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(506</w:t>
            </w:r>
          </w:p>
        </w:tc>
        <w:tc>
          <w:tcPr>
            <w:tcW w:w="23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(1,947</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(56,922</w:t>
            </w:r>
          </w:p>
        </w:tc>
        <w:tc>
          <w:tcPr>
            <w:tcW w:w="135" w:type="dxa"/>
            <w:tcBorders/>
            <w:vAlign w:val="center"/>
          </w:tcPr>
          <w:p>
            <w:pPr>
              <w:pStyle w:val="TableContents"/>
              <w:bidi w:val="0"/>
              <w:spacing w:before="0" w:after="283"/>
              <w:ind w:left="0" w:right="0" w:hanging="180"/>
              <w:jc w:val="left"/>
              <w:rPr>
                <w:sz w:val="16"/>
              </w:rPr>
            </w:pPr>
            <w:r>
              <w:rPr>
                <w:sz w:val="16"/>
              </w:rPr>
              <w:t>)</w:t>
            </w:r>
          </w:p>
        </w:tc>
      </w:tr>
      <w:tr>
        <w:trPr/>
        <w:tc>
          <w:tcPr>
            <w:tcW w:w="1040" w:type="dxa"/>
            <w:tcBorders/>
            <w:shd w:fill="CCEEFF" w:val="clear"/>
            <w:vAlign w:val="center"/>
          </w:tcPr>
          <w:p>
            <w:pPr>
              <w:pStyle w:val="TableContents"/>
              <w:bidi w:val="0"/>
              <w:spacing w:before="0" w:after="283"/>
              <w:jc w:val="left"/>
              <w:rPr>
                <w:sz w:val="16"/>
              </w:rPr>
            </w:pPr>
            <w:r>
              <w:rPr>
                <w:sz w:val="16"/>
              </w:rPr>
              <w:t>Income tax (provision) benefit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(1,578</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40" w:type="dxa"/>
            <w:tcBorders/>
            <w:vAlign w:val="center"/>
          </w:tcPr>
          <w:p>
            <w:pPr>
              <w:pStyle w:val="TableContents"/>
              <w:bidi w:val="0"/>
              <w:spacing w:before="0" w:after="283"/>
              <w:jc w:val="left"/>
              <w:rPr>
                <w:sz w:val="16"/>
              </w:rPr>
            </w:pPr>
            <w:r>
              <w:rPr>
                <w:sz w:val="16"/>
              </w:rPr>
              <w:t>Net loss from continuing operations</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(44,254</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685" w:type="dxa"/>
            <w:tcBorders>
              <w:bottom w:val="double" w:sz="10" w:space="0" w:color="000000"/>
            </w:tcBorders>
            <w:tcMar>
              <w:bottom w:w="28" w:type="dxa"/>
            </w:tcMar>
            <w:vAlign w:val="center"/>
          </w:tcPr>
          <w:p>
            <w:pPr>
              <w:pStyle w:val="TableContents"/>
              <w:bidi w:val="0"/>
              <w:spacing w:before="0" w:after="283"/>
              <w:jc w:val="right"/>
              <w:rPr>
                <w:sz w:val="16"/>
              </w:rPr>
            </w:pPr>
            <w:r>
              <w:rPr>
                <w:sz w:val="16"/>
              </w:rPr>
              <w:t>(6,588</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804" w:type="dxa"/>
            <w:tcBorders>
              <w:bottom w:val="double" w:sz="10" w:space="0" w:color="000000"/>
            </w:tcBorders>
            <w:tcMar>
              <w:bottom w:w="28" w:type="dxa"/>
            </w:tcMar>
            <w:vAlign w:val="center"/>
          </w:tcPr>
          <w:p>
            <w:pPr>
              <w:pStyle w:val="TableContents"/>
              <w:bidi w:val="0"/>
              <w:spacing w:before="0" w:after="283"/>
              <w:jc w:val="right"/>
              <w:rPr>
                <w:sz w:val="16"/>
              </w:rPr>
            </w:pPr>
            <w:r>
              <w:rPr>
                <w:sz w:val="16"/>
              </w:rPr>
              <w:t>(5,711</w:t>
            </w:r>
          </w:p>
        </w:tc>
        <w:tc>
          <w:tcPr>
            <w:tcW w:w="275"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77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(12,299</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685" w:type="dxa"/>
            <w:tcBorders>
              <w:bottom w:val="double" w:sz="10" w:space="0" w:color="000000"/>
            </w:tcBorders>
            <w:tcMar>
              <w:bottom w:w="28" w:type="dxa"/>
            </w:tcMar>
            <w:vAlign w:val="center"/>
          </w:tcPr>
          <w:p>
            <w:pPr>
              <w:pStyle w:val="TableContents"/>
              <w:bidi w:val="0"/>
              <w:spacing w:before="0" w:after="283"/>
              <w:jc w:val="right"/>
              <w:rPr>
                <w:sz w:val="16"/>
              </w:rPr>
            </w:pPr>
            <w:r>
              <w:rPr>
                <w:sz w:val="16"/>
              </w:rPr>
              <w:t>(1,441</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149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(506</w:t>
            </w:r>
          </w:p>
        </w:tc>
        <w:tc>
          <w:tcPr>
            <w:tcW w:w="23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(1,947</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95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(58,500</w:t>
            </w:r>
          </w:p>
        </w:tc>
        <w:tc>
          <w:tcPr>
            <w:tcW w:w="135" w:type="dxa"/>
            <w:tcBorders/>
            <w:vAlign w:val="center"/>
          </w:tcPr>
          <w:p>
            <w:pPr>
              <w:pStyle w:val="TableContents"/>
              <w:bidi w:val="0"/>
              <w:spacing w:before="0" w:after="283"/>
              <w:ind w:left="0" w:right="0" w:hanging="180"/>
              <w:jc w:val="left"/>
              <w:rPr>
                <w:sz w:val="16"/>
              </w:rPr>
            </w:pPr>
            <w:r>
              <w:rPr>
                <w:sz w:val="16"/>
              </w:rPr>
              <w:t>)</w:t>
            </w:r>
          </w:p>
        </w:tc>
      </w:tr>
      <w:tr>
        <w:trPr/>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Net loss from continuing operations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(0.51</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pPr>
            <w:r>
              <w:rPr/>
              <w:t> </w:t>
            </w:r>
            <w:r>
              <w:rPr>
                <w:sz w:val="16"/>
              </w:rPr>
              <w:t>$</w:t>
            </w:r>
          </w:p>
        </w:tc>
        <w:tc>
          <w:tcPr>
            <w:tcW w:w="95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(0.56</w:t>
            </w:r>
          </w:p>
        </w:tc>
        <w:tc>
          <w:tcPr>
            <w:tcW w:w="135" w:type="dxa"/>
            <w:tcBorders/>
            <w:vAlign w:val="center"/>
          </w:tcPr>
          <w:p>
            <w:pPr>
              <w:pStyle w:val="TableContents"/>
              <w:bidi w:val="0"/>
              <w:spacing w:before="0" w:after="283"/>
              <w:ind w:left="0" w:right="0" w:hanging="180"/>
              <w:jc w:val="left"/>
              <w:rPr>
                <w:sz w:val="16"/>
              </w:rPr>
            </w:pPr>
            <w:r>
              <w:rPr>
                <w:sz w:val="16"/>
              </w:rPr>
              <w:t>)</w:t>
            </w:r>
          </w:p>
        </w:tc>
      </w:tr>
      <w:tr>
        <w:trPr/>
        <w:tc>
          <w:tcPr>
            <w:tcW w:w="1040" w:type="dxa"/>
            <w:tcBorders/>
            <w:shd w:fill="CCEEFF" w:val="clear"/>
            <w:vAlign w:val="center"/>
          </w:tcPr>
          <w:p>
            <w:pPr>
              <w:pStyle w:val="TableContents"/>
              <w:bidi w:val="0"/>
              <w:spacing w:before="0" w:after="283"/>
              <w:jc w:val="left"/>
              <w:rPr>
                <w:sz w:val="16"/>
              </w:rPr>
            </w:pPr>
            <w:r>
              <w:rPr>
                <w:sz w:val="16"/>
              </w:rPr>
              <w:t>Weighted average shares used to compute net loss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87,108,928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2,472,528</w:t>
            </w:r>
          </w:p>
        </w:tc>
        <w:tc>
          <w:tcPr>
            <w:tcW w:w="275" w:type="dxa"/>
            <w:tcBorders/>
            <w:shd w:fill="CCEEFF" w:val="clear"/>
            <w:vAlign w:val="center"/>
          </w:tcPr>
          <w:p>
            <w:pPr>
              <w:pStyle w:val="TableContents"/>
              <w:bidi w:val="0"/>
              <w:spacing w:before="0" w:after="283"/>
              <w:jc w:val="left"/>
              <w:rPr>
                <w:sz w:val="16"/>
              </w:rPr>
            </w:pPr>
            <w:r>
              <w:rPr>
                <w:sz w:val="16"/>
              </w:rPr>
              <w:t>(G)</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2,472,528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15,150,086</w:t>
            </w:r>
          </w:p>
        </w:tc>
        <w:tc>
          <w:tcPr>
            <w:tcW w:w="230" w:type="dxa"/>
            <w:tcBorders/>
            <w:shd w:fill="CCEEFF" w:val="clear"/>
            <w:vAlign w:val="center"/>
          </w:tcPr>
          <w:p>
            <w:pPr>
              <w:pStyle w:val="TableContents"/>
              <w:bidi w:val="0"/>
              <w:spacing w:before="0" w:after="283"/>
              <w:jc w:val="left"/>
              <w:rPr>
                <w:sz w:val="16"/>
              </w:rPr>
            </w:pPr>
            <w:r>
              <w:rPr>
                <w:sz w:val="16"/>
              </w:rPr>
              <w:t>(I)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15,150,086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104,731,542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pro forma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54" w:name="k_002"/>
      <w:bookmarkEnd w:id="54"/>
      <w:r>
        <w:rPr>
          <w:rFonts w:ascii="Times New Roman;Times;Serif" w:hAnsi="Times New Roman;Times;Serif"/>
          <w:b/>
          <w:i/>
          <w:caps w:val="false"/>
          <w:smallCaps w:val="false"/>
          <w:sz w:val="20"/>
        </w:rPr>
        <w:t>Notes to Unaudited Pro Forma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was prepared in accordance with Article 11 of Regulation S-X, and presents the pro forma results of operations of the Company based on the historical financial information of the Company, Sunder and Ambia after giving effect to the Acquisitions, the Financing, and reclassifications as set forth in the notes to the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reflect any management adjustments for expected effects of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Sunder and Ambia Acquisitions and the financing of the Sunder Acquisition had been consummated on January 1, 2025, the beginning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entered into a Membership Interest Purchase Agreement (“MIPA”) with Sunder Energy LLC (“Sunder” or “Sunder Acquisition”) and the seller, Chicken Parm Pizza LLC (“Seller/Member”), the sole member of Sunder. The acquisition of Sunder was completed in the Company’s third fiscal quarter on September 24, 2025, and the financial results of Sunder have been included in the Company’s unaudited condensed consolidated financial statements since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consideration is summarized as follows </w:t>
      </w:r>
      <w:r>
        <w:rPr>
          <w:rFonts w:ascii="Times New Roman;Times;Serif" w:hAnsi="Times New Roman;Times;Serif"/>
          <w:b w:val="false"/>
          <w:i/>
          <w:caps w:val="false"/>
          <w:smallCaps w:val="false"/>
          <w:sz w:val="20"/>
        </w:rPr>
        <w:t>(in thousands except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00"/>
        <w:gridCol w:w="90"/>
        <w:gridCol w:w="170"/>
        <w:gridCol w:w="710"/>
        <w:gridCol w:w="135"/>
      </w:tblGrid>
      <w:tr>
        <w:trPr/>
        <w:tc>
          <w:tcPr>
            <w:tcW w:w="9100" w:type="dxa"/>
            <w:tcBorders/>
            <w:vAlign w:val="center"/>
          </w:tcPr>
          <w:p>
            <w:pPr>
              <w:pStyle w:val="TableContents"/>
              <w:bidi w:val="0"/>
              <w:spacing w:before="0" w:after="283"/>
              <w:ind w:left="0" w:right="0" w:hanging="180"/>
              <w:jc w:val="left"/>
              <w:rPr>
                <w:b/>
              </w:rPr>
            </w:pPr>
            <w:r>
              <w:rPr>
                <w:b/>
              </w:rPr>
              <w:t>Consideration</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910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20,689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100" w:type="dxa"/>
            <w:tcBorders/>
            <w:vAlign w:val="center"/>
          </w:tcPr>
          <w:p>
            <w:pPr>
              <w:pStyle w:val="TableContents"/>
              <w:bidi w:val="0"/>
              <w:spacing w:before="0" w:after="283"/>
              <w:jc w:val="left"/>
              <w:rPr/>
            </w:pPr>
            <w:r>
              <w:rPr/>
              <w:t>Seller note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20,000</w:t>
            </w:r>
          </w:p>
        </w:tc>
        <w:tc>
          <w:tcPr>
            <w:tcW w:w="135" w:type="dxa"/>
            <w:tcBorders/>
            <w:vAlign w:val="center"/>
          </w:tcPr>
          <w:p>
            <w:pPr>
              <w:pStyle w:val="TableContents"/>
              <w:bidi w:val="0"/>
              <w:spacing w:before="0" w:after="283"/>
              <w:ind w:left="0" w:right="0" w:hanging="180"/>
              <w:jc w:val="left"/>
              <w:rPr/>
            </w:pPr>
            <w:r>
              <w:rPr/>
              <w:t> </w:t>
            </w:r>
          </w:p>
        </w:tc>
      </w:tr>
      <w:tr>
        <w:trPr/>
        <w:tc>
          <w:tcPr>
            <w:tcW w:w="9100" w:type="dxa"/>
            <w:tcBorders/>
            <w:shd w:fill="CCEEFF" w:val="clear"/>
            <w:vAlign w:val="center"/>
          </w:tcPr>
          <w:p>
            <w:pPr>
              <w:pStyle w:val="TableContents"/>
              <w:bidi w:val="0"/>
              <w:spacing w:before="0" w:after="283"/>
              <w:jc w:val="left"/>
              <w:rPr/>
            </w:pPr>
            <w:r>
              <w:rPr/>
              <w:t>3,333,334 shares of the Company’s common stock issued at Closing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5,700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100" w:type="dxa"/>
            <w:tcBorders/>
            <w:vAlign w:val="center"/>
          </w:tcPr>
          <w:p>
            <w:pPr>
              <w:pStyle w:val="TableContents"/>
              <w:bidi w:val="0"/>
              <w:spacing w:before="0" w:after="283"/>
              <w:jc w:val="left"/>
              <w:rPr/>
            </w:pPr>
            <w:r>
              <w:rPr/>
              <w:t>Contingent consideration arrangement – up to 6,666,666 shares of the Company’s common stock to be issued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11,400</w:t>
            </w:r>
          </w:p>
        </w:tc>
        <w:tc>
          <w:tcPr>
            <w:tcW w:w="135" w:type="dxa"/>
            <w:tcBorders/>
            <w:vAlign w:val="center"/>
          </w:tcPr>
          <w:p>
            <w:pPr>
              <w:pStyle w:val="TableContents"/>
              <w:bidi w:val="0"/>
              <w:spacing w:before="0" w:after="283"/>
              <w:ind w:left="0" w:right="0" w:hanging="180"/>
              <w:jc w:val="left"/>
              <w:rPr/>
            </w:pPr>
            <w:r>
              <w:rPr/>
              <w:t> </w:t>
            </w:r>
          </w:p>
        </w:tc>
      </w:tr>
      <w:tr>
        <w:trPr/>
        <w:tc>
          <w:tcPr>
            <w:tcW w:w="9100" w:type="dxa"/>
            <w:tcBorders/>
            <w:shd w:fill="CCEEFF" w:val="clear"/>
            <w:vAlign w:val="center"/>
          </w:tcPr>
          <w:p>
            <w:pPr>
              <w:pStyle w:val="TableContents"/>
              <w:bidi w:val="0"/>
              <w:spacing w:before="0" w:after="283"/>
              <w:jc w:val="left"/>
              <w:rPr/>
            </w:pPr>
            <w:r>
              <w:rPr/>
              <w:t>Fair value of total consideration transferred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assets acquired and liabilities assumed are based upon a provisional valuation of the assets acquired and liabilities assumed, and the Company’s estimates and assumptions are subject to change within the measurement period. Finalization of the fair values remains open for the components of working capital, identification and valuation of intangibles and allocation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4355"/>
        <w:gridCol w:w="90"/>
        <w:gridCol w:w="170"/>
        <w:gridCol w:w="785"/>
        <w:gridCol w:w="170"/>
      </w:tblGrid>
      <w:tr>
        <w:trPr/>
        <w:tc>
          <w:tcPr>
            <w:tcW w:w="4355" w:type="dxa"/>
            <w:tcBorders/>
            <w:vAlign w:val="center"/>
          </w:tcPr>
          <w:p>
            <w:pPr>
              <w:pStyle w:val="TableContents"/>
              <w:bidi w:val="0"/>
              <w:spacing w:before="0" w:after="283"/>
              <w:jc w:val="left"/>
              <w:rPr>
                <w:b/>
              </w:rPr>
            </w:pPr>
            <w:r>
              <w:rPr>
                <w:b/>
              </w:rPr>
              <w:t>Net assets acquired:</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797</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3,039</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241</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Operating lease 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313</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37,500</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(11,673</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(203</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(3,850</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(332</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Fair value of net tangible assets acquired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Goodwill recognized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31,822</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Consideration transferred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estimated consideration transferred over the fair value of the net tangible and intangible assets acquired that is associated with the excess cash flows that the acquisition is expected to generate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“Membership Interest Purchase Agreement”) with Ambia and Ambia Holdings, Inc., a Delaware corporation and the sole member of Ambia (“Ambia Holdings”).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Membership Interest Purchase Agreement (the “Ambia Closing”) on November 21, 2025. At the Ambia Closing, the Company acquired all of the outstanding membership interests of Ambia from Ambia Holdings for: (a) 10,243,924 shares (the “Ambia Closing Consideration Shares”) of common stock of the Company, issued at the Ambia Closing to Ambia Holdings; and (b) the agreement to issue an additional $9.375 million of shares of the Company’s common stock on each of the six-month anniversary of the Ambia Closing and the 12-month anniversary of the Ambia Closing (such additional shares of common stock, the “Deferred Ambia Consideration Shares”). The issuance of the Deferred Ambia Consideration Shares is subject to approval by the Company’s stockholders following the Closing in accordance with the rules and regulations of the Nasdaq Stock Market (including Nasdaq Listing Rule 5635(a)).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Membership Interest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closing share price for its common stock of $1.61 on November 21, 2025 was used to fair value the shares issued at the Ambia Closing.. The Fair value of contingent consideration was $16,879 as of December 28, 2025. The total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355"/>
        <w:gridCol w:w="90"/>
        <w:gridCol w:w="170"/>
        <w:gridCol w:w="710"/>
        <w:gridCol w:w="135"/>
      </w:tblGrid>
      <w:tr>
        <w:trPr/>
        <w:tc>
          <w:tcPr>
            <w:tcW w:w="7355" w:type="dxa"/>
            <w:tcBorders/>
            <w:vAlign w:val="center"/>
          </w:tcPr>
          <w:p>
            <w:pPr>
              <w:pStyle w:val="TableContents"/>
              <w:bidi w:val="0"/>
              <w:spacing w:before="0" w:after="283"/>
              <w:jc w:val="left"/>
              <w:rPr>
                <w:b/>
              </w:rPr>
            </w:pPr>
            <w:r>
              <w:rPr>
                <w:b/>
              </w:rPr>
              <w:t>Consideration</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7355" w:type="dxa"/>
            <w:tcBorders/>
            <w:shd w:fill="CCEEFF" w:val="clear"/>
            <w:vAlign w:val="center"/>
          </w:tcPr>
          <w:p>
            <w:pPr>
              <w:pStyle w:val="TableContents"/>
              <w:bidi w:val="0"/>
              <w:spacing w:before="0" w:after="283"/>
              <w:jc w:val="left"/>
              <w:rPr/>
            </w:pPr>
            <w:r>
              <w:rPr/>
              <w:t>10,243,924 shares of the Company’s common stock issued at Ambia Closing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16,493</w:t>
            </w:r>
          </w:p>
        </w:tc>
        <w:tc>
          <w:tcPr>
            <w:tcW w:w="135" w:type="dxa"/>
            <w:tcBorders/>
            <w:shd w:fill="CCEEFF" w:val="clear"/>
            <w:vAlign w:val="center"/>
          </w:tcPr>
          <w:p>
            <w:pPr>
              <w:pStyle w:val="TableContents"/>
              <w:bidi w:val="0"/>
              <w:spacing w:before="0" w:after="283"/>
              <w:jc w:val="left"/>
              <w:rPr/>
            </w:pPr>
            <w:r>
              <w:rPr/>
              <w:t> </w:t>
            </w:r>
          </w:p>
        </w:tc>
      </w:tr>
      <w:tr>
        <w:trPr/>
        <w:tc>
          <w:tcPr>
            <w:tcW w:w="7355" w:type="dxa"/>
            <w:tcBorders/>
            <w:vAlign w:val="center"/>
          </w:tcPr>
          <w:p>
            <w:pPr>
              <w:pStyle w:val="TableContents"/>
              <w:bidi w:val="0"/>
              <w:spacing w:before="0" w:after="283"/>
              <w:jc w:val="left"/>
              <w:rPr/>
            </w:pPr>
            <w:r>
              <w:rPr/>
              <w:t>Deferred Ambia Consideration Shares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16,879</w:t>
            </w:r>
          </w:p>
        </w:tc>
        <w:tc>
          <w:tcPr>
            <w:tcW w:w="135" w:type="dxa"/>
            <w:tcBorders/>
            <w:vAlign w:val="center"/>
          </w:tcPr>
          <w:p>
            <w:pPr>
              <w:pStyle w:val="TableContents"/>
              <w:bidi w:val="0"/>
              <w:spacing w:before="0" w:after="283"/>
              <w:jc w:val="left"/>
              <w:rPr/>
            </w:pPr>
            <w:r>
              <w:rPr/>
              <w:t> </w:t>
            </w:r>
          </w:p>
        </w:tc>
      </w:tr>
      <w:tr>
        <w:trPr/>
        <w:tc>
          <w:tcPr>
            <w:tcW w:w="7355" w:type="dxa"/>
            <w:tcBorders/>
            <w:shd w:fill="CCEEFF" w:val="clear"/>
            <w:vAlign w:val="center"/>
          </w:tcPr>
          <w:p>
            <w:pPr>
              <w:pStyle w:val="TableContents"/>
              <w:bidi w:val="0"/>
              <w:spacing w:before="0" w:after="283"/>
              <w:jc w:val="left"/>
              <w:rPr/>
            </w:pPr>
            <w:r>
              <w:rPr/>
              <w:t>Fair value of total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33,372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4220"/>
        <w:gridCol w:w="90"/>
        <w:gridCol w:w="155"/>
        <w:gridCol w:w="620"/>
        <w:gridCol w:w="155"/>
      </w:tblGrid>
      <w:tr>
        <w:trPr/>
        <w:tc>
          <w:tcPr>
            <w:tcW w:w="42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Provisional fair value of net assets acquired:</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1,368</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2,563</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assets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(2,806</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(2,702</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net tangible assets acquired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2,564</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Fair value of common stock issued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Fair value of Deferred Ambia Consideration Shares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 recognized</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30,808</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Consideration transferred</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of the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Sunder was financed as follows: (i) on September 21, 2025, the Company issued $22.0 million of 7% senior unsecured convertible notes (the “September 2025 Notes”), (ii) at closing on September 24, 2025, the Company issued a $20.0 million note to the sellers of Sunder (the “Seller Note”) and (iii) also at closing the Company agreed to issue 10.0 million shares of the Company’s stock which had a fair value of $17.1 million at the closing date of the 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Notes were issued pursuant to an Indenture agreement with U.S. Bank Trust Company, National Association, as trustee (the “Indenture”). The September 2025 Notes issued under the Indenture bear interest at 7.0% per annum, and the interest is payable semiannually in arrears on January 1 and July 1 of each year beginning on January 1, 2025. The principal is payable in full at maturity on July 1, 2029. The September 2025 Notes are convertible into shares of the Company’s common stock at the option of the holder at a conversion rate of $2.14 per common share. Holders of the September 2025 Notes may convert at any time. The September 2025 Notes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Company concluded that since the sellers joined the Company and have a level of influence that is not insignificant, they are related parties of the Company and therefore the Seller Note is a related party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Sunder Acquisition was also financed through the issuance of shares of the Company’s common stock. The Company agreed to issue 10.0 million shares of the Company’s common stock (valued at the closing share price on September 24, 2025, of $1.71 per share). At closing the Company issued 3,333,334 shares of the Company’s common stock and subject to approval of such issuances by the Company’s stockholders, the Company will issue an additional 3,333,333 shares of the Company’s common stock to be issued on the 12-month anniversary of the Closing and (y) 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transaction adjustments within the pro forma results of operations for the year ended December 28, 2025 present the shares of common stock issuable in connection with the Sunder acquisition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Ambia Acquisition was consummated through the issuance of shares of the Company’s common stock. At the Ambia Closing the Company paid initial consideration through the issuance of 10,243,924 shares of the Company’s common stock, a non-cash transaction. The Deferred Ambia Consideration Shares will also be paid in shares of the Company’s common stock.</w:t>
      </w:r>
    </w:p>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215"/>
        <w:gridCol w:w="492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49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Sunder Year to Date Results through September 23, 2025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September 23, 2025 were derived from the unaudited financial statements for the six months ended June 30, 2025 and interim results of operations for the period from July 1, 2025 through September 23,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134" w:type="dxa"/>
        <w:jc w:val="left"/>
        <w:tblInd w:w="0" w:type="dxa"/>
        <w:tblLayout w:type="fixed"/>
        <w:tblCellMar>
          <w:top w:w="0" w:type="dxa"/>
          <w:left w:w="0" w:type="dxa"/>
          <w:bottom w:w="0" w:type="dxa"/>
          <w:right w:w="0" w:type="dxa"/>
        </w:tblCellMar>
      </w:tblPr>
      <w:tblGrid>
        <w:gridCol w:w="3230"/>
        <w:gridCol w:w="90"/>
        <w:gridCol w:w="232"/>
        <w:gridCol w:w="972"/>
        <w:gridCol w:w="125"/>
        <w:gridCol w:w="90"/>
        <w:gridCol w:w="290"/>
        <w:gridCol w:w="1215"/>
        <w:gridCol w:w="125"/>
        <w:gridCol w:w="90"/>
        <w:gridCol w:w="290"/>
        <w:gridCol w:w="1215"/>
        <w:gridCol w:w="170"/>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Ended </w:t>
              <w:b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1, 2025</w:t>
              <w:br/>
              <w:t xml:space="preserve">thru </w:t>
              <w:br/>
              <w:t>September 23,</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September 23,</w:t>
              <w:br/>
              <w:t>2025</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40,012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16,072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56,084</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33,339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12,276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45,615</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771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480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1,251</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4,458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15,916</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tcMar>
              <w:bottom w:w="28" w:type="dxa"/>
            </w:tcMar>
            <w:vAlign w:val="center"/>
          </w:tcPr>
          <w:p>
            <w:pPr>
              <w:pStyle w:val="TableContents"/>
              <w:bidi w:val="0"/>
              <w:spacing w:before="0" w:after="283"/>
              <w:jc w:val="right"/>
              <w:rPr/>
            </w:pPr>
            <w:r>
              <w:rPr/>
              <w:t>45,568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17,214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62,782</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(1,142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(6,698</w:t>
            </w:r>
          </w:p>
        </w:tc>
        <w:tc>
          <w:tcPr>
            <w:tcW w:w="170"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(168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(246</w:t>
            </w:r>
          </w:p>
        </w:tc>
        <w:tc>
          <w:tcPr>
            <w:tcW w:w="170"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36</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tcMar>
              <w:bottom w:w="28" w:type="dxa"/>
            </w:tcMar>
            <w:vAlign w:val="center"/>
          </w:tcPr>
          <w:p>
            <w:pPr>
              <w:pStyle w:val="TableContents"/>
              <w:bidi w:val="0"/>
              <w:spacing w:before="0" w:after="283"/>
              <w:jc w:val="right"/>
              <w:rPr/>
            </w:pPr>
            <w:r>
              <w:rPr/>
              <w:t>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310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320</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235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Loss from before income taxes</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(5,681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(907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(6,588</w:t>
            </w:r>
          </w:p>
        </w:tc>
        <w:tc>
          <w:tcPr>
            <w:tcW w:w="170"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Income tax (provision) benefit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32" w:type="dxa"/>
            <w:tcBorders>
              <w:bottom w:val="double" w:sz="10" w:space="0" w:color="000000"/>
            </w:tcBorders>
            <w:tcMar>
              <w:bottom w:w="28" w:type="dxa"/>
            </w:tcMar>
            <w:vAlign w:val="center"/>
          </w:tcPr>
          <w:p>
            <w:pPr>
              <w:pStyle w:val="TableContents"/>
              <w:bidi w:val="0"/>
              <w:spacing w:before="0" w:after="283"/>
              <w:jc w:val="left"/>
              <w:rPr/>
            </w:pPr>
            <w:r>
              <w:rPr/>
              <w:t>$</w:t>
            </w:r>
          </w:p>
        </w:tc>
        <w:tc>
          <w:tcPr>
            <w:tcW w:w="972" w:type="dxa"/>
            <w:tcBorders>
              <w:bottom w:val="double" w:sz="10" w:space="0" w:color="000000"/>
            </w:tcBorders>
            <w:tcMar>
              <w:bottom w:w="28" w:type="dxa"/>
            </w:tcMar>
            <w:vAlign w:val="center"/>
          </w:tcPr>
          <w:p>
            <w:pPr>
              <w:pStyle w:val="TableContents"/>
              <w:bidi w:val="0"/>
              <w:spacing w:before="0" w:after="283"/>
              <w:jc w:val="right"/>
              <w:rPr/>
            </w:pPr>
            <w:r>
              <w:rPr/>
              <w:t>(5,681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(907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(6,588</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Ambia Year to Date results through November 20,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November 20, 2025 were derived from the unaudited financial statements for the nine months ended September 30, 2025 and interim results of operations for the period from October 1, 2025 through November 20,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374" w:type="dxa"/>
        <w:jc w:val="left"/>
        <w:tblInd w:w="0" w:type="dxa"/>
        <w:tblLayout w:type="fixed"/>
        <w:tblCellMar>
          <w:top w:w="0" w:type="dxa"/>
          <w:left w:w="0" w:type="dxa"/>
          <w:bottom w:w="0" w:type="dxa"/>
          <w:right w:w="0" w:type="dxa"/>
        </w:tblCellMar>
      </w:tblPr>
      <w:tblGrid>
        <w:gridCol w:w="3230"/>
        <w:gridCol w:w="90"/>
        <w:gridCol w:w="290"/>
        <w:gridCol w:w="1214"/>
        <w:gridCol w:w="125"/>
        <w:gridCol w:w="90"/>
        <w:gridCol w:w="284"/>
        <w:gridCol w:w="1191"/>
        <w:gridCol w:w="125"/>
        <w:gridCol w:w="90"/>
        <w:gridCol w:w="284"/>
        <w:gridCol w:w="1191"/>
        <w:gridCol w:w="170"/>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 xml:space="preserve">Ended </w:t>
              <w:br/>
              <w:t>September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 1, 2025</w:t>
              <w:br/>
              <w:t xml:space="preserve">thru </w:t>
              <w:br/>
              <w:t>November 20,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November 20,</w:t>
              <w:br/>
              <w:t>2025</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61,076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12,528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73,604</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32,622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6,259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38,881</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28,454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6,269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34,723</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16,003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2,810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18,813</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128</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10,845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3,134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13,979</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Rent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1,038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300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1,338</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495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142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637</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tcMar>
              <w:bottom w:w="28" w:type="dxa"/>
            </w:tcMar>
            <w:vAlign w:val="center"/>
          </w:tcPr>
          <w:p>
            <w:pPr>
              <w:pStyle w:val="TableContents"/>
              <w:bidi w:val="0"/>
              <w:spacing w:before="0" w:after="283"/>
              <w:jc w:val="right"/>
              <w:rPr/>
            </w:pPr>
            <w:r>
              <w:rPr/>
              <w:t>28,381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tcMar>
              <w:bottom w:w="28" w:type="dxa"/>
            </w:tcMar>
            <w:vAlign w:val="center"/>
          </w:tcPr>
          <w:p>
            <w:pPr>
              <w:pStyle w:val="TableContents"/>
              <w:bidi w:val="0"/>
              <w:spacing w:before="0" w:after="283"/>
              <w:jc w:val="right"/>
              <w:rPr/>
            </w:pPr>
            <w:r>
              <w:rPr/>
              <w:t>6,514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tcMar>
              <w:bottom w:w="28" w:type="dxa"/>
            </w:tcMar>
            <w:vAlign w:val="center"/>
          </w:tcPr>
          <w:p>
            <w:pPr>
              <w:pStyle w:val="TableContents"/>
              <w:bidi w:val="0"/>
              <w:spacing w:before="0" w:after="283"/>
              <w:jc w:val="right"/>
              <w:rPr/>
            </w:pPr>
            <w:r>
              <w:rPr/>
              <w:t>34,895</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(245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170"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(1,286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(1,286</w:t>
            </w:r>
          </w:p>
        </w:tc>
        <w:tc>
          <w:tcPr>
            <w:tcW w:w="170"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tcMar>
              <w:bottom w:w="28" w:type="dxa"/>
            </w:tcMar>
            <w:vAlign w:val="center"/>
          </w:tcPr>
          <w:p>
            <w:pPr>
              <w:pStyle w:val="TableContents"/>
              <w:bidi w:val="0"/>
              <w:spacing w:before="0" w:after="283"/>
              <w:jc w:val="right"/>
              <w:rPr/>
            </w:pPr>
            <w:r>
              <w:rPr/>
              <w:t>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tcMar>
              <w:bottom w:w="28" w:type="dxa"/>
            </w:tcMar>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70"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Loss from before income taxes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(1,196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(245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(1,441</w:t>
            </w:r>
          </w:p>
        </w:tc>
        <w:tc>
          <w:tcPr>
            <w:tcW w:w="170"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Income tax (provision) benefit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4" w:type="dxa"/>
            <w:tcBorders>
              <w:bottom w:val="double" w:sz="10" w:space="0" w:color="000000"/>
            </w:tcBorders>
            <w:tcMar>
              <w:bottom w:w="28" w:type="dxa"/>
            </w:tcMar>
            <w:vAlign w:val="center"/>
          </w:tcPr>
          <w:p>
            <w:pPr>
              <w:pStyle w:val="TableContents"/>
              <w:bidi w:val="0"/>
              <w:spacing w:before="0" w:after="283"/>
              <w:jc w:val="right"/>
              <w:rPr/>
            </w:pPr>
            <w:r>
              <w:rPr/>
              <w:t>(1,196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4" w:type="dxa"/>
            <w:tcBorders>
              <w:bottom w:val="double" w:sz="10" w:space="0" w:color="000000"/>
            </w:tcBorders>
            <w:tcMar>
              <w:bottom w:w="28" w:type="dxa"/>
            </w:tcMar>
            <w:vAlign w:val="center"/>
          </w:tcPr>
          <w:p>
            <w:pPr>
              <w:pStyle w:val="TableContents"/>
              <w:bidi w:val="0"/>
              <w:spacing w:before="0" w:after="283"/>
              <w:jc w:val="left"/>
              <w:rPr/>
            </w:pPr>
            <w:r>
              <w:rPr/>
              <w:t>$</w:t>
            </w:r>
          </w:p>
        </w:tc>
        <w:tc>
          <w:tcPr>
            <w:tcW w:w="1191" w:type="dxa"/>
            <w:tcBorders>
              <w:bottom w:val="double" w:sz="10" w:space="0" w:color="000000"/>
            </w:tcBorders>
            <w:tcMar>
              <w:bottom w:w="28" w:type="dxa"/>
            </w:tcMar>
            <w:vAlign w:val="center"/>
          </w:tcPr>
          <w:p>
            <w:pPr>
              <w:pStyle w:val="TableContents"/>
              <w:bidi w:val="0"/>
              <w:spacing w:before="0" w:after="283"/>
              <w:jc w:val="right"/>
              <w:rPr/>
            </w:pPr>
            <w:r>
              <w:rPr/>
              <w:t>(245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4" w:type="dxa"/>
            <w:tcBorders>
              <w:bottom w:val="double" w:sz="10" w:space="0" w:color="000000"/>
            </w:tcBorders>
            <w:tcMar>
              <w:bottom w:w="28" w:type="dxa"/>
            </w:tcMar>
            <w:vAlign w:val="center"/>
          </w:tcPr>
          <w:p>
            <w:pPr>
              <w:pStyle w:val="TableContents"/>
              <w:bidi w:val="0"/>
              <w:spacing w:before="0" w:after="283"/>
              <w:jc w:val="left"/>
              <w:rPr/>
            </w:pPr>
            <w:r>
              <w:rPr/>
              <w:t>$</w:t>
            </w:r>
          </w:p>
        </w:tc>
        <w:tc>
          <w:tcPr>
            <w:tcW w:w="1191" w:type="dxa"/>
            <w:tcBorders>
              <w:bottom w:val="double" w:sz="10" w:space="0" w:color="000000"/>
            </w:tcBorders>
            <w:tcMar>
              <w:bottom w:w="28" w:type="dxa"/>
            </w:tcMar>
            <w:vAlign w:val="center"/>
          </w:tcPr>
          <w:p>
            <w:pPr>
              <w:pStyle w:val="TableContents"/>
              <w:bidi w:val="0"/>
              <w:spacing w:before="0" w:after="283"/>
              <w:jc w:val="right"/>
              <w:rPr/>
            </w:pPr>
            <w:r>
              <w:rPr/>
              <w:t>(1,441</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15"/>
        <w:gridCol w:w="605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0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Unaudited Pro Forma Combined Statements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combined statements of operations for the year ended December 28, 2025, are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Sunder intangibles acquired and their useful lives were as follows </w:t>
            </w:r>
            <w:r>
              <w:rPr>
                <w:rFonts w:ascii="Times New Roman;Times;Serif" w:hAnsi="Times New Roman;Times;Serif"/>
                <w:i/>
                <w:sz w:val="20"/>
              </w:rPr>
              <w:t>(in thousands):</w:t>
            </w:r>
          </w:p>
        </w:tc>
      </w:tr>
    </w:tbl>
    <w:p>
      <w:pPr>
        <w:pStyle w:val="TextBody"/>
        <w:bidi w:val="0"/>
        <w:spacing w:before="0" w:after="0"/>
        <w:ind w:left="0" w:right="0" w:hanging="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2660"/>
        <w:gridCol w:w="90"/>
        <w:gridCol w:w="1070"/>
        <w:gridCol w:w="90"/>
        <w:gridCol w:w="171"/>
        <w:gridCol w:w="719"/>
        <w:gridCol w:w="135"/>
      </w:tblGrid>
      <w:tr>
        <w:trPr/>
        <w:tc>
          <w:tcPr>
            <w:tcW w:w="26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both"/>
              <w:rPr/>
            </w:pPr>
            <w:r>
              <w:rPr/>
              <w:t>Customer related intangible</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10 year</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30,600</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both"/>
              <w:rPr/>
            </w:pPr>
            <w:r>
              <w:rPr/>
              <w:t>Trademark</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10 years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6,100</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both"/>
              <w:rPr/>
            </w:pPr>
            <w:r>
              <w:rPr/>
              <w:t>Developed technology</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2 years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rPr/>
            </w:pPr>
            <w:r>
              <w:rPr/>
              <w:t>800</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both"/>
              <w:rPr/>
            </w:pPr>
            <w:r>
              <w:rPr/>
              <w:t>Intangible assets acquired</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1" w:type="dxa"/>
            <w:tcBorders>
              <w:bottom w:val="double" w:sz="10" w:space="0" w:color="000000"/>
            </w:tcBorders>
            <w:tcMar>
              <w:bottom w:w="28" w:type="dxa"/>
            </w:tcMar>
            <w:vAlign w:val="center"/>
          </w:tcPr>
          <w:p>
            <w:pPr>
              <w:pStyle w:val="TableContents"/>
              <w:bidi w:val="0"/>
              <w:spacing w:before="0" w:after="283"/>
              <w:jc w:val="left"/>
              <w:rPr/>
            </w:pPr>
            <w:r>
              <w:rPr/>
              <w:t>$</w:t>
            </w:r>
          </w:p>
        </w:tc>
        <w:tc>
          <w:tcPr>
            <w:tcW w:w="719" w:type="dxa"/>
            <w:tcBorders>
              <w:bottom w:val="double" w:sz="10" w:space="0" w:color="000000"/>
            </w:tcBorders>
            <w:tcMar>
              <w:bottom w:w="28" w:type="dxa"/>
            </w:tcMar>
            <w:vAlign w:val="center"/>
          </w:tcPr>
          <w:p>
            <w:pPr>
              <w:pStyle w:val="TableContents"/>
              <w:bidi w:val="0"/>
              <w:spacing w:before="0" w:after="283"/>
              <w:jc w:val="right"/>
              <w:rPr/>
            </w:pPr>
            <w:r>
              <w:rPr/>
              <w:t>37,500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September 23,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5015"/>
        <w:gridCol w:w="90"/>
        <w:gridCol w:w="180"/>
        <w:gridCol w:w="1325"/>
        <w:gridCol w:w="135"/>
      </w:tblGrid>
      <w:tr>
        <w:trPr/>
        <w:tc>
          <w:tcPr>
            <w:tcW w:w="50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Year-to-date</w:t>
              <w:br/>
              <w:t>Through</w:t>
            </w:r>
          </w:p>
        </w:tc>
        <w:tc>
          <w:tcPr>
            <w:tcW w:w="13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23,</w:t>
              <w:br/>
              <w:t>2025</w:t>
            </w:r>
          </w:p>
        </w:tc>
        <w:tc>
          <w:tcPr>
            <w:tcW w:w="135"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both"/>
              <w:rPr/>
            </w:pPr>
            <w:r>
              <w:rPr/>
              <w:t>Customer related intangible</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           </w:t>
            </w:r>
            <w:r>
              <w:rPr/>
              <w:t>2,295</w:t>
            </w:r>
          </w:p>
        </w:tc>
        <w:tc>
          <w:tcPr>
            <w:tcW w:w="135" w:type="dxa"/>
            <w:tcBorders/>
            <w:shd w:fill="CCEEFF" w:val="clear"/>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both"/>
              <w:rPr/>
            </w:pPr>
            <w:r>
              <w:rPr/>
              <w:t>Trademark</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458</w:t>
            </w:r>
          </w:p>
        </w:tc>
        <w:tc>
          <w:tcPr>
            <w:tcW w:w="135"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both"/>
              <w:rPr/>
            </w:pPr>
            <w:r>
              <w:rPr/>
              <w:t>Developed technology</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300</w:t>
            </w:r>
          </w:p>
        </w:tc>
        <w:tc>
          <w:tcPr>
            <w:tcW w:w="135" w:type="dxa"/>
            <w:tcBorders/>
            <w:shd w:fill="CCEEFF" w:val="clear"/>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both"/>
              <w:rPr/>
            </w:pPr>
            <w:r>
              <w:rPr/>
              <w:t>Total pro forma amortization expense</w:t>
            </w:r>
          </w:p>
        </w:tc>
        <w:tc>
          <w:tcPr>
            <w:tcW w:w="90" w:type="dxa"/>
            <w:tcBorders/>
            <w:vAlign w:val="center"/>
          </w:tcPr>
          <w:p>
            <w:pPr>
              <w:pStyle w:val="TableContents"/>
              <w:bidi w:val="0"/>
              <w:spacing w:before="0" w:after="283"/>
              <w:jc w:val="left"/>
              <w:rPr/>
            </w:pPr>
            <w:r>
              <w:rPr/>
              <w:t> </w:t>
            </w:r>
          </w:p>
        </w:tc>
        <w:tc>
          <w:tcPr>
            <w:tcW w:w="18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3,052</w:t>
            </w:r>
          </w:p>
        </w:tc>
        <w:tc>
          <w:tcPr>
            <w:tcW w:w="135"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both"/>
              <w:rPr/>
            </w:pPr>
            <w:r>
              <w:rPr/>
              <w:t>Classified within cost of revenues</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300</w:t>
            </w:r>
          </w:p>
        </w:tc>
        <w:tc>
          <w:tcPr>
            <w:tcW w:w="135" w:type="dxa"/>
            <w:tcBorders/>
            <w:shd w:fill="CCEEFF" w:val="clear"/>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both"/>
              <w:rPr/>
            </w:pPr>
            <w:r>
              <w:rPr/>
              <w:t>Classified within general and administrative expense</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2,752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estimates of intangible assets’ fair values and useful lives are provisional and subject to change upon finalization of the fair values of the assets acquired.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Ambia intangibles acquired and their useful lives were as follows </w:t>
            </w:r>
            <w:r>
              <w:rPr>
                <w:rFonts w:ascii="Times New Roman;Times;Serif" w:hAnsi="Times New Roman;Times;Serif"/>
                <w:i/>
                <w:sz w:val="20"/>
              </w:rPr>
              <w:t>(in thousands):</w:t>
            </w:r>
          </w:p>
        </w:tc>
      </w:tr>
    </w:tbl>
    <w:p>
      <w:pPr>
        <w:pStyle w:val="TextBody"/>
        <w:bidi w:val="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2660"/>
        <w:gridCol w:w="90"/>
        <w:gridCol w:w="1070"/>
        <w:gridCol w:w="90"/>
        <w:gridCol w:w="199"/>
        <w:gridCol w:w="691"/>
        <w:gridCol w:w="135"/>
      </w:tblGrid>
      <w:tr>
        <w:trPr/>
        <w:tc>
          <w:tcPr>
            <w:tcW w:w="26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both"/>
              <w:rPr/>
            </w:pPr>
            <w:r>
              <w:rPr/>
              <w:t>Customer related intangible</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1 year</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3,400</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both"/>
              <w:rPr/>
            </w:pPr>
            <w:r>
              <w:rPr/>
              <w:t>Trademark</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1 year</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900</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both"/>
              <w:rPr/>
            </w:pPr>
            <w:r>
              <w:rPr/>
              <w:t>Developed technology</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both"/>
              <w:rPr/>
            </w:pPr>
            <w:r>
              <w:rPr/>
              <w:t>Intangible assets acquired</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4,300</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November 20,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844" w:type="dxa"/>
        <w:jc w:val="left"/>
        <w:tblInd w:w="0" w:type="dxa"/>
        <w:tblLayout w:type="fixed"/>
        <w:tblCellMar>
          <w:top w:w="0" w:type="dxa"/>
          <w:left w:w="0" w:type="dxa"/>
          <w:bottom w:w="0" w:type="dxa"/>
          <w:right w:w="0" w:type="dxa"/>
        </w:tblCellMar>
      </w:tblPr>
      <w:tblGrid>
        <w:gridCol w:w="3605"/>
        <w:gridCol w:w="90"/>
        <w:gridCol w:w="449"/>
        <w:gridCol w:w="1565"/>
        <w:gridCol w:w="135"/>
      </w:tblGrid>
      <w:tr>
        <w:trPr/>
        <w:tc>
          <w:tcPr>
            <w:tcW w:w="36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Year-to-date</w:t>
              <w:br/>
              <w:t>Through</w:t>
            </w:r>
          </w:p>
        </w:tc>
        <w:tc>
          <w:tcPr>
            <w:tcW w:w="13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November 20, 2025</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both"/>
              <w:rPr/>
            </w:pPr>
            <w:r>
              <w:rPr/>
              <w:t>Customer related intangible</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967</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pPr>
            <w:r>
              <w:rPr/>
              <w:t>Trademark</w:t>
            </w:r>
          </w:p>
        </w:tc>
        <w:tc>
          <w:tcPr>
            <w:tcW w:w="90" w:type="dxa"/>
            <w:tcBorders/>
            <w:vAlign w:val="center"/>
          </w:tcPr>
          <w:p>
            <w:pPr>
              <w:pStyle w:val="TableContents"/>
              <w:bidi w:val="0"/>
              <w:spacing w:before="0" w:after="283"/>
              <w:jc w:val="left"/>
              <w:rPr/>
            </w:pPr>
            <w:r>
              <w:rPr/>
              <w:t> </w:t>
            </w:r>
          </w:p>
        </w:tc>
        <w:tc>
          <w:tcPr>
            <w:tcW w:w="4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565" w:type="dxa"/>
            <w:tcBorders>
              <w:bottom w:val="single" w:sz="12" w:space="0" w:color="000000"/>
            </w:tcBorders>
            <w:tcMar>
              <w:bottom w:w="28" w:type="dxa"/>
            </w:tcMar>
            <w:vAlign w:val="center"/>
          </w:tcPr>
          <w:p>
            <w:pPr>
              <w:pStyle w:val="TableContents"/>
              <w:bidi w:val="0"/>
              <w:spacing w:before="0" w:after="283"/>
              <w:jc w:val="right"/>
              <w:rPr/>
            </w:pPr>
            <w:r>
              <w:rPr/>
              <w:t>825</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both"/>
              <w:rPr/>
            </w:pPr>
            <w:r>
              <w:rPr/>
              <w:t>Total pro forma amortization expense</w:t>
            </w:r>
          </w:p>
        </w:tc>
        <w:tc>
          <w:tcPr>
            <w:tcW w:w="90" w:type="dxa"/>
            <w:tcBorders/>
            <w:shd w:fill="CCEEFF" w:val="clear"/>
            <w:vAlign w:val="center"/>
          </w:tcPr>
          <w:p>
            <w:pPr>
              <w:pStyle w:val="TableContents"/>
              <w:bidi w:val="0"/>
              <w:spacing w:before="0" w:after="283"/>
              <w:jc w:val="left"/>
              <w:rPr/>
            </w:pPr>
            <w:r>
              <w:rPr/>
              <w:t> </w:t>
            </w:r>
          </w:p>
        </w:tc>
        <w:tc>
          <w:tcPr>
            <w:tcW w:w="4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65" w:type="dxa"/>
            <w:tcBorders>
              <w:bottom w:val="double" w:sz="10" w:space="0" w:color="000000"/>
            </w:tcBorders>
            <w:shd w:fill="CCEEFF" w:val="clear"/>
            <w:tcMar>
              <w:bottom w:w="28" w:type="dxa"/>
            </w:tcMar>
            <w:vAlign w:val="center"/>
          </w:tcPr>
          <w:p>
            <w:pPr>
              <w:pStyle w:val="TableContents"/>
              <w:bidi w:val="0"/>
              <w:spacing w:before="0" w:after="283"/>
              <w:jc w:val="right"/>
              <w:rPr/>
            </w:pPr>
            <w:r>
              <w:rPr/>
              <w:t>1,792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F-183</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5"/>
        <w:gridCol w:w="988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Transaction adjustment reflects (i) the impact of interest expense and amortization of debt issuance costs arising from the September 2025 Notes issued in connection with the acquisition of Sunder, assuming the September 2025 Notes were issued on January 1, 2025 and (ii) the impact of interest expense arising from the $20.0 million Seller Note issued in connection with the acquisition of Sunder, assuming the Seller Note was issued on January 1, 2025. The components of pro forma interest and amortization of debt issuance costs are as follows </w:t>
            </w:r>
            <w:r>
              <w:rPr>
                <w:rFonts w:ascii="Times New Roman;Times;Serif" w:hAnsi="Times New Roman;Times;Serif"/>
                <w:i/>
                <w:sz w:val="20"/>
              </w:rPr>
              <w:t>(in thousands):</w:t>
            </w:r>
          </w:p>
        </w:tc>
      </w:tr>
    </w:tbl>
    <w:p>
      <w:pPr>
        <w:pStyle w:val="TextBody"/>
        <w:bidi w:val="0"/>
        <w:spacing w:before="0" w:after="0"/>
        <w:ind w:left="0" w:right="0" w:hanging="0"/>
        <w:jc w:val="left"/>
        <w:rPr>
          <w:caps w:val="false"/>
          <w:smallCaps w:val="false"/>
        </w:rPr>
      </w:pPr>
      <w:r>
        <w:rPr>
          <w:caps w:val="false"/>
          <w:smallCaps w:val="false"/>
        </w:rPr>
        <w:t> </w:t>
      </w:r>
    </w:p>
    <w:tbl>
      <w:tblPr>
        <w:tblW w:w="4899" w:type="dxa"/>
        <w:jc w:val="left"/>
        <w:tblInd w:w="0" w:type="dxa"/>
        <w:tblLayout w:type="fixed"/>
        <w:tblCellMar>
          <w:top w:w="0" w:type="dxa"/>
          <w:left w:w="0" w:type="dxa"/>
          <w:bottom w:w="0" w:type="dxa"/>
          <w:right w:w="0" w:type="dxa"/>
        </w:tblCellMar>
      </w:tblPr>
      <w:tblGrid>
        <w:gridCol w:w="3110"/>
        <w:gridCol w:w="90"/>
        <w:gridCol w:w="349"/>
        <w:gridCol w:w="1215"/>
        <w:gridCol w:w="135"/>
      </w:tblGrid>
      <w:tr>
        <w:trPr/>
        <w:tc>
          <w:tcPr>
            <w:tcW w:w="3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center"/>
              <w:rPr>
                <w:b/>
              </w:rPr>
            </w:pPr>
            <w:r>
              <w:rPr>
                <w:b/>
              </w:rPr>
              <w:t>Year-to-date</w:t>
              <w:br/>
              <w:t>Through</w:t>
            </w:r>
          </w:p>
        </w:tc>
        <w:tc>
          <w:tcPr>
            <w:tcW w:w="1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23, </w:t>
              <w:br/>
              <w:t>2025</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September 2025 Notes</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1,019</w:t>
            </w:r>
          </w:p>
        </w:tc>
        <w:tc>
          <w:tcPr>
            <w:tcW w:w="13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Seller Note</w:t>
            </w:r>
          </w:p>
        </w:tc>
        <w:tc>
          <w:tcPr>
            <w:tcW w:w="90" w:type="dxa"/>
            <w:tcBorders/>
            <w:vAlign w:val="center"/>
          </w:tcPr>
          <w:p>
            <w:pPr>
              <w:pStyle w:val="TableContents"/>
              <w:bidi w:val="0"/>
              <w:spacing w:before="0" w:after="283"/>
              <w:jc w:val="left"/>
              <w:rPr/>
            </w:pPr>
            <w:r>
              <w:rPr/>
              <w:t> </w:t>
            </w:r>
          </w:p>
        </w:tc>
        <w:tc>
          <w:tcPr>
            <w:tcW w:w="3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1,885</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Total pro forma interest expense</w:t>
            </w:r>
          </w:p>
        </w:tc>
        <w:tc>
          <w:tcPr>
            <w:tcW w:w="90" w:type="dxa"/>
            <w:tcBorders/>
            <w:shd w:fill="CCEEFF" w:val="clear"/>
            <w:vAlign w:val="center"/>
          </w:tcPr>
          <w:p>
            <w:pPr>
              <w:pStyle w:val="TableContents"/>
              <w:bidi w:val="0"/>
              <w:spacing w:before="0" w:after="283"/>
              <w:jc w:val="left"/>
              <w:rPr/>
            </w:pPr>
            <w:r>
              <w:rPr/>
              <w:t> </w:t>
            </w:r>
          </w:p>
        </w:tc>
        <w:tc>
          <w:tcPr>
            <w:tcW w:w="3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shd w:fill="CCEEFF" w:val="clear"/>
            <w:tcMar>
              <w:bottom w:w="28" w:type="dxa"/>
            </w:tcMar>
            <w:vAlign w:val="center"/>
          </w:tcPr>
          <w:p>
            <w:pPr>
              <w:pStyle w:val="TableContents"/>
              <w:bidi w:val="0"/>
              <w:spacing w:before="0" w:after="283"/>
              <w:jc w:val="right"/>
              <w:rPr/>
            </w:pPr>
            <w:r>
              <w:rPr/>
              <w:t>2,904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adjustment of $2.7 million includes an accounting adjustment to eliminate the historical interest expense of $0.2 million, as Sunder was acquired in a debt free transaction.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00" w:type="dxa"/>
            <w:tcBorders/>
            <w:vAlign w:val="center"/>
          </w:tcPr>
          <w:p>
            <w:pPr>
              <w:pStyle w:val="TableContents"/>
              <w:bidi w:val="0"/>
              <w:spacing w:before="0" w:after="283"/>
              <w:jc w:val="both"/>
              <w:rPr/>
            </w:pPr>
            <w:r>
              <w:rPr/>
              <w:t>The transaction adjustment to eliminate the historical interest expense, as Ambia was acquired in a debt free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3,333,334 shares of the Company’s stock issued at the date of the Sunder Acquisition. As of December 28, 2025, the historical weighted average shares outstanding included 860,806 shares issued in connection with the Sunder Acquisition. As such, incremental shares of 2,472,528 shares included in the pro forma shares outstanding as of December 28, 2025 is net of the 860,806 shares included in the historical weighted average shares outstanding. The 6,666,666 Deferred Consideration Shares were excluded from the computation of pro forma net loss per share because issuance of such shares is contingent upon the satisfaction of certain conditions which are not satisfied as of the period end for pro forma presentation purposes.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conform the financial statement presentation for the Ambia Acquisition to the Company’s presentation within the Statements of Operations for the period December 28,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15,150,086 shares of the Company’s stock issued at the date of the Ambia Acquisition and minimum value of variable shares of Deferred Consideration - Ambia. As of December 28, 2025, the historical weighted average shares outstanding included 1,765,961 shares issued in connection with the Ambia Acquisition. As such, incremental shares of 15,150,086 shares included in the pro forma shares outstanding as of December 28, 2025 is net of the 1,765,961 shares included in the historical weighted average shares outstanding.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F-184</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costs and expenses, other than underwriting discounts and commissions, payable by us in connection with the sale of the securities being registered. All amounts shown are estimates except for the SEC registration fee.</w:t>
      </w:r>
    </w:p>
    <w:p>
      <w:pPr>
        <w:pStyle w:val="TextBody"/>
        <w:bidi w:val="0"/>
        <w:spacing w:before="0" w:after="0"/>
        <w:ind w:left="0" w:right="0" w:firstLine="360"/>
        <w:jc w:val="both"/>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2630"/>
        <w:gridCol w:w="155"/>
        <w:gridCol w:w="725"/>
        <w:gridCol w:w="135"/>
      </w:tblGrid>
      <w:tr>
        <w:trPr/>
        <w:tc>
          <w:tcPr>
            <w:tcW w:w="263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13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registration fee</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jc w:val="right"/>
              <w:rPr/>
            </w:pPr>
            <w:r>
              <w:rPr/>
              <w:t>16,026</w:t>
            </w:r>
          </w:p>
        </w:tc>
        <w:tc>
          <w:tcPr>
            <w:tcW w:w="13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Accountants’ fees and expenses</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13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fees and expenses</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13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Printing fees</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13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13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expenses</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136,026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concessions, commissions and similar selling expenses attributable to the sale of shares of common stock covered by this prospectus will be borne by the selling securityholders. We will pay all expenses (other than discounts, concessions, commissions and similar selling expenses) relating to the registration of the shares with the Securities and Exchange Commission, as estimated in the table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for indemnification of our directors, officers, employees and other agents to the maximum extent permitted by the Delaware General Corporation Law, and our Bylaws provide for indemnification of our directors, officers, employees and other agents to the maximum extent permitted by the Delaware General Corporation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officers, and some employees containing provisions which are in some respects broader than the specific indemnification provisions contained in the Delaware General Corporation Law. The indemnification agreements will require us, among other things, to indemnify our directors against certain liabilities that may arise by reason of their status or service as directors and to advance their expenses incurred as a result of any proceeding against them as to which they could be indemnified.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securities within the past three years which were not registered under the Securities Act, except as set forth below. The registrant believes that, unless otherwise noted, all of the transactions described in this Item 15 were exempt from registration under the Securities Act pursuant to Section 4(a)(2) of the Securities Act and/or Rule 506 of Regulation D promulgated thereunder.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15"/>
        <w:gridCol w:w="272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Forward Purchase Agreements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Inc. entered into FPAs with each of (i) Meteora; (ii) Polar, and (iii) Sandia (each individually,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FPA Sellers</w:t>
      </w:r>
      <w:r>
        <w:rPr>
          <w:rFonts w:ascii="Times New Roman;Times;Serif" w:hAnsi="Times New Roman;Times;Serif"/>
          <w:b w:val="false"/>
          <w:i w:val="false"/>
          <w:caps w:val="false"/>
          <w:smallCaps w:val="false"/>
          <w:sz w:val="20"/>
        </w:rPr>
        <w:t>”). Pursuant to the terms of the FPAs, the FPA Sellers may purchase through a broker in the open market, from holders of Shares other than the Company or affiliates thereof, shares of common stock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While the FPA Sellers have no obligation to purchase any FPA Shares under the FPAs, the aggregate total FPA Shares that may be purchased under the FPAs shall be no more than 6,720,000 in aggregate. The FPA Sellers may not beneficially own greater than 9.9% of issued and outstanding FPA Shares following the Mergers as per the Amended and Restated Business Combination Agreement. The key terms of the forward contracts are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FPA Sellers can terminate the transaction following the Optional Early Termination (“</w:t>
            </w:r>
            <w:r>
              <w:rPr>
                <w:rFonts w:ascii="Times New Roman;Times;Serif" w:hAnsi="Times New Roman;Times;Serif"/>
                <w:b/>
                <w:sz w:val="20"/>
              </w:rPr>
              <w:t>OET</w:t>
            </w:r>
            <w:r>
              <w:rPr>
                <w:rFonts w:ascii="Times New Roman;Times;Serif" w:hAnsi="Times New Roman;Times;Serif"/>
                <w:sz w:val="20"/>
              </w:rPr>
              <w:t>”) Date which shall specify the quantity by which the number of shares is to be reduced (such quantity, the “</w:t>
            </w:r>
            <w:r>
              <w:rPr>
                <w:rFonts w:ascii="Times New Roman;Times;Serif" w:hAnsi="Times New Roman;Times;Serif"/>
                <w:b/>
                <w:sz w:val="20"/>
              </w:rPr>
              <w:t>Terminated Shares</w:t>
            </w:r>
            <w:r>
              <w:rPr>
                <w:rFonts w:ascii="Times New Roman;Times;Serif" w:hAnsi="Times New Roman;Times;Serif"/>
                <w:sz w:val="20"/>
              </w:rPr>
              <w:t>”). Seller shall terminate the transaction in respect of any shares sold on or prior to the maturity date. The counterparty is entitled to an amount from the seller equal to the number of terminated shares multiplied by a reset price. The reset price is initially $10.56 (the “</w:t>
            </w:r>
            <w:r>
              <w:rPr>
                <w:rFonts w:ascii="Times New Roman;Times;Serif" w:hAnsi="Times New Roman;Times;Serif"/>
                <w:b/>
                <w:sz w:val="20"/>
              </w:rPr>
              <w:t>Initial Price</w:t>
            </w:r>
            <w:r>
              <w:rPr>
                <w:rFonts w:ascii="Times New Roman;Times;Serif" w:hAnsi="Times New Roman;Times;Serif"/>
                <w:sz w:val="20"/>
              </w:rPr>
              <w:t>”) and is subject to a $5.00 floor.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FPAs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SunPower Common Stock, with a per share price based on the volume-weighted average price (“</w:t>
            </w:r>
            <w:r>
              <w:rPr>
                <w:rFonts w:ascii="Times New Roman;Times;Serif" w:hAnsi="Times New Roman;Times;Serif"/>
                <w:b/>
                <w:sz w:val="20"/>
              </w:rPr>
              <w:t>VWAP</w:t>
            </w:r>
            <w:r>
              <w:rPr>
                <w:rFonts w:ascii="Times New Roman;Times;Serif" w:hAnsi="Times New Roman;Times;Serif"/>
                <w:sz w:val="20"/>
              </w:rPr>
              <w:t>”)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w:t>
            </w:r>
            <w:r>
              <w:rPr>
                <w:rFonts w:ascii="Times New Roman;Times;Serif" w:hAnsi="Times New Roman;Times;Serif"/>
                <w:b/>
                <w:sz w:val="20"/>
              </w:rPr>
              <w:t>Measurement Period</w:t>
            </w:r>
            <w:r>
              <w:rPr>
                <w:rFonts w:ascii="Times New Roman;Times;Serif" w:hAnsi="Times New Roman;Times;Serif"/>
                <w:sz w:val="20"/>
              </w:rPr>
              <w:t>”) that occurs at least 6 months after the Closing Date, the VWAP price is less than the then applicable reset price.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and the FPA Sellers entered into separate amendments to the FPA (the “</w:t>
      </w:r>
      <w:r>
        <w:rPr>
          <w:rFonts w:ascii="Times New Roman;Times;Serif" w:hAnsi="Times New Roman;Times;Serif"/>
          <w:b/>
          <w:i w:val="false"/>
          <w:caps w:val="false"/>
          <w:smallCaps w:val="false"/>
          <w:sz w:val="20"/>
        </w:rPr>
        <w:t>FPA Amendments</w:t>
      </w:r>
      <w:r>
        <w:rPr>
          <w:rFonts w:ascii="Times New Roman;Times;Serif" w:hAnsi="Times New Roman;Times;Serif"/>
          <w:b w:val="false"/>
          <w:i w:val="false"/>
          <w:caps w:val="false"/>
          <w:smallCaps w:val="false"/>
          <w:sz w:val="20"/>
        </w:rPr>
        <w:t>”). The FPA Amendments lowered the reset floor price of each FPA from $5.00 to $3.00 and allow us to raise up to $10.0 million of equity from existing stockholders without triggering certain anti-dilution provisions contained in the FPA;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and 8, 2024, respectively, we entered into and executed separate amendments to the FPAs (collectively the “</w:t>
      </w:r>
      <w:r>
        <w:rPr>
          <w:rFonts w:ascii="Times New Roman;Times;Serif" w:hAnsi="Times New Roman;Times;Serif"/>
          <w:b/>
          <w:i w:val="false"/>
          <w:caps w:val="false"/>
          <w:smallCaps w:val="false"/>
          <w:sz w:val="20"/>
        </w:rPr>
        <w:t>Second Amendments</w:t>
      </w:r>
      <w:r>
        <w:rPr>
          <w:rFonts w:ascii="Times New Roman;Times;Serif" w:hAnsi="Times New Roman;Times;Serif"/>
          <w:b w:val="false"/>
          <w:i w:val="false"/>
          <w:caps w:val="false"/>
          <w:smallCaps w:val="false"/>
          <w:sz w:val="20"/>
        </w:rPr>
        <w:t>”) with Sandia (the “</w:t>
      </w:r>
      <w:r>
        <w:rPr>
          <w:rFonts w:ascii="Times New Roman;Times;Serif" w:hAnsi="Times New Roman;Times;Serif"/>
          <w:b/>
          <w:i w:val="false"/>
          <w:caps w:val="false"/>
          <w:smallCaps w:val="false"/>
          <w:sz w:val="20"/>
        </w:rPr>
        <w:t>Sandia Second Amendment</w:t>
      </w:r>
      <w:r>
        <w:rPr>
          <w:rFonts w:ascii="Times New Roman;Times;Serif" w:hAnsi="Times New Roman;Times;Serif"/>
          <w:b w:val="false"/>
          <w:i w:val="false"/>
          <w:caps w:val="false"/>
          <w:smallCaps w:val="false"/>
          <w:sz w:val="20"/>
        </w:rPr>
        <w:t>”) and Polar (the “</w:t>
      </w:r>
      <w:r>
        <w:rPr>
          <w:rFonts w:ascii="Times New Roman;Times;Serif" w:hAnsi="Times New Roman;Times;Serif"/>
          <w:b/>
          <w:i w:val="false"/>
          <w:caps w:val="false"/>
          <w:smallCaps w:val="false"/>
          <w:sz w:val="20"/>
        </w:rPr>
        <w:t>Polar Second Amendment</w:t>
      </w:r>
      <w:r>
        <w:rPr>
          <w:rFonts w:ascii="Times New Roman;Times;Serif" w:hAnsi="Times New Roman;Times;Serif"/>
          <w:b w:val="false"/>
          <w:i w:val="false"/>
          <w:caps w:val="false"/>
          <w:smallCaps w:val="false"/>
          <w:sz w:val="20"/>
        </w:rPr>
        <w: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2024, we entered into and executed an amendment to the FPA with Sandia (the “</w:t>
      </w:r>
      <w:r>
        <w:rPr>
          <w:rFonts w:ascii="Times New Roman;Times;Serif" w:hAnsi="Times New Roman;Times;Serif"/>
          <w:b/>
          <w:i w:val="false"/>
          <w:caps w:val="false"/>
          <w:smallCaps w:val="false"/>
          <w:sz w:val="20"/>
        </w:rPr>
        <w:t>Sandia Third Amendment</w:t>
      </w:r>
      <w:r>
        <w:rPr>
          <w:rFonts w:ascii="Times New Roman;Times;Serif" w:hAnsi="Times New Roman;Times;Serif"/>
          <w:b w:val="false"/>
          <w:i w:val="false"/>
          <w:caps w:val="false"/>
          <w:smallCaps w:val="false"/>
          <w:sz w:val="20"/>
        </w:rPr>
        <w: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2024, we entered into an amendment to the FPA with Polar pursuant to which we and Polar agreed that Section 2 (Most Favored Nation) of the FPA is applicable to all 2,450,000 shares subject to the FPA.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Times;Serif" w:hAnsi="Times New Roman;Times;Serif"/>
          <w:b/>
          <w:i w:val="false"/>
          <w:caps w:val="false"/>
          <w:smallCaps w:val="false"/>
          <w:sz w:val="20"/>
        </w:rPr>
        <w:t>Further FPA Amendments</w:t>
      </w:r>
      <w:r>
        <w:rPr>
          <w:rFonts w:ascii="Times New Roman;Times;Serif" w:hAnsi="Times New Roman;Times;Serif"/>
          <w:b w:val="false"/>
          <w:i w:val="false"/>
          <w:caps w:val="false"/>
          <w:smallCaps w:val="false"/>
          <w:sz w:val="20"/>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pStyle w:val="TextBody"/>
        <w:bidi w:val="0"/>
        <w:spacing w:before="0" w:after="0"/>
        <w:ind w:left="0" w:right="0" w:firstLine="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215"/>
        <w:gridCol w:w="510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1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Simple Agreement for Future Equity (“SAFE”) Agreements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SAFE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a SAFE (“</w:t>
      </w:r>
      <w:r>
        <w:rPr>
          <w:rFonts w:ascii="Times New Roman;Times;Serif" w:hAnsi="Times New Roman;Times;Serif"/>
          <w:b/>
          <w:i w:val="false"/>
          <w:caps w:val="false"/>
          <w:smallCaps w:val="false"/>
          <w:sz w:val="20"/>
        </w:rPr>
        <w:t>First SAFE</w:t>
      </w:r>
      <w:r>
        <w:rPr>
          <w:rFonts w:ascii="Times New Roman;Times;Serif" w:hAnsi="Times New Roman;Times;Serif"/>
          <w:b w:val="false"/>
          <w:i w:val="false"/>
          <w:caps w:val="false"/>
          <w:smallCaps w:val="false"/>
          <w:sz w:val="20"/>
        </w:rPr>
        <w:t>”) with the Rodgers Massey Freedom and Free Markets Charitable Trust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in connection with the Purchaser investing $1.5 million in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 April 21, 2024, we entered into an amendment (“</w:t>
      </w:r>
      <w:r>
        <w:rPr>
          <w:rFonts w:ascii="Times New Roman;Times;Serif" w:hAnsi="Times New Roman;Times;Serif"/>
          <w:b/>
          <w:i w:val="false"/>
          <w:caps w:val="false"/>
          <w:smallCaps w:val="false"/>
          <w:sz w:val="20"/>
        </w:rPr>
        <w:t>First SAFE Amendment</w:t>
      </w:r>
      <w:r>
        <w:rPr>
          <w:rFonts w:ascii="Times New Roman;Times;Serif" w:hAnsi="Times New Roman;Times;Serif"/>
          <w:b w:val="false"/>
          <w:i w:val="false"/>
          <w:caps w:val="false"/>
          <w:smallCaps w:val="false"/>
          <w:sz w:val="20"/>
        </w:rPr>
        <w:t>”) that converted the First SAFE investment of $1.5 million into 4,166,667 shares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SAFE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we entered into a second SAFE (the “</w:t>
      </w:r>
      <w:r>
        <w:rPr>
          <w:rFonts w:ascii="Times New Roman;Times;Serif" w:hAnsi="Times New Roman;Times;Serif"/>
          <w:b/>
          <w:i w:val="false"/>
          <w:caps w:val="false"/>
          <w:smallCaps w:val="false"/>
          <w:sz w:val="20"/>
        </w:rPr>
        <w:t>Second SAFE</w:t>
      </w:r>
      <w:r>
        <w:rPr>
          <w:rFonts w:ascii="Times New Roman;Times;Serif" w:hAnsi="Times New Roman;Times;Serif"/>
          <w:b w:val="false"/>
          <w:i w:val="false"/>
          <w:caps w:val="false"/>
          <w:smallCaps w:val="false"/>
          <w:sz w:val="20"/>
        </w:rPr>
        <w:t>”) with the Purchaser, in connection with the Purchaser investing $3.5 million in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we entered into an amendment (“</w:t>
      </w:r>
      <w:r>
        <w:rPr>
          <w:rFonts w:ascii="Times New Roman;Times;Serif" w:hAnsi="Times New Roman;Times;Serif"/>
          <w:b/>
          <w:i w:val="false"/>
          <w:caps w:val="false"/>
          <w:smallCaps w:val="false"/>
          <w:sz w:val="20"/>
        </w:rPr>
        <w:t>Second SAFE Amendment</w:t>
      </w:r>
      <w:r>
        <w:rPr>
          <w:rFonts w:ascii="Times New Roman;Times;Serif" w:hAnsi="Times New Roman;Times;Serif"/>
          <w:b w:val="false"/>
          <w:i w:val="false"/>
          <w:caps w:val="false"/>
          <w:smallCaps w:val="false"/>
          <w:sz w:val="20"/>
        </w:rPr>
        <w:t>”) that converted the Second SAFE investment of $3.5 million into 9,722,222 shares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SAFE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entered into a third SAFE (the “</w:t>
      </w:r>
      <w:r>
        <w:rPr>
          <w:rFonts w:ascii="Times New Roman;Times;Serif" w:hAnsi="Times New Roman;Times;Serif"/>
          <w:b/>
          <w:i w:val="false"/>
          <w:caps w:val="false"/>
          <w:smallCaps w:val="false"/>
          <w:sz w:val="20"/>
        </w:rPr>
        <w:t>Third SAFE</w:t>
      </w:r>
      <w:r>
        <w:rPr>
          <w:rFonts w:ascii="Times New Roman;Times;Serif" w:hAnsi="Times New Roman;Times;Serif"/>
          <w:b w:val="false"/>
          <w:i w:val="false"/>
          <w:caps w:val="false"/>
          <w:smallCaps w:val="false"/>
          <w:sz w:val="20"/>
        </w:rPr>
        <w:t>”) with the Purchaser, in connection with the Purchaser investing $1.0 million in the Company.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2026 SAFE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15"/>
        <w:gridCol w:w="266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6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 Convertible Senior Notes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we issued $46.0 million of 12% convertible senior notes due 2029 (the “</w:t>
      </w:r>
      <w:r>
        <w:rPr>
          <w:rFonts w:ascii="Times New Roman;Times;Serif" w:hAnsi="Times New Roman;Times;Serif"/>
          <w:b/>
          <w:i w:val="false"/>
          <w:caps w:val="false"/>
          <w:smallCaps w:val="false"/>
          <w:sz w:val="20"/>
        </w:rPr>
        <w:t>July 2024 12% Notes</w:t>
      </w:r>
      <w:r>
        <w:rPr>
          <w:rFonts w:ascii="Times New Roman;Times;Serif" w:hAnsi="Times New Roman;Times;Serif"/>
          <w:b w:val="false"/>
          <w:i w:val="false"/>
          <w:caps w:val="false"/>
          <w:smallCaps w:val="false"/>
          <w:sz w:val="20"/>
        </w:rPr>
        <w:t>”) to various lenders, including in connection with the exchange agreement transactions summarized below. Of the July 2024 12% Notes, $18.0 million were issued in exchange for the cancellation of indebtedness as discussed below, which amount included $10.0 million issued to a strategic investor identified by us as a related party. The July 2024 12% Notes also included $18.0 million issued to a related party affiliated with Thurman J. Rodgers (our Chief Executive Officer), Rodgers Massey Revocable Living Trust. The July 2024 12% Notes bear interest at 12% per annum and mature on July 1, 2029. The interest rate increases by 3% in the event of default. The July 2024 12% Notes are convertible into shares of our common stock at the option of the holder at a conversion rate and initially equal to 595.2381 shares of common stock per $1,000 principal amount of the July notes. The July 2024 12% Notes may be declared due and payable at the option of the holder upon event of default and upon a qualifying change of control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on July 10, 2025, we issued an additional $5.0 million principal amount of 12% convertible senior notes due 2029 to a trust controlled by Mr. Rodgers. Such notes have terms substantially similar to the July 2024 12% Notes; provided that the 12% notes issued on July 10, 2025 have an initial conversion rate equal to 558.6592 shares of common stock per $1,000 principal amount of such notes. On November 20, 2025 we issued a further $2.0 principal amount of 12% convertible senior notes due 2029 to a trust controlled by Mr. Rodgers. Such notes have terms substantially similar to the July 2024 12% Notes; provided that the 12% notes issued on July 10, 2025 have an initial conversion rate equal to 626.9592 shares of common stock per $1,000 principal amount of such notes. Further, on January 29, 2026, we issued an additional $3.3 million principal amount of 12% convertible senior notes due 2029 to a trust controlled by Mr. Rodgers. Such notes have terms substantially similar to the July 2024 12% Notes; provided that the 12% notes issued on January 29, 2026 have an initial conversion rate equal to 540.5405 shares of common stock per $1,000 principal amount of such notes.</w:t>
      </w:r>
    </w:p>
    <w:p>
      <w:pPr>
        <w:pStyle w:val="TextBody"/>
        <w:bidi w:val="0"/>
        <w:spacing w:before="0" w:after="0"/>
        <w:ind w:left="0" w:right="0" w:firstLine="36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15"/>
        <w:gridCol w:w="306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0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Exchange Agreement Transactions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entered into an Exchange Agreement (the “</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with CSEF Holdings, LLC and its affiliates (“</w:t>
      </w:r>
      <w:r>
        <w:rPr>
          <w:rFonts w:ascii="Times New Roman;Times;Serif" w:hAnsi="Times New Roman;Times;Serif"/>
          <w:b/>
          <w:i w:val="false"/>
          <w:caps w:val="false"/>
          <w:smallCaps w:val="false"/>
          <w:sz w:val="20"/>
        </w:rPr>
        <w:t>Carlyle</w:t>
      </w:r>
      <w:r>
        <w:rPr>
          <w:rFonts w:ascii="Times New Roman;Times;Serif" w:hAnsi="Times New Roman;Times;Serif"/>
          <w:b w:val="false"/>
          <w:i w:val="false"/>
          <w:caps w:val="false"/>
          <w:smallCaps w:val="false"/>
          <w:sz w:val="20"/>
        </w:rPr>
        <w:t>”) and Kline Hill (as defined below) providing for: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8"/>
        <w:gridCol w:w="9912"/>
      </w:tblGrid>
      <w:tr>
        <w:trPr/>
        <w:tc>
          <w:tcPr>
            <w:tcW w:w="10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tc>
      </w:tr>
    </w:tbl>
    <w:p>
      <w:pPr>
        <w:pStyle w:val="TextBody"/>
        <w:bidi w:val="0"/>
        <w:spacing w:before="0" w:after="0"/>
        <w:ind w:left="36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105"/>
        <w:gridCol w:w="290"/>
        <w:gridCol w:w="8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$10.0 million to Carlyle as part of the 12% Notes;</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98"/>
        <w:gridCol w:w="9802"/>
      </w:tblGrid>
      <w:tr>
        <w:trPr/>
        <w:tc>
          <w:tcPr>
            <w:tcW w:w="10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owed to Kline Hill Partners Fund LP, a Delaware limited partnership (“</w:t>
            </w:r>
            <w:r>
              <w:rPr>
                <w:rFonts w:ascii="Times New Roman;Times;Serif" w:hAnsi="Times New Roman;Times;Serif"/>
                <w:b/>
                <w:sz w:val="20"/>
              </w:rPr>
              <w:t>Kline Fund</w:t>
            </w:r>
            <w:r>
              <w:rPr>
                <w:rFonts w:ascii="Times New Roman;Times;Serif" w:hAnsi="Times New Roman;Times;Serif"/>
                <w:sz w:val="20"/>
              </w:rPr>
              <w:t>”), Kline Hill Partners IV SPV LLC, a Delaware limited liability company (“</w:t>
            </w:r>
            <w:r>
              <w:rPr>
                <w:rFonts w:ascii="Times New Roman;Times;Serif" w:hAnsi="Times New Roman;Times;Serif"/>
                <w:b/>
                <w:sz w:val="20"/>
              </w:rPr>
              <w:t>Kline Partners</w:t>
            </w:r>
            <w:r>
              <w:rPr>
                <w:rFonts w:ascii="Times New Roman;Times;Serif" w:hAnsi="Times New Roman;Times;Serif"/>
                <w:sz w:val="20"/>
              </w:rPr>
              <w:t>”) and Kline Hill Partners Opportunity IV SPV LLC, a Delaware limited liability company (“</w:t>
            </w:r>
            <w:r>
              <w:rPr>
                <w:rFonts w:ascii="Times New Roman;Times;Serif" w:hAnsi="Times New Roman;Times;Serif"/>
                <w:b/>
                <w:sz w:val="20"/>
              </w:rPr>
              <w:t>Kline Opportunity</w:t>
            </w:r>
            <w:r>
              <w:rPr>
                <w:rFonts w:ascii="Times New Roman;Times;Serif" w:hAnsi="Times New Roman;Times;Serif"/>
                <w:sz w:val="20"/>
              </w:rPr>
              <w:t>” and together with Kline Fund and Kline Partners, “</w:t>
            </w:r>
            <w:r>
              <w:rPr>
                <w:rFonts w:ascii="Times New Roman;Times;Serif" w:hAnsi="Times New Roman;Times;Serif"/>
                <w:b/>
                <w:sz w:val="20"/>
              </w:rPr>
              <w:t>Kline Hill</w:t>
            </w:r>
            <w:r>
              <w:rPr>
                <w:rFonts w:ascii="Times New Roman;Times;Serif" w:hAnsi="Times New Roman;Times;Serif"/>
                <w:sz w:val="20"/>
              </w:rPr>
              <w:t>”), by the Company, termination of all debt instruments by and between the Company and Kline Hill, including certain senior subordinated convertible secured notes issued by Solaria in 2018 (the “</w:t>
            </w:r>
            <w:r>
              <w:rPr>
                <w:rFonts w:ascii="Times New Roman;Times;Serif" w:hAnsi="Times New Roman;Times;Serif"/>
                <w:b/>
                <w:sz w:val="20"/>
              </w:rPr>
              <w:t>2018 Bridge Notes</w:t>
            </w:r>
            <w:r>
              <w:rPr>
                <w:rFonts w:ascii="Times New Roman;Times;Serif" w:hAnsi="Times New Roman;Times;Serif"/>
                <w:sz w:val="20"/>
              </w:rPr>
              <w:t>”), a revolving loan and a secured credit facility, and the satisfaction of all obligations owed to Kline Hill by the Company under the terminated debt instruments;</w:t>
            </w:r>
          </w:p>
        </w:tc>
      </w:tr>
    </w:tbl>
    <w:p>
      <w:pPr>
        <w:pStyle w:val="TextBody"/>
        <w:bidi w:val="0"/>
        <w:spacing w:before="0" w:after="0"/>
        <w:ind w:left="36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105"/>
        <w:gridCol w:w="335"/>
        <w:gridCol w:w="8585"/>
      </w:tblGrid>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$8.0 million to Kline Hill as part of the 12% Notes; and</w:t>
            </w:r>
          </w:p>
        </w:tc>
      </w:tr>
    </w:tbl>
    <w:p>
      <w:pPr>
        <w:pStyle w:val="TextBody"/>
        <w:bidi w:val="0"/>
        <w:spacing w:before="0" w:after="0"/>
        <w:ind w:left="36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105"/>
        <w:gridCol w:w="275"/>
        <w:gridCol w:w="642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1,500,000 shares of common stock to Kline Hill (the “</w:t>
            </w:r>
            <w:r>
              <w:rPr>
                <w:rFonts w:ascii="Times New Roman;Times;Serif" w:hAnsi="Times New Roman;Times;Serif"/>
                <w:b/>
                <w:sz w:val="20"/>
              </w:rPr>
              <w:t>Shares</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15"/>
        <w:gridCol w:w="456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45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 Convertible Senior Notes, Exchange Transaction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issued $66.8 million of our 7% convertible senior notes due 2029 (the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to various lenders, $8.0 million of which were issued to a related party. In December 2024, we issued additional 7% Notes for cash proceeds of $13.0 million, and we issued an additional $0.2 million of the 7% Notes in the thirteen weeks ended March 30, 2025. On September 23, 2025, we issued $22.0 million aggregate principal amount of the 7% Notes for net proceeds to us of $19,800,000, which net proceeds were used to pay a portion of the purchase price for the Sunder Acquisition. The 7% Notes bear interest at 7% per annum and mature on July 1, 2029. The 7% Notes are initially convertible into 467.8363 shares of common stock per $1,000 principal amount of 7% Notes, subject to the adjustment provisions, including make-whole adjustment terms, included in the 7% Notes. The 7% Notes may be declared due and payable at the option of the holder upon an event of default and upon a qualifying change of control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23, 2026, we entered into separately- and privately- negotiated exchange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with certain holders of the 7% Notes to repurchase $21,250,000 aggregate principal amount of outstanding 7% Notes in exchange for (i) an aggregate of 18,805,310 shares of common stock and (ii) approximately $456,438 of accrued interest payable under the exchanged 7% Notes.</w:t>
      </w:r>
    </w:p>
    <w:p>
      <w:pPr>
        <w:pStyle w:val="TextBody"/>
        <w:bidi w:val="0"/>
        <w:spacing w:before="0" w:after="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15"/>
        <w:gridCol w:w="314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31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July 2023 Common Stock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issued a warrant to a third-party service provider to purchase 38,981 shares of the Company’s common stock in exchange for services. The warrant is exercisable at a price of $0.01 per share and has an expiration date of July 2028.</w:t>
      </w:r>
    </w:p>
    <w:p>
      <w:pPr>
        <w:pStyle w:val="TextBody"/>
        <w:bidi w:val="0"/>
        <w:spacing w:before="0" w:after="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15"/>
        <w:gridCol w:w="20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20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Warrant Consideration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in connection with the Mergers, the Company issued 6,266,572 warrants to purchase SunPower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w:t>
      </w:r>
    </w:p>
    <w:p>
      <w:pPr>
        <w:pStyle w:val="TextBody"/>
        <w:bidi w:val="0"/>
        <w:spacing w:before="0" w:after="0"/>
        <w:ind w:left="0" w:right="0" w:firstLine="36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15"/>
        <w:gridCol w:w="141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4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Ayna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a warrant to purchase shares of the Company’s common stock (“</w:t>
      </w:r>
      <w:r>
        <w:rPr>
          <w:rFonts w:ascii="Times New Roman;Times;Serif" w:hAnsi="Times New Roman;Times;Serif"/>
          <w:b/>
          <w:i w:val="false"/>
          <w:caps w:val="false"/>
          <w:smallCaps w:val="false"/>
          <w:sz w:val="20"/>
        </w:rPr>
        <w:t>Ayna Warrant</w:t>
      </w:r>
      <w:r>
        <w:rPr>
          <w:rFonts w:ascii="Times New Roman;Times;Serif" w:hAnsi="Times New Roman;Times;Serif"/>
          <w:b w:val="false"/>
          <w:i w:val="false"/>
          <w:caps w:val="false"/>
          <w:smallCaps w:val="false"/>
          <w:sz w:val="20"/>
        </w:rPr>
        <w:t>”) was issued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for the purchase of 6,000,000 shares of the Company’s common stock at an exercise price per share of $0.01, subject to the provisions and upon the terms and conditions set forth in the Ayna Warrant. The Ayna Warrant became fully exercisable for the 6,000,000 shares of the Company’s common stock on September 9, 2024. The Ayna Warrant was exercised in full for cash of $60,000 in January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to purchase shares of the Company’s common stock (the “</w:t>
      </w:r>
      <w:r>
        <w:rPr>
          <w:rFonts w:ascii="Times New Roman;Times;Serif" w:hAnsi="Times New Roman;Times;Serif"/>
          <w:b/>
          <w:i w:val="false"/>
          <w:caps w:val="false"/>
          <w:smallCaps w:val="false"/>
          <w:sz w:val="20"/>
        </w:rPr>
        <w:t>Ayana 2026 Warrant</w:t>
      </w:r>
      <w:r>
        <w:rPr>
          <w:rFonts w:ascii="Times New Roman;Times;Serif" w:hAnsi="Times New Roman;Times;Serif"/>
          <w:b w:val="false"/>
          <w:i w:val="false"/>
          <w:caps w:val="false"/>
          <w:smallCaps w:val="false"/>
          <w:sz w:val="20"/>
        </w:rPr>
        <w:t>”) was issued to Ayna for the purchase of 380,000 shares of the Company’s common stock at an exercise price per share of $0.01, subject to the provisions and upon the terms and conditions set forth in the Ayna 2026 Warrant. The Ayna 2026 Warrant was fully exercisable for the 380,000 shares of the Company’s common stock on June 29, 2026.</w:t>
      </w:r>
    </w:p>
    <w:p>
      <w:pPr>
        <w:pStyle w:val="TextBody"/>
        <w:bidi w:val="0"/>
        <w:spacing w:before="0" w:after="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Cantor Warrant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issued a warrant to a third-party service provider to purchase 3,066,141 shares of the Company’s common stock in exchange for services provided in the issuance of the 12% Notes. This warrant was immediately exercisable at a price of $1.68 per share and has an expiration date in July 2029.</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320"/>
        <w:gridCol w:w="2900"/>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29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White Lion Equity Line of Credit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we entered into a common stock purchase agreement with White Lion Capital, LLC (“</w:t>
      </w:r>
      <w:r>
        <w:rPr>
          <w:rFonts w:ascii="Times New Roman;Times;Serif" w:hAnsi="Times New Roman;Times;Serif"/>
          <w:b/>
          <w:i w:val="false"/>
          <w:caps w:val="false"/>
          <w:smallCaps w:val="false"/>
          <w:sz w:val="20"/>
        </w:rPr>
        <w:t>White Lion</w:t>
      </w:r>
      <w:r>
        <w:rPr>
          <w:rFonts w:ascii="Times New Roman;Times;Serif" w:hAnsi="Times New Roman;Times;Serif"/>
          <w:b w:val="false"/>
          <w:i w:val="false"/>
          <w:caps w:val="false"/>
          <w:smallCaps w:val="false"/>
          <w:sz w:val="20"/>
        </w:rPr>
        <w:t>”), as amended (“</w:t>
      </w:r>
      <w:r>
        <w:rPr>
          <w:rFonts w:ascii="Times New Roman;Times;Serif" w:hAnsi="Times New Roman;Times;Serif"/>
          <w:b/>
          <w:i w:val="false"/>
          <w:caps w:val="false"/>
          <w:smallCaps w:val="false"/>
          <w:sz w:val="20"/>
        </w:rPr>
        <w:t>White Lion SPA</w:t>
      </w:r>
      <w:r>
        <w:rPr>
          <w:rFonts w:ascii="Times New Roman;Times;Serif" w:hAnsi="Times New Roman;Times;Serif"/>
          <w:b w:val="false"/>
          <w:i w:val="false"/>
          <w:caps w:val="false"/>
          <w:smallCaps w:val="false"/>
          <w:sz w:val="20"/>
        </w:rPr>
        <w:t>”), and a related registration rights agreement for an equity line of credit financing facility, with a total commitment amount of $55,000,000. As of March 29, 2026, the Company had issued an aggregate of 11.5 million shares of the Company’s common stock for total proceeds of $20.4 million.</w:t>
      </w:r>
    </w:p>
    <w:p>
      <w:pPr>
        <w:pStyle w:val="TextBody"/>
        <w:bidi w:val="0"/>
        <w:spacing w:before="0" w:after="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320"/>
        <w:gridCol w:w="1670"/>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Sunder Seller Note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SunPower issued a promissory note in the principal amount of $20,000,000 (as amended, the “</w:t>
      </w:r>
      <w:r>
        <w:rPr>
          <w:rFonts w:ascii="Times New Roman;Times;Serif" w:hAnsi="Times New Roman;Times;Serif"/>
          <w:b/>
          <w:i w:val="false"/>
          <w:caps w:val="false"/>
          <w:smallCaps w:val="false"/>
          <w:sz w:val="20"/>
        </w:rPr>
        <w:t>Seller Note</w:t>
      </w:r>
      <w:r>
        <w:rPr>
          <w:rFonts w:ascii="Times New Roman;Times;Serif" w:hAnsi="Times New Roman;Times;Serif"/>
          <w:b w:val="false"/>
          <w:i w:val="false"/>
          <w:caps w:val="false"/>
          <w:smallCaps w:val="false"/>
          <w:sz w:val="20"/>
        </w:rPr>
        <w:t>”) to the selling equity holder in the Sunder Acquisition ( “</w:t>
      </w:r>
      <w:r>
        <w:rPr>
          <w:rFonts w:ascii="Times New Roman;Times;Serif" w:hAnsi="Times New Roman;Times;Serif"/>
          <w:b/>
          <w:i w:val="false"/>
          <w:caps w:val="false"/>
          <w:smallCaps w:val="false"/>
          <w:sz w:val="20"/>
        </w:rPr>
        <w:t>CPP</w:t>
      </w:r>
      <w:r>
        <w:rPr>
          <w:rFonts w:ascii="Times New Roman;Times;Serif" w:hAnsi="Times New Roman;Times;Serif"/>
          <w:b w:val="false"/>
          <w:i w:val="false"/>
          <w:caps w:val="false"/>
          <w:smallCaps w:val="false"/>
          <w:sz w:val="20"/>
        </w:rPr>
        <w:t>”). On April 21, 2026, the Company entered into a Note Purchase Agreement with CPP (the “</w:t>
      </w:r>
      <w:r>
        <w:rPr>
          <w:rFonts w:ascii="Times New Roman;Times;Serif" w:hAnsi="Times New Roman;Times;Serif"/>
          <w:b/>
          <w:i w:val="false"/>
          <w:caps w:val="false"/>
          <w:smallCaps w:val="false"/>
          <w:sz w:val="20"/>
        </w:rPr>
        <w:t>CPP Note Purchase Agreement</w:t>
      </w:r>
      <w:r>
        <w:rPr>
          <w:rFonts w:ascii="Times New Roman;Times;Serif" w:hAnsi="Times New Roman;Times;Serif"/>
          <w:b w:val="false"/>
          <w:i w:val="false"/>
          <w:caps w:val="false"/>
          <w:smallCaps w:val="false"/>
          <w:sz w:val="20"/>
        </w:rPr>
        <w:t>”) that provides for the following in exchange for the outstanding Seller Note (in addition to the issuance of $10,000,000 principal amount of 10% Notes (as defined below) to CPP): (i) the Company’s payment of $4,000,000 in cash to CPP at the closing under the CPP Note Purchase Agreement and (ii) the amendment and restatement of the outstanding Seller Note. As amended, the Seller Note has a principal amount of $7,000,000 and bears interest at 7.0% per annum, compounded quarterly; provided, however, the interest rate will increase to 10.0% per annum on May 15, 2026. The outstanding principal and accrued interest under the Seller Note will be paid in four payments in October 15, 2026, November 15, 2026, December 15, 2026 and January 15, 2027, as set forth in the repayment schedule attached to the Seller Note. The Seller Note will mature on the earlier of January 31, 2027 and the date on which all amounts under the Seller Note otherwise become due and payable; provided, however, if certain restrictive provisions under the YA Debenture (as defined below) (the “</w:t>
      </w:r>
      <w:r>
        <w:rPr>
          <w:rFonts w:ascii="Times New Roman;Times;Serif" w:hAnsi="Times New Roman;Times;Serif"/>
          <w:b/>
          <w:i w:val="false"/>
          <w:caps w:val="false"/>
          <w:smallCaps w:val="false"/>
          <w:sz w:val="20"/>
        </w:rPr>
        <w:t>Restrictive Provisions</w:t>
      </w:r>
      <w:r>
        <w:rPr>
          <w:rFonts w:ascii="Times New Roman;Times;Serif" w:hAnsi="Times New Roman;Times;Serif"/>
          <w:b w:val="false"/>
          <w:i w:val="false"/>
          <w:caps w:val="false"/>
          <w:smallCaps w:val="false"/>
          <w:sz w:val="20"/>
        </w:rPr>
        <w:t>”) prohibit the Company from making payments on the Seller Note, then the maturity date will be the earlier of (i) the date that is two business days after the date on which the Restrictive Provisions no longer apply and (ii) January 31, 2027. The Seller Note is an unsecured obligation of the Company.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The Seller Note also provides that the Company will use its reasonable best efforts to solicit the consent and waiver from the requisite holders of the 7.00% Notes (as defined below) required to grant a security interest and lien in the Company’s assets to secure the Company’s obligations under the Seller Note. If such consent and waiver is obtained, the Company and the Member with negotiate, execute and deliver a separate security agreement with respect to such security interest and lien.</w:t>
      </w:r>
    </w:p>
    <w:p>
      <w:pPr>
        <w:pStyle w:val="TextBody"/>
        <w:bidi w:val="0"/>
        <w:spacing w:before="0" w:after="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320"/>
        <w:gridCol w:w="3140"/>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31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Yorkville SEPA &amp; Convertible Note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Company entered into a standby equity purchase agreement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with YA II PN, LTD (“</w:t>
      </w:r>
      <w:r>
        <w:rPr>
          <w:rFonts w:ascii="Times New Roman;Times;Serif" w:hAnsi="Times New Roman;Times;Serif"/>
          <w:b/>
          <w:i w:val="false"/>
          <w:caps w:val="false"/>
          <w:smallCaps w:val="false"/>
          <w:sz w:val="20"/>
        </w:rPr>
        <w:t>Yorkville</w:t>
      </w:r>
      <w:r>
        <w:rPr>
          <w:rFonts w:ascii="Times New Roman;Times;Serif" w:hAnsi="Times New Roman;Times;Serif"/>
          <w:b w:val="false"/>
          <w:i w:val="false"/>
          <w:caps w:val="false"/>
          <w:smallCaps w:val="false"/>
          <w:sz w:val="20"/>
        </w:rPr>
        <w:t>”) and a related registration rights agreement for an equity line of credit financing facility. Under the SEPA, the Company issued 175,000 shares as a commitment fee to Yorkville, and delivered to Yorkville a convertible promissory note, convertible into shares of the Company’s common stock, in the original principal amount of $1,900,000 on January 27,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further Purchase Agreement pursuant to which Yorkville purchased and the Company issued a convertible debenture in the principal amount of $10.0 million (the “</w:t>
      </w:r>
      <w:r>
        <w:rPr>
          <w:rFonts w:ascii="Times New Roman;Times;Serif" w:hAnsi="Times New Roman;Times;Serif"/>
          <w:b/>
          <w:i w:val="false"/>
          <w:caps w:val="false"/>
          <w:smallCaps w:val="false"/>
          <w:sz w:val="20"/>
        </w:rPr>
        <w:t>YA Debenture</w:t>
      </w:r>
      <w:r>
        <w:rPr>
          <w:rFonts w:ascii="Times New Roman;Times;Serif" w:hAnsi="Times New Roman;Times;Serif"/>
          <w:b w:val="false"/>
          <w:i w:val="false"/>
          <w:caps w:val="false"/>
          <w:smallCaps w:val="false"/>
          <w:sz w:val="20"/>
        </w:rPr>
        <w:t>”). At the closing under such purchase agreement, we issued the YA Debenture to Yorkville in the original principal amount of $10.0 million for a purchase price of $9.0 million, less certain fees payable under the applicable purchase agreement. Yorkville may convert any portion of the outstanding balance under the YA Debenture into shares of the Company’s common stock at an adjusted fixed price of $1.64 per share (the “</w:t>
      </w:r>
      <w:r>
        <w:rPr>
          <w:rFonts w:ascii="Times New Roman;Times;Serif" w:hAnsi="Times New Roman;Times;Serif"/>
          <w:b/>
          <w:i w:val="false"/>
          <w:caps w:val="false"/>
          <w:smallCaps w:val="false"/>
          <w:sz w:val="20"/>
        </w:rPr>
        <w:t>Fixed Price</w:t>
      </w:r>
      <w:r>
        <w:rPr>
          <w:rFonts w:ascii="Times New Roman;Times;Serif" w:hAnsi="Times New Roman;Times;Serif"/>
          <w:b w:val="false"/>
          <w:i w:val="false"/>
          <w:caps w:val="false"/>
          <w:smallCaps w:val="false"/>
          <w:sz w:val="20"/>
        </w:rPr>
        <w:t>”). Additionally, at any time on or after any Installment Date (as defined in the YA Debenture), Yorkville may convert any portion of any due and unpaid Installment Amount (as defined in the YA Debenture) outstanding under the YA Debenture into shares of our common stock at a price equal to 95% of the volume weighted average price of our common stock during the five trading days prior to the conversion date (but the conversion price will not be lower than the “Floor Price” then in effect). On April 21, 2026, in connection with the Company’s offering of its 10% Notes (as defined below) due 2029, the Company and Yorkville entered into a letter agreement (the “</w:t>
      </w:r>
      <w:r>
        <w:rPr>
          <w:rFonts w:ascii="Times New Roman;Times;Serif" w:hAnsi="Times New Roman;Times;Serif"/>
          <w:b/>
          <w:i w:val="false"/>
          <w:caps w:val="false"/>
          <w:smallCaps w:val="false"/>
          <w:sz w:val="20"/>
        </w:rPr>
        <w:t>YA Letter</w:t>
      </w:r>
      <w:r>
        <w:rPr>
          <w:rFonts w:ascii="Times New Roman;Times;Serif" w:hAnsi="Times New Roman;Times;Serif"/>
          <w:b w:val="false"/>
          <w:i w:val="false"/>
          <w:caps w:val="false"/>
          <w:smallCaps w:val="false"/>
          <w:sz w:val="20"/>
        </w:rPr>
        <w:t>”). Pursuant to the YA Letter, the Company agreed to voluntary prepay $5,000,000 of the outstanding principal amount of YA Debenture, resulting in a revised outstanding principal balance under the YA Debenture of $5,000,000.</w:t>
      </w:r>
    </w:p>
    <w:p>
      <w:pPr>
        <w:pStyle w:val="TextBody"/>
        <w:bidi w:val="0"/>
        <w:spacing w:before="0" w:after="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320"/>
        <w:gridCol w:w="3380"/>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3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 Convertible Senior Secured Notes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2026, the Company issued $41.0 million aggregate principal amount of its 10% convertible secured senior notes due 2029 (the “</w:t>
      </w:r>
      <w:r>
        <w:rPr>
          <w:rFonts w:ascii="Times New Roman;Times;Serif" w:hAnsi="Times New Roman;Times;Serif"/>
          <w:b/>
          <w:i w:val="false"/>
          <w:caps w:val="false"/>
          <w:smallCaps w:val="false"/>
          <w:sz w:val="20"/>
        </w:rPr>
        <w:t>10% Notes</w:t>
      </w:r>
      <w:r>
        <w:rPr>
          <w:rFonts w:ascii="Times New Roman;Times;Serif" w:hAnsi="Times New Roman;Times;Serif"/>
          <w:b w:val="false"/>
          <w:i w:val="false"/>
          <w:caps w:val="false"/>
          <w:smallCaps w:val="false"/>
          <w:sz w:val="20"/>
        </w:rPr>
        <w:t>”) to various lenders, $6.0 million of which were issued to a related party. On May 20, 2026, the Company issued a further $5,000,000 aggregate principal amount of 10% Notes to an additional lender. The 10% Notes bear interest at 10% per annum and mature on May 1, 2029. The 10% Notes are initially convertible into 610.3143 shares of common stock per $1,000 principal amount of 10% Notes, subject to the adjustment provisions, including make-whole adjustment terms, included in the 10% Notes, subject to a maximum conversion rate of 884.9557 shares of common stock per $1,000 principal amount of 10% Notes. The 10% Notes may be declared due and payable at the option of the holder upon an event of default and upon a qualifying change of control event. The 10% Notes are not redeemable by the Company.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5"/>
        <w:gridCol w:w="90"/>
        <w:gridCol w:w="6061"/>
        <w:gridCol w:w="90"/>
        <w:gridCol w:w="530"/>
        <w:gridCol w:w="90"/>
        <w:gridCol w:w="866"/>
        <w:gridCol w:w="90"/>
        <w:gridCol w:w="680"/>
        <w:gridCol w:w="90"/>
        <w:gridCol w:w="727"/>
        <w:gridCol w:w="136"/>
      </w:tblGrid>
      <w:tr>
        <w:trPr/>
        <w:tc>
          <w:tcPr>
            <w:tcW w:w="7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90" w:type="dxa"/>
            <w:tcBorders/>
            <w:tcMar>
              <w:bottom w:w="0" w:type="dxa"/>
            </w:tcMar>
            <w:vAlign w:val="center"/>
          </w:tcPr>
          <w:p>
            <w:pPr>
              <w:pStyle w:val="TableContents"/>
              <w:bidi w:val="0"/>
              <w:spacing w:before="0" w:after="283"/>
              <w:jc w:val="left"/>
              <w:rPr/>
            </w:pPr>
            <w:r>
              <w:rPr/>
              <w:t> </w:t>
            </w:r>
          </w:p>
        </w:tc>
        <w:tc>
          <w:tcPr>
            <w:tcW w:w="606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9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90" w:type="dxa"/>
            <w:tcBorders/>
            <w:tcMar>
              <w:bottom w:w="0" w:type="dxa"/>
            </w:tcMar>
            <w:vAlign w:val="center"/>
          </w:tcPr>
          <w:p>
            <w:pPr>
              <w:pStyle w:val="TableContents"/>
              <w:bidi w:val="0"/>
              <w:spacing w:before="0" w:after="283"/>
              <w:jc w:val="left"/>
              <w:rPr/>
            </w:pPr>
            <w:r>
              <w:rPr/>
              <w:t> </w:t>
            </w:r>
          </w:p>
        </w:tc>
        <w:tc>
          <w:tcPr>
            <w:tcW w:w="86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90" w:type="dxa"/>
            <w:tcBorders/>
            <w:tcMar>
              <w:bottom w:w="0" w:type="dxa"/>
            </w:tcMar>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90" w:type="dxa"/>
            <w:tcBorders/>
            <w:tcMar>
              <w:bottom w:w="0" w:type="dxa"/>
            </w:tcMar>
            <w:vAlign w:val="center"/>
          </w:tcPr>
          <w:p>
            <w:pPr>
              <w:pStyle w:val="TableContents"/>
              <w:bidi w:val="0"/>
              <w:spacing w:before="0" w:after="283"/>
              <w:jc w:val="left"/>
              <w:rPr/>
            </w:pPr>
            <w:r>
              <w:rPr/>
              <w:t> </w:t>
            </w:r>
          </w:p>
        </w:tc>
        <w:tc>
          <w:tcPr>
            <w:tcW w:w="72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"http://www.sec.gov/Archives/edgar/data/1838987/000119312523155921/d425844ds4a.htm" \l "anxacov"</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Amended and Restated Business Combination Agreement, dated as of May 26, 2023, by and among Freedom Acquisition I Corp., Jupiter Merger Sub I Corp., Jupiter Merger Sub II LLC, Complete Solar Holding Corporation, and The Solaria Corporation</w:t>
            </w:r>
            <w:r>
              <w:rPr>
                <w:rStyle w:val="InternetLink"/>
                <w:sz w:val="20"/>
                <w:rFonts w:ascii="Times New Roman;Times;Serif" w:hAnsi="Times New Roman;Times;Serif"/>
              </w:rPr>
              <w:fldChar w:fldCharType="end"/>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333-269674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2023-05-31</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Agreement and Plan of Merger, dated as of October 3, 2022, by and between Complete Solar Holding Corporation, Complete Solar Midco, LLC, Complete Solar Merger Sub, Inc., The Solaria Corporation, and Fortis Advisors LLC</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333-269674</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2023-02-10</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Asset Purchase Agreement dated September 19, 2023, by and among Complete Solaria, Inc., SolarCA, LLC, and Maxeon Solar Technologies, Ltd.</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2023-09-21</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Certificate of Incorporation of the Company</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2023-07-21</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Certificate of Amendment to Certificate of Incorporation of SunPower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2025-10-22</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Second Amended and Restated Bylaws of SunPower Inc.</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2025-10-22</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Form of Replacement Warrant</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2023-10-12</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Form of First Amendment to Replacement Warrant</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2023-10-12</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sz w:val="20"/>
                </w:rPr>
                <w:t>Amended and Restated Registration Rights Agreement, dated July 18, 2023, by and among the Company and certain other stockholders party thereto</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Warrant Agreement, dated February 25, 2021, by and between the Company and Continental Stock Transfer &amp; Trust Company, as warrant agent</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2021-03-2</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sz w:val="20"/>
                </w:rPr>
                <w:t>Exchange Agreement, dated July 1, 2024, among the Company and the purchasers party thereto</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2024-07-08</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sz w:val="20"/>
                </w:rPr>
                <w:t>Form of 12.0% Convertible Senior Note due 2029</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2024-07-8</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sz w:val="20"/>
                </w:rPr>
                <w:t>Form of Seller Note</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sz w:val="20"/>
                </w:rPr>
                <w:t>Form of 7.0% Convertible Senior Note due 2029</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2024-09-26</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sz w:val="20"/>
                </w:rPr>
                <w:t>Form of Indenture</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333-283948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2024-12-20</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sz w:val="20"/>
                </w:rPr>
                <w:t>Convertible Promissory Note dated July 10, 2025</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2025-07-16</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90" w:type="dxa"/>
            <w:tcBorders/>
            <w:shd w:fill="CCEEFF" w:val="clear"/>
            <w:tcMar>
              <w:bottom w:w="0" w:type="dxa"/>
            </w:tcMar>
            <w:vAlign w:val="center"/>
          </w:tcPr>
          <w:p>
            <w:pPr>
              <w:pStyle w:val="TableContents"/>
              <w:bidi w:val="0"/>
              <w:spacing w:before="0" w:after="283"/>
              <w:jc w:val="both"/>
              <w:rPr/>
            </w:pPr>
            <w:r>
              <w:rPr/>
              <w:t> </w:t>
            </w:r>
          </w:p>
        </w:tc>
        <w:tc>
          <w:tcPr>
            <w:tcW w:w="6061" w:type="dxa"/>
            <w:tcBorders/>
            <w:shd w:fill="CCEEFF" w:val="clear"/>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sz w:val="20"/>
                </w:rPr>
                <w:t>Indenture, dated September 16, 2024, between the Company and U.S. Bank Trust Company, National Association</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2024-09-26</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90" w:type="dxa"/>
            <w:tcBorders/>
            <w:tcMar>
              <w:bottom w:w="0" w:type="dxa"/>
            </w:tcMar>
            <w:vAlign w:val="center"/>
          </w:tcPr>
          <w:p>
            <w:pPr>
              <w:pStyle w:val="TableContents"/>
              <w:bidi w:val="0"/>
              <w:spacing w:before="0" w:after="283"/>
              <w:jc w:val="both"/>
              <w:rPr/>
            </w:pPr>
            <w:r>
              <w:rPr/>
              <w:t> </w:t>
            </w:r>
          </w:p>
        </w:tc>
        <w:tc>
          <w:tcPr>
            <w:tcW w:w="6061"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sz w:val="20"/>
                </w:rPr>
                <w:t xml:space="preserve">Form of Physical Note for 7.00% Convertible Senior Notes due 2029 </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2024-09-26</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sz w:val="20"/>
                </w:rPr>
                <w:t>Description of Capital Stock</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2025-04-30</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sz w:val="20"/>
                </w:rPr>
                <w:t>Convertible Promissory Note dated January 29, 2026</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2026-01-30</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sz w:val="20"/>
                </w:rPr>
                <w:t>Indenture dated April 23, 2026 between SunPower Inc., the Guarantor party thereto and U.S. Bank Trust Company, National Association+</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2026-04-29</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sz w:val="20"/>
                </w:rPr>
                <w:t>Form of 10.00% Convertible Senior Secured Note due 2029 (included in Exhibit 4.16)</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sz w:val="20"/>
                </w:rPr>
                <w:t>Amended and Restated Promissory Note dated April 23, 2026 issued  to Chicken Parm Pizza LLC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2026-04-29</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sz w:val="20"/>
                </w:rPr>
                <w:t>Opinion of Arnold &amp; Porter Kaye Scholer LLP</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S-1</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pPr>
            <w:r>
              <w:rPr/>
              <w:t>333-293156</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pPr>
            <w:r>
              <w:rPr/>
              <w:t>5.1</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pPr>
            <w:r>
              <w:rPr/>
              <w:t>2026-02-03</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sz w:val="20"/>
                </w:rPr>
                <w:t>Form of Indemnification Agreement</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sz w:val="20"/>
                </w:rPr>
                <w:t>Forward Purchase Agreement, dated July 13, 2023, between Meteora Special Opportunity Fund I, LP, Meteora Capital Partners, LP and Meteora Select Trading Opportunities Master, LP; Freedom Acquisition I Corp.; and Complete Solaria, Inc.</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10.24</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61" w:type="dxa"/>
            <w:tcBorders/>
            <w:shd w:fill="CCEEFF" w:val="clear"/>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sz w:val="20"/>
                </w:rPr>
                <w:t>Forward Purchase Agreement, dated July 13, 2023, between Polar Multi-Strategy Master Fund; Freedom Acquisition I Corp. and Complete Solaria,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tcMar>
              <w:bottom w:w="0" w:type="dxa"/>
            </w:tcMar>
            <w:vAlign w:val="center"/>
          </w:tcPr>
          <w:p>
            <w:pPr>
              <w:pStyle w:val="TableContents"/>
              <w:bidi w:val="0"/>
              <w:spacing w:before="0" w:after="283"/>
              <w:jc w:val="left"/>
              <w:rPr/>
            </w:pPr>
            <w:r>
              <w:rPr/>
              <w:t> </w:t>
            </w:r>
          </w:p>
        </w:tc>
        <w:tc>
          <w:tcPr>
            <w:tcW w:w="6061" w:type="dxa"/>
            <w:tcBorders/>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sz w:val="20"/>
                </w:rPr>
                <w:t>Forward Purchase Agreement, dated July 13, 2023, between Diametric True Alpha Market Neutral Master Fund, LP, Diametric True Alpha Enhanced Market Neutral Master Fund, LP, and Pinebridge Partners Master Fund, LP; Freedom Acquisition I Corp. and Complete Solaria, Inc.</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6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10.26</w:t>
            </w:r>
          </w:p>
        </w:tc>
        <w:tc>
          <w:tcPr>
            <w:tcW w:w="90" w:type="dxa"/>
            <w:tcBorders/>
            <w:tcMar>
              <w:bottom w:w="0" w:type="dxa"/>
            </w:tcMar>
            <w:vAlign w:val="center"/>
          </w:tcPr>
          <w:p>
            <w:pPr>
              <w:pStyle w:val="TableContents"/>
              <w:bidi w:val="0"/>
              <w:spacing w:before="0" w:after="283"/>
              <w:jc w:val="left"/>
              <w:rPr/>
            </w:pPr>
            <w:r>
              <w:rPr/>
              <w:t> </w:t>
            </w:r>
          </w:p>
        </w:tc>
        <w:tc>
          <w:tcPr>
            <w:tcW w:w="72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3"/>
        <w:gridCol w:w="90"/>
        <w:gridCol w:w="6511"/>
        <w:gridCol w:w="90"/>
        <w:gridCol w:w="476"/>
        <w:gridCol w:w="90"/>
        <w:gridCol w:w="778"/>
        <w:gridCol w:w="90"/>
        <w:gridCol w:w="575"/>
        <w:gridCol w:w="90"/>
        <w:gridCol w:w="725"/>
        <w:gridCol w:w="137"/>
      </w:tblGrid>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sz w:val="20"/>
                </w:rPr>
                <w:t>FPA Funding Amount Pipe Subscription Agreements dated July 13, 2023, between Meteora Special Opportunity Fund I, LP, Meteora Capital Partners, LP and Meteora Select Trading Opportunities Master, LP; Freedom Acquisition I Corp.; and Complete Solaria, Inc.</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10.27</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47">
              <w:r>
                <w:rPr>
                  <w:rStyle w:val="InternetLink"/>
                  <w:rFonts w:ascii="Times New Roman;Times;Serif" w:hAnsi="Times New Roman;Times;Serif"/>
                  <w:sz w:val="20"/>
                </w:rPr>
                <w:t>FPA Funding Amount Pipe Subscription Agreements dated July 13, 2023, between Polar Multi-Strategy Master Fund; Freedom Acquisition I Corp. and Complete Solaria, Inc.</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10.28</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48">
              <w:r>
                <w:rPr>
                  <w:rStyle w:val="InternetLink"/>
                  <w:rFonts w:ascii="Times New Roman;Times;Serif" w:hAnsi="Times New Roman;Times;Serif"/>
                  <w:sz w:val="20"/>
                </w:rPr>
                <w:t>FPA Funding Amount Pipe Subscription Agreements, dated July 13, 2023, between Diametric True Alpha Market Neutral Master Fund, LP, Diametric True Alpha Enhanced Market Neutral Master Fund, LP, and Pinebridge Partners Master Fund, LP; Freedom Acquisition I Corp. and Complete Solaria, Inc.</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10.29</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49">
              <w:r>
                <w:rPr>
                  <w:rStyle w:val="InternetLink"/>
                  <w:rFonts w:ascii="Times New Roman;Times;Serif" w:hAnsi="Times New Roman;Times;Serif"/>
                  <w:sz w:val="20"/>
                </w:rPr>
                <w:t>New Money Pipe Subscription Agreements dated July 13, 2023, between Meteora Special Opportunity Fund I, LP, Meteora Capital Partners, LP and Meteora Select Trading Opportunities Master, LP; Freedom Acquisition I Corp.; and Complete Solaria, Inc.</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10.30</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50">
              <w:r>
                <w:rPr>
                  <w:rStyle w:val="InternetLink"/>
                  <w:rFonts w:ascii="Times New Roman;Times;Serif" w:hAnsi="Times New Roman;Times;Serif"/>
                  <w:sz w:val="20"/>
                </w:rPr>
                <w:t>New Money Pipe Subscription Agreements, dated July 13, 2023, between Diametric True Alpha Market Neutral Master Fund, LP, Diametric True Alpha Enhanced Market Neutral Master Fund, LP, and Pinebridge Partners Master Fund, LP; Freedom Acquisition I Corp. and Complete Solaria, Inc.</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51">
              <w:r>
                <w:rPr>
                  <w:rStyle w:val="InternetLink"/>
                  <w:rFonts w:ascii="Times New Roman;Times;Serif" w:hAnsi="Times New Roman;Times;Serif"/>
                  <w:sz w:val="20"/>
                </w:rPr>
                <w:t>Form of Subscription Agreement</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10.32</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52">
              <w:r>
                <w:rPr>
                  <w:rStyle w:val="InternetLink"/>
                  <w:rFonts w:ascii="Times New Roman;Times;Serif" w:hAnsi="Times New Roman;Times;Serif"/>
                  <w:sz w:val="20"/>
                </w:rPr>
                <w:t>Form of Subscription Agreement</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2023-07-14</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53">
              <w:r>
                <w:rPr>
                  <w:rStyle w:val="InternetLink"/>
                  <w:rFonts w:ascii="Times New Roman;Times;Serif" w:hAnsi="Times New Roman;Times;Serif"/>
                  <w:sz w:val="20"/>
                </w:rPr>
                <w:t>Promissory Note dated July 10, 2023, issued by Freedom Acquisition I Corp. to Freedom Acquisition I LLC</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2023-07-11</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54">
              <w:r>
                <w:rPr>
                  <w:rStyle w:val="InternetLink"/>
                  <w:rFonts w:ascii="Times New Roman;Times;Serif" w:hAnsi="Times New Roman;Times;Serif"/>
                  <w:sz w:val="20"/>
                </w:rPr>
                <w:t>Consent to Business Combination Agreement, dated July 9, 2023.</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2023-07-10</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55">
              <w:r>
                <w:rPr>
                  <w:rStyle w:val="InternetLink"/>
                  <w:rFonts w:ascii="Times New Roman;Times;Serif" w:hAnsi="Times New Roman;Times;Serif"/>
                  <w:sz w:val="20"/>
                </w:rPr>
                <w:t>2023 Incentive Equity Plan, as amended</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pPr>
            <w:r>
              <w:rPr/>
              <w:t> </w:t>
            </w:r>
            <w:r>
              <w:rPr>
                <w:rFonts w:ascii="Times New Roman;Times;Serif" w:hAnsi="Times New Roman;Times;Serif"/>
                <w:sz w:val="20"/>
              </w:rPr>
              <w:t>S-1</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pPr>
            <w:r>
              <w:rPr/>
              <w:t> </w:t>
            </w:r>
            <w:r>
              <w:rPr>
                <w:rFonts w:ascii="Times New Roman;Times;Serif" w:hAnsi="Times New Roman;Times;Serif"/>
                <w:sz w:val="20"/>
              </w:rPr>
              <w:t>333-292713</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rFonts w:ascii="Times New Roman;Times;Serif" w:hAnsi="Times New Roman;Times;Serif"/>
                <w:sz w:val="20"/>
              </w:rPr>
              <w:t>10.14</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 </w:t>
            </w:r>
            <w:r>
              <w:rPr>
                <w:rFonts w:ascii="Times New Roman;Times;Serif" w:hAnsi="Times New Roman;Times;Serif"/>
                <w:sz w:val="20"/>
              </w:rPr>
              <w:t>2026-01-14</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56">
              <w:r>
                <w:rPr>
                  <w:rStyle w:val="InternetLink"/>
                  <w:rFonts w:ascii="Times New Roman;Times;Serif" w:hAnsi="Times New Roman;Times;Serif"/>
                  <w:sz w:val="20"/>
                </w:rPr>
                <w:t>Forms of Option Grant Notice and Option agreement and Global RSU Grant Notice and Agreement</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57">
              <w:r>
                <w:rPr>
                  <w:rStyle w:val="InternetLink"/>
                  <w:rFonts w:ascii="Times New Roman;Times;Serif" w:hAnsi="Times New Roman;Times;Serif"/>
                  <w:sz w:val="20"/>
                </w:rPr>
                <w:t>2023 Employee Stock Purchase Plan</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left"/>
              <w:rPr/>
            </w:pPr>
            <w:hyperlink r:id="rId58">
              <w:r>
                <w:rPr>
                  <w:rStyle w:val="InternetLink"/>
                  <w:rFonts w:ascii="Times New Roman;Times;Serif" w:hAnsi="Times New Roman;Times;Serif"/>
                  <w:sz w:val="20"/>
                </w:rPr>
                <w:t>Form of Employment Agreement between Complete Solaria, Inc. and Executive Officers</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333-269674</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10.22</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11, 2023</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left"/>
              <w:rPr/>
            </w:pPr>
            <w:hyperlink r:id="rId59">
              <w:r>
                <w:rPr>
                  <w:rStyle w:val="InternetLink"/>
                  <w:rFonts w:ascii="Times New Roman;Times;Serif" w:hAnsi="Times New Roman;Times;Serif"/>
                  <w:sz w:val="20"/>
                </w:rPr>
                <w:t>Exchange Agreement dated July 1 2024 among Complete Solaria, Inc. and the Purchasers party thereto</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2024-07-8</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10.19</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left"/>
              <w:rPr/>
            </w:pPr>
            <w:hyperlink r:id="rId60">
              <w:r>
                <w:rPr>
                  <w:rStyle w:val="InternetLink"/>
                  <w:rFonts w:ascii="Times New Roman;Times;Serif" w:hAnsi="Times New Roman;Times;Serif"/>
                  <w:sz w:val="20"/>
                </w:rPr>
                <w:t>Form of Convertible Note dated July 1, 2024</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2024-07-8</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left"/>
              <w:rPr/>
            </w:pPr>
            <w:hyperlink r:id="rId61">
              <w:r>
                <w:rPr>
                  <w:rStyle w:val="InternetLink"/>
                  <w:rFonts w:ascii="Times New Roman;Times;Serif" w:hAnsi="Times New Roman;Times;Serif"/>
                  <w:sz w:val="20"/>
                </w:rPr>
                <w:t>Form of Convertible Note Purchase Agreement dated July 1, 2024</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2024-07-8</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10.21</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left"/>
              <w:rPr/>
            </w:pPr>
            <w:hyperlink r:id="rId62">
              <w:r>
                <w:rPr>
                  <w:rStyle w:val="InternetLink"/>
                  <w:rFonts w:ascii="Times New Roman;Times;Serif" w:hAnsi="Times New Roman;Times;Serif"/>
                  <w:sz w:val="20"/>
                </w:rPr>
                <w:t>Form of Note Purchase Agreement</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2024-09-26</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10.22</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left"/>
              <w:rPr/>
            </w:pPr>
            <w:hyperlink r:id="rId63">
              <w:r>
                <w:rPr>
                  <w:rStyle w:val="InternetLink"/>
                  <w:rFonts w:ascii="Times New Roman;Times;Serif" w:hAnsi="Times New Roman;Times;Serif"/>
                  <w:sz w:val="20"/>
                </w:rPr>
                <w:t>Form of Polar Third Amendment to Forward Purchase Agreement</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2024-07-23</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10.23</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left"/>
              <w:rPr/>
            </w:pPr>
            <w:hyperlink r:id="rId64">
              <w:r>
                <w:rPr>
                  <w:rStyle w:val="InternetLink"/>
                  <w:rFonts w:ascii="Times New Roman;Times;Serif" w:hAnsi="Times New Roman;Times;Serif"/>
                  <w:sz w:val="20"/>
                </w:rPr>
                <w:t>Common Stock Purchase Agreement effective July 16, 2024 between the Company and White Lion</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2024-07-17</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10.24</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left"/>
              <w:rPr/>
            </w:pPr>
            <w:hyperlink r:id="rId65">
              <w:r>
                <w:rPr>
                  <w:rStyle w:val="InternetLink"/>
                  <w:rFonts w:ascii="Times New Roman;Times;Serif" w:hAnsi="Times New Roman;Times;Serif"/>
                  <w:sz w:val="20"/>
                </w:rPr>
                <w:t>Amendment No. 1 to Common Stock Purchase Agreement effective July 24, 2024 between the Company and White Lion</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2024-07-26</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10.25</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left"/>
              <w:rPr/>
            </w:pPr>
            <w:hyperlink r:id="rId66">
              <w:r>
                <w:rPr>
                  <w:rStyle w:val="InternetLink"/>
                  <w:rFonts w:ascii="Times New Roman;Times;Serif" w:hAnsi="Times New Roman;Times;Serif"/>
                  <w:sz w:val="20"/>
                </w:rPr>
                <w:t>Amendment No. 2 to Common Stock Purchase Agreement effective August 14, 2024 between the Company and White Lion</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2024-08-20</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10.26</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left"/>
              <w:rPr/>
            </w:pPr>
            <w:hyperlink r:id="rId67">
              <w:r>
                <w:rPr>
                  <w:rStyle w:val="InternetLink"/>
                  <w:rFonts w:ascii="Times New Roman;Times;Serif" w:hAnsi="Times New Roman;Times;Serif"/>
                  <w:sz w:val="20"/>
                </w:rPr>
                <w:t>Registration Rights Agreement dated July 16, 2024 by and between the Company and White Lion</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2024-07-17</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10.27</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left"/>
              <w:rPr/>
            </w:pPr>
            <w:hyperlink r:id="rId68">
              <w:r>
                <w:rPr>
                  <w:rStyle w:val="InternetLink"/>
                  <w:rFonts w:ascii="Times New Roman;Times;Serif" w:hAnsi="Times New Roman;Times;Serif"/>
                  <w:sz w:val="20"/>
                </w:rPr>
                <w:t>OTC Equity Prepaid Forward Transaction Third Amendment dated as of July 17, 2024 by and between Polar Multi-Strategy Master Fund and the Company</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POS AM</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333-273820</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10.47</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2024-07-18</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10.28</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left"/>
              <w:rPr/>
            </w:pPr>
            <w:hyperlink r:id="rId69">
              <w:r>
                <w:rPr>
                  <w:rStyle w:val="InternetLink"/>
                  <w:rFonts w:ascii="Times New Roman;Times;Serif" w:hAnsi="Times New Roman;Times;Serif"/>
                  <w:sz w:val="20"/>
                </w:rPr>
                <w:t>Asset Purchase Agreement dated as of August 5, 2024 by and among the Company, SunPower Corporation and the other parties thereto</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2024-08-06</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10.29#</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left"/>
              <w:rPr/>
            </w:pPr>
            <w:hyperlink r:id="rId70">
              <w:r>
                <w:rPr>
                  <w:rStyle w:val="InternetLink"/>
                  <w:rFonts w:ascii="Times New Roman;Times;Serif" w:hAnsi="Times New Roman;Times;Serif"/>
                  <w:sz w:val="20"/>
                </w:rPr>
                <w:t>Employment Agreement dated October 10, 2024 between the Company and Daniel Foley</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2024-10-16</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10.30</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left"/>
              <w:rPr/>
            </w:pPr>
            <w:hyperlink r:id="rId71">
              <w:r>
                <w:rPr>
                  <w:rStyle w:val="InternetLink"/>
                  <w:rFonts w:ascii="Times New Roman;Times;Serif" w:hAnsi="Times New Roman;Times;Serif"/>
                  <w:sz w:val="20"/>
                </w:rPr>
                <w:t>Transition Services Agreement dated September 30, 2024 among Complete Solaria, Inc. and the other parties thereto</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2024-10-01</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10.31</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left"/>
              <w:rPr/>
            </w:pPr>
            <w:hyperlink r:id="rId72">
              <w:r>
                <w:rPr>
                  <w:rStyle w:val="InternetLink"/>
                  <w:rFonts w:ascii="Times New Roman;Times;Serif" w:hAnsi="Times New Roman;Times;Serif"/>
                  <w:sz w:val="20"/>
                </w:rPr>
                <w:t>Form of Amendment to SAFE (2024)</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2024-04-22</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10.32#</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left"/>
              <w:rPr/>
            </w:pPr>
            <w:hyperlink r:id="rId73">
              <w:r>
                <w:rPr>
                  <w:rStyle w:val="InternetLink"/>
                  <w:rFonts w:ascii="Times New Roman;Times;Serif" w:hAnsi="Times New Roman;Times;Serif"/>
                  <w:sz w:val="20"/>
                </w:rPr>
                <w:t>Executive Employment Agreement dated April 24, 2024 between the Company and Brian Wubbels</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2024-08-14</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10.33</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left"/>
              <w:rPr/>
            </w:pPr>
            <w:hyperlink r:id="rId74">
              <w:r>
                <w:rPr>
                  <w:rStyle w:val="InternetLink"/>
                  <w:rFonts w:ascii="Times New Roman;Times;Serif" w:hAnsi="Times New Roman;Times;Serif"/>
                  <w:sz w:val="20"/>
                </w:rPr>
                <w:t>Form of Sandia Second Amendment to Forward Purchase Agreement</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2024-05-14</w:t>
            </w:r>
          </w:p>
        </w:tc>
        <w:tc>
          <w:tcPr>
            <w:tcW w:w="13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0"/>
        <w:gridCol w:w="6574"/>
        <w:gridCol w:w="90"/>
        <w:gridCol w:w="378"/>
        <w:gridCol w:w="90"/>
        <w:gridCol w:w="841"/>
        <w:gridCol w:w="90"/>
        <w:gridCol w:w="515"/>
        <w:gridCol w:w="90"/>
        <w:gridCol w:w="736"/>
        <w:gridCol w:w="136"/>
      </w:tblGrid>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10.34</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left"/>
              <w:rPr/>
            </w:pPr>
            <w:hyperlink r:id="rId75">
              <w:r>
                <w:rPr>
                  <w:rStyle w:val="InternetLink"/>
                  <w:rFonts w:ascii="Times New Roman;Times;Serif" w:hAnsi="Times New Roman;Times;Serif"/>
                  <w:sz w:val="20"/>
                </w:rPr>
                <w:t>Form of Polar Second Amendment to Forward Purchase Agreement</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2024-05-14</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10.35</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left"/>
              <w:rPr/>
            </w:pPr>
            <w:hyperlink r:id="rId76">
              <w:r>
                <w:rPr>
                  <w:rStyle w:val="InternetLink"/>
                  <w:rFonts w:ascii="Times New Roman;Times;Serif" w:hAnsi="Times New Roman;Times;Serif"/>
                  <w:sz w:val="20"/>
                </w:rPr>
                <w:t>Form of SAFE (May 2024)</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2024-05-17</w:t>
            </w:r>
          </w:p>
        </w:tc>
        <w:tc>
          <w:tcPr>
            <w:tcW w:w="136"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10.36#</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left"/>
              <w:rPr/>
            </w:pPr>
            <w:hyperlink r:id="rId77">
              <w:r>
                <w:rPr>
                  <w:rStyle w:val="InternetLink"/>
                  <w:rFonts w:ascii="Times New Roman;Times;Serif" w:hAnsi="Times New Roman;Times;Serif"/>
                  <w:sz w:val="20"/>
                </w:rPr>
                <w:t>Separation Agreement with Chris Lundell dated as of May 18, 2024</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2024-08-14</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10.37</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left"/>
              <w:rPr/>
            </w:pPr>
            <w:hyperlink r:id="rId78">
              <w:r>
                <w:rPr>
                  <w:rStyle w:val="InternetLink"/>
                  <w:rFonts w:ascii="Times New Roman;Times;Serif" w:hAnsi="Times New Roman;Times;Serif"/>
                  <w:sz w:val="20"/>
                </w:rPr>
                <w:t>Form of Sandia Third Amendment to Forward Purchase Agreement</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2024-06-20</w:t>
            </w:r>
          </w:p>
        </w:tc>
        <w:tc>
          <w:tcPr>
            <w:tcW w:w="136"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10.38</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left"/>
              <w:rPr/>
            </w:pPr>
            <w:hyperlink r:id="rId79">
              <w:r>
                <w:rPr>
                  <w:rStyle w:val="InternetLink"/>
                  <w:rFonts w:ascii="Times New Roman;Times;Serif" w:hAnsi="Times New Roman;Times;Serif"/>
                  <w:sz w:val="20"/>
                </w:rPr>
                <w:t>Form of Siemens v. Solaria Final Order</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2024-06-21</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10.39</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left"/>
              <w:rPr/>
            </w:pPr>
            <w:hyperlink r:id="rId80">
              <w:r>
                <w:rPr>
                  <w:rStyle w:val="InternetLink"/>
                  <w:rFonts w:ascii="Times New Roman;Times;Serif" w:hAnsi="Times New Roman;Times;Serif"/>
                  <w:sz w:val="20"/>
                </w:rPr>
                <w:t>Form of Common Stock Warrant (2024)</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2024-06-24</w:t>
            </w:r>
          </w:p>
        </w:tc>
        <w:tc>
          <w:tcPr>
            <w:tcW w:w="136"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10.40</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left"/>
              <w:rPr/>
            </w:pPr>
            <w:hyperlink r:id="rId81">
              <w:r>
                <w:rPr>
                  <w:rStyle w:val="InternetLink"/>
                  <w:rFonts w:ascii="Times New Roman;Times;Serif" w:hAnsi="Times New Roman;Times;Serif"/>
                  <w:sz w:val="20"/>
                </w:rPr>
                <w:t>Form of Statement of Work (2024)</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2024-06-24</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10.41#</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left"/>
              <w:rPr/>
            </w:pPr>
            <w:hyperlink r:id="rId82">
              <w:r>
                <w:rPr>
                  <w:rStyle w:val="InternetLink"/>
                  <w:rFonts w:ascii="Times New Roman;Times;Serif" w:hAnsi="Times New Roman;Times;Serif"/>
                  <w:sz w:val="20"/>
                </w:rPr>
                <w:t>Amended and Restated Omnibus Incentive Plan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10.42#</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left"/>
              <w:rPr/>
            </w:pPr>
            <w:hyperlink r:id="rId83">
              <w:r>
                <w:rPr>
                  <w:rStyle w:val="InternetLink"/>
                  <w:rFonts w:ascii="Times New Roman;Times;Serif" w:hAnsi="Times New Roman;Times;Serif"/>
                  <w:sz w:val="20"/>
                </w:rPr>
                <w:t>Amended and Restated 2021 Stock Plan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10.43#</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left"/>
              <w:rPr/>
            </w:pPr>
            <w:hyperlink r:id="rId84">
              <w:r>
                <w:rPr>
                  <w:rStyle w:val="InternetLink"/>
                  <w:rFonts w:ascii="Times New Roman;Times;Serif" w:hAnsi="Times New Roman;Times;Serif"/>
                  <w:sz w:val="20"/>
                </w:rPr>
                <w:t>Forms of Option Agreement and Option Exercise under 2021 Stock Plan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10.10</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10.44#</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85">
              <w:r>
                <w:rPr>
                  <w:rStyle w:val="InternetLink"/>
                  <w:rFonts w:ascii="Times New Roman;Times;Serif" w:hAnsi="Times New Roman;Times;Serif"/>
                  <w:sz w:val="20"/>
                </w:rPr>
                <w:t>Solaria Corporation 2016 Stock Plan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10.11</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10.45#</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86">
              <w:r>
                <w:rPr>
                  <w:rStyle w:val="InternetLink"/>
                  <w:rFonts w:ascii="Times New Roman;Times;Serif" w:hAnsi="Times New Roman;Times;Serif"/>
                  <w:sz w:val="20"/>
                </w:rPr>
                <w:t>Forms of Option Agreement and Notice of Exercise under 2016 Stock Plan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10.12</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10.46#</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87">
              <w:r>
                <w:rPr>
                  <w:rStyle w:val="InternetLink"/>
                  <w:rFonts w:ascii="Times New Roman;Times;Serif" w:hAnsi="Times New Roman;Times;Serif"/>
                  <w:sz w:val="20"/>
                </w:rPr>
                <w:t>Complete Solaria 2011 Stock Plan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10.13</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10.47#</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88">
              <w:r>
                <w:rPr>
                  <w:rStyle w:val="InternetLink"/>
                  <w:rFonts w:ascii="Times New Roman;Times;Serif" w:hAnsi="Times New Roman;Times;Serif"/>
                  <w:sz w:val="20"/>
                </w:rPr>
                <w:t>Forms of Option Agreement and Option Exercise under 2011 Stock Plan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10.14</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10.48#</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89">
              <w:r>
                <w:rPr>
                  <w:rStyle w:val="InternetLink"/>
                  <w:rFonts w:ascii="Times New Roman;Times;Serif" w:hAnsi="Times New Roman;Times;Serif"/>
                  <w:sz w:val="20"/>
                </w:rPr>
                <w:t>Solaria Corporation 2006 Stock Plan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10.15</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10.49#</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90">
              <w:r>
                <w:rPr>
                  <w:rStyle w:val="InternetLink"/>
                  <w:rFonts w:ascii="Times New Roman;Times;Serif" w:hAnsi="Times New Roman;Times;Serif"/>
                  <w:sz w:val="20"/>
                </w:rPr>
                <w:t>Forms of Option Agreement, Restricted Stock Agreement and Early Exercise under 2006 Stock Plan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10.16</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10.50</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91">
              <w:r>
                <w:rPr>
                  <w:rStyle w:val="InternetLink"/>
                  <w:rFonts w:ascii="Times New Roman;Times;Serif" w:hAnsi="Times New Roman;Times;Serif"/>
                  <w:sz w:val="20"/>
                </w:rPr>
                <w:t>Form of Common Stock Purchase Agreement</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333-273820</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10.41</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2024-07-19</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10.51#</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92">
              <w:r>
                <w:rPr>
                  <w:rStyle w:val="InternetLink"/>
                  <w:rFonts w:ascii="Times New Roman;Times;Serif" w:hAnsi="Times New Roman;Times;Serif"/>
                  <w:sz w:val="20"/>
                </w:rPr>
                <w:t>Form of Employment Extension Agreement</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2024-07-5</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10.52</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93">
              <w:r>
                <w:rPr>
                  <w:rStyle w:val="InternetLink"/>
                  <w:rFonts w:ascii="Times New Roman;Times;Serif" w:hAnsi="Times New Roman;Times;Serif"/>
                  <w:sz w:val="20"/>
                </w:rPr>
                <w:t>Controlled Equity Offering</w:t>
              </w:r>
            </w:hyperlink>
            <w:hyperlink r:id="rId94">
              <w:r>
                <w:rPr>
                  <w:rStyle w:val="InternetLink"/>
                  <w:rFonts w:ascii="Times New Roman;Times;Serif" w:hAnsi="Times New Roman;Times;Serif"/>
                  <w:position w:val="7"/>
                  <w:sz w:val="16"/>
                  <w:sz w:val="20"/>
                </w:rPr>
                <w:t>SM</w:t>
              </w:r>
            </w:hyperlink>
            <w:hyperlink r:id="rId95">
              <w:r>
                <w:rPr>
                  <w:rStyle w:val="InternetLink"/>
                  <w:rFonts w:ascii="Times New Roman;Times;Serif" w:hAnsi="Times New Roman;Times;Serif"/>
                  <w:sz w:val="20"/>
                </w:rPr>
                <w:t xml:space="preserve"> Sales Agreement, dated December 19, 2024, by and between Complete Solaria, Inc. and Cantor Fitzgerald &amp; Co.</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333-283948</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2024-12-20</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10.53</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96">
              <w:r>
                <w:rPr>
                  <w:rStyle w:val="InternetLink"/>
                  <w:rFonts w:ascii="Times New Roman;Times;Serif" w:hAnsi="Times New Roman;Times;Serif"/>
                  <w:sz w:val="20"/>
                </w:rPr>
                <w:t>Convertible Promissory Note dated July 10, 2025</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2025-07-16</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10.54</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97">
              <w:r>
                <w:rPr>
                  <w:rStyle w:val="InternetLink"/>
                  <w:rFonts w:ascii="Times New Roman;Times;Serif" w:hAnsi="Times New Roman;Times;Serif"/>
                  <w:sz w:val="20"/>
                </w:rPr>
                <w:t>Form of Amendment to OTC Equity Prepaid Forward Transaction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2025-07-21</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10.55</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98">
              <w:r>
                <w:rPr>
                  <w:rStyle w:val="InternetLink"/>
                  <w:rFonts w:ascii="Times New Roman;Times;Serif" w:hAnsi="Times New Roman;Times;Serif"/>
                  <w:sz w:val="20"/>
                </w:rPr>
                <w:t>Fourth Amendment to OTC Equity Prepaid Forward Transaction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2025-07-21</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10.56</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99">
              <w:r>
                <w:rPr>
                  <w:rStyle w:val="InternetLink"/>
                  <w:rFonts w:ascii="Times New Roman;Times;Serif" w:hAnsi="Times New Roman;Times;Serif"/>
                  <w:sz w:val="20"/>
                </w:rPr>
                <w:t>Fifth Amendment to OTC Equity Prepaid Forward Transaction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2025-08-04</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10.57</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00">
              <w:r>
                <w:rPr>
                  <w:rStyle w:val="InternetLink"/>
                  <w:rFonts w:ascii="Times New Roman;Times;Serif" w:hAnsi="Times New Roman;Times;Serif"/>
                  <w:sz w:val="20"/>
                </w:rPr>
                <w:t>Membership Interest Purchase agreement, dated September 21, 2025, by and among the Company, Complete Solar, Inc., Sunder Energy LLC and Chicken Parm Pizza LLC</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10.58</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01">
              <w:r>
                <w:rPr>
                  <w:rStyle w:val="InternetLink"/>
                  <w:rFonts w:ascii="Times New Roman;Times;Serif" w:hAnsi="Times New Roman;Times;Serif"/>
                  <w:sz w:val="20"/>
                </w:rPr>
                <w:t>Form of Seller Note</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10.59</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02">
              <w:r>
                <w:rPr>
                  <w:rStyle w:val="InternetLink"/>
                  <w:rFonts w:ascii="Times New Roman;Times;Serif" w:hAnsi="Times New Roman;Times;Serif"/>
                  <w:sz w:val="20"/>
                </w:rPr>
                <w:t>Form of September 2025 Note Purchase Agreement</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10.60</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03">
              <w:r>
                <w:rPr>
                  <w:rStyle w:val="InternetLink"/>
                  <w:rFonts w:ascii="Times New Roman;Times;Serif" w:hAnsi="Times New Roman;Times;Serif"/>
                  <w:sz w:val="20"/>
                </w:rPr>
                <w:t>Amendment No. 3 to Common Stock Purchase Agreement, dated January 11, 2026, by and between SunPower Inc. and White Lion Capital, LLC</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10.1 </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2026-01-12</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10.61</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04">
              <w:r>
                <w:rPr>
                  <w:rStyle w:val="InternetLink"/>
                  <w:rFonts w:ascii="Times New Roman;Times;Serif" w:hAnsi="Times New Roman;Times;Serif"/>
                  <w:sz w:val="20"/>
                </w:rPr>
                <w:t>Standby Equity Purchase Agreement, dated as of January 27, 2026, by and between SunPower Inc. and YA II PN, LTD</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2026-01-30</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10.62</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05">
              <w:r>
                <w:rPr>
                  <w:rStyle w:val="InternetLink"/>
                  <w:rFonts w:ascii="Times New Roman;Times;Serif" w:hAnsi="Times New Roman;Times;Serif"/>
                  <w:sz w:val="20"/>
                </w:rPr>
                <w:t>Convertible Promissory Note, dated as of January 27, 2026, issued to YA II PN, LTD</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2026-01-30</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10.63</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06">
              <w:r>
                <w:rPr>
                  <w:rStyle w:val="InternetLink"/>
                  <w:rFonts w:ascii="Times New Roman;Times;Serif" w:hAnsi="Times New Roman;Times;Serif"/>
                  <w:sz w:val="20"/>
                </w:rPr>
                <w:t>Registration Rights Agreement, dated as of January 27, 2026, between SunPower Inc. and YA II PN, LTD</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2026-01-30</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10.64</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07">
              <w:r>
                <w:rPr>
                  <w:rStyle w:val="InternetLink"/>
                  <w:rFonts w:ascii="Times New Roman;Times;Serif" w:hAnsi="Times New Roman;Times;Serif"/>
                  <w:sz w:val="20"/>
                </w:rPr>
                <w:t>Amendment and Agreement dated March 5, 2026 between SunPower Inc. and Chicken Parm Pizza LLC</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2026-03-11</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10.65#</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08">
              <w:r>
                <w:rPr>
                  <w:rStyle w:val="InternetLink"/>
                  <w:rFonts w:ascii="Times New Roman;Times;Serif" w:hAnsi="Times New Roman;Times;Serif"/>
                  <w:sz w:val="20"/>
                </w:rPr>
                <w:t>Offer Letter dated February 1, 2026 between SunPower Inc. and Wendell Laidley</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2026-02-05</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10.66#</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09">
              <w:r>
                <w:rPr>
                  <w:rStyle w:val="InternetLink"/>
                  <w:rFonts w:ascii="Times New Roman;Times;Serif" w:hAnsi="Times New Roman;Times;Serif"/>
                  <w:sz w:val="20"/>
                </w:rPr>
                <w:t>Form of Restricted Stock Inducement Agreement</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10.65</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2026-04-14</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10.67</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10">
              <w:r>
                <w:rPr>
                  <w:rStyle w:val="InternetLink"/>
                  <w:rFonts w:ascii="Times New Roman;Times;Serif" w:hAnsi="Times New Roman;Times;Serif"/>
                  <w:sz w:val="20"/>
                </w:rPr>
                <w:t>Purchase Agreement, dated March 6, 2026, between SunPower Inc. and YA II PN, LTD.</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2026-03-11</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10.68</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11">
              <w:r>
                <w:rPr>
                  <w:rStyle w:val="InternetLink"/>
                  <w:rFonts w:ascii="Times New Roman;Times;Serif" w:hAnsi="Times New Roman;Times;Serif"/>
                  <w:sz w:val="20"/>
                </w:rPr>
                <w:t>Convertible Debenture, dated March 6, 2026, between SunPower Inc. and YA II PN, LTD.</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2026-03-11</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10.69</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12">
              <w:r>
                <w:rPr>
                  <w:rStyle w:val="InternetLink"/>
                  <w:rFonts w:ascii="Times New Roman;Times;Serif" w:hAnsi="Times New Roman;Times;Serif"/>
                  <w:sz w:val="20"/>
                </w:rPr>
                <w:t>Registration Rights Agreement, dated March 6, 2026, between SunPower Inc. and YA II PN, LTD.</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2026-03-11</w:t>
            </w:r>
          </w:p>
        </w:tc>
        <w:tc>
          <w:tcPr>
            <w:tcW w:w="136"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
        <w:gridCol w:w="90"/>
        <w:gridCol w:w="6544"/>
        <w:gridCol w:w="90"/>
        <w:gridCol w:w="372"/>
        <w:gridCol w:w="90"/>
        <w:gridCol w:w="940"/>
        <w:gridCol w:w="90"/>
        <w:gridCol w:w="410"/>
        <w:gridCol w:w="90"/>
        <w:gridCol w:w="822"/>
        <w:gridCol w:w="137"/>
      </w:tblGrid>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10.70</w:t>
            </w:r>
          </w:p>
        </w:tc>
        <w:tc>
          <w:tcPr>
            <w:tcW w:w="90" w:type="dxa"/>
            <w:tcBorders/>
            <w:shd w:fill="CCEEFF" w:val="clear"/>
            <w:vAlign w:val="center"/>
          </w:tcPr>
          <w:p>
            <w:pPr>
              <w:pStyle w:val="TableContents"/>
              <w:bidi w:val="0"/>
              <w:spacing w:before="0" w:after="283"/>
              <w:jc w:val="left"/>
              <w:rPr/>
            </w:pPr>
            <w:r>
              <w:rPr/>
              <w:t> </w:t>
            </w:r>
          </w:p>
        </w:tc>
        <w:tc>
          <w:tcPr>
            <w:tcW w:w="6544" w:type="dxa"/>
            <w:tcBorders/>
            <w:shd w:fill="CCEEFF" w:val="clear"/>
            <w:vAlign w:val="center"/>
          </w:tcPr>
          <w:p>
            <w:pPr>
              <w:pStyle w:val="TableContents"/>
              <w:bidi w:val="0"/>
              <w:spacing w:before="0" w:after="283"/>
              <w:jc w:val="both"/>
              <w:rPr/>
            </w:pPr>
            <w:hyperlink r:id="rId113">
              <w:r>
                <w:rPr>
                  <w:rStyle w:val="InternetLink"/>
                  <w:rFonts w:ascii="Times New Roman;Times;Serif" w:hAnsi="Times New Roman;Times;Serif"/>
                  <w:sz w:val="20"/>
                </w:rPr>
                <w:t>Form of Note Purchase Agreement</w:t>
              </w:r>
            </w:hyperlink>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10.71</w:t>
            </w:r>
          </w:p>
        </w:tc>
        <w:tc>
          <w:tcPr>
            <w:tcW w:w="90" w:type="dxa"/>
            <w:tcBorders/>
            <w:vAlign w:val="center"/>
          </w:tcPr>
          <w:p>
            <w:pPr>
              <w:pStyle w:val="TableContents"/>
              <w:bidi w:val="0"/>
              <w:spacing w:before="0" w:after="283"/>
              <w:jc w:val="left"/>
              <w:rPr/>
            </w:pPr>
            <w:r>
              <w:rPr/>
              <w:t> </w:t>
            </w:r>
          </w:p>
        </w:tc>
        <w:tc>
          <w:tcPr>
            <w:tcW w:w="6544" w:type="dxa"/>
            <w:tcBorders/>
            <w:vAlign w:val="center"/>
          </w:tcPr>
          <w:p>
            <w:pPr>
              <w:pStyle w:val="TableContents"/>
              <w:bidi w:val="0"/>
              <w:spacing w:before="0" w:after="283"/>
              <w:jc w:val="both"/>
              <w:rPr/>
            </w:pPr>
            <w:hyperlink r:id="rId114">
              <w:r>
                <w:rPr>
                  <w:rStyle w:val="InternetLink"/>
                  <w:rFonts w:ascii="Times New Roman;Times;Serif" w:hAnsi="Times New Roman;Times;Serif"/>
                  <w:sz w:val="20"/>
                </w:rPr>
                <w:t>Affiliate Note Purchase Agreement, dated April 21, 2026</w:t>
              </w:r>
            </w:hyperlink>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10.72</w:t>
            </w:r>
          </w:p>
        </w:tc>
        <w:tc>
          <w:tcPr>
            <w:tcW w:w="90" w:type="dxa"/>
            <w:tcBorders/>
            <w:shd w:fill="CCEEFF" w:val="clear"/>
            <w:vAlign w:val="center"/>
          </w:tcPr>
          <w:p>
            <w:pPr>
              <w:pStyle w:val="TableContents"/>
              <w:bidi w:val="0"/>
              <w:spacing w:before="0" w:after="283"/>
              <w:jc w:val="left"/>
              <w:rPr/>
            </w:pPr>
            <w:r>
              <w:rPr/>
              <w:t> </w:t>
            </w:r>
          </w:p>
        </w:tc>
        <w:tc>
          <w:tcPr>
            <w:tcW w:w="6544" w:type="dxa"/>
            <w:tcBorders/>
            <w:shd w:fill="CCEEFF" w:val="clear"/>
            <w:vAlign w:val="center"/>
          </w:tcPr>
          <w:p>
            <w:pPr>
              <w:pStyle w:val="TableContents"/>
              <w:bidi w:val="0"/>
              <w:spacing w:before="0" w:after="283"/>
              <w:jc w:val="both"/>
              <w:rPr/>
            </w:pPr>
            <w:hyperlink r:id="rId115">
              <w:r>
                <w:rPr>
                  <w:rStyle w:val="InternetLink"/>
                  <w:rFonts w:ascii="Times New Roman;Times;Serif" w:hAnsi="Times New Roman;Times;Serif"/>
                  <w:sz w:val="20"/>
                </w:rPr>
                <w:t>Note Purchase and Exchange Agreement, dated April 21, 2026, between SunPower Inc. and Chicken Parm Pizza LLC</w:t>
              </w:r>
            </w:hyperlink>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10.73</w:t>
            </w:r>
          </w:p>
        </w:tc>
        <w:tc>
          <w:tcPr>
            <w:tcW w:w="90" w:type="dxa"/>
            <w:tcBorders/>
            <w:vAlign w:val="center"/>
          </w:tcPr>
          <w:p>
            <w:pPr>
              <w:pStyle w:val="TableContents"/>
              <w:bidi w:val="0"/>
              <w:spacing w:before="0" w:after="283"/>
              <w:jc w:val="left"/>
              <w:rPr/>
            </w:pPr>
            <w:r>
              <w:rPr/>
              <w:t> </w:t>
            </w:r>
          </w:p>
        </w:tc>
        <w:tc>
          <w:tcPr>
            <w:tcW w:w="6544" w:type="dxa"/>
            <w:tcBorders/>
            <w:vAlign w:val="center"/>
          </w:tcPr>
          <w:p>
            <w:pPr>
              <w:pStyle w:val="TableContents"/>
              <w:bidi w:val="0"/>
              <w:spacing w:before="0" w:after="283"/>
              <w:jc w:val="both"/>
              <w:rPr/>
            </w:pPr>
            <w:hyperlink r:id="rId116">
              <w:r>
                <w:rPr>
                  <w:rStyle w:val="InternetLink"/>
                  <w:rFonts w:ascii="Times New Roman;Times;Serif" w:hAnsi="Times New Roman;Times;Serif"/>
                  <w:sz w:val="20"/>
                </w:rPr>
                <w:t>Pledge and Security Agreement dated April 23, 2026 between SunPower Inc., the Grantor party thereto and U.S. Bank Trust Company, National Association</w:t>
              </w:r>
            </w:hyperlink>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2026-04-29</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10.74</w:t>
            </w:r>
          </w:p>
        </w:tc>
        <w:tc>
          <w:tcPr>
            <w:tcW w:w="90" w:type="dxa"/>
            <w:tcBorders/>
            <w:shd w:fill="CCEEFF" w:val="clear"/>
            <w:vAlign w:val="center"/>
          </w:tcPr>
          <w:p>
            <w:pPr>
              <w:pStyle w:val="TableContents"/>
              <w:bidi w:val="0"/>
              <w:spacing w:before="0" w:after="283"/>
              <w:jc w:val="left"/>
              <w:rPr/>
            </w:pPr>
            <w:r>
              <w:rPr/>
              <w:t> </w:t>
            </w:r>
          </w:p>
        </w:tc>
        <w:tc>
          <w:tcPr>
            <w:tcW w:w="6544" w:type="dxa"/>
            <w:tcBorders/>
            <w:shd w:fill="CCEEFF" w:val="clear"/>
            <w:vAlign w:val="center"/>
          </w:tcPr>
          <w:p>
            <w:pPr>
              <w:pStyle w:val="TableContents"/>
              <w:bidi w:val="0"/>
              <w:spacing w:before="0" w:after="283"/>
              <w:jc w:val="both"/>
              <w:rPr/>
            </w:pPr>
            <w:hyperlink r:id="rId117">
              <w:r>
                <w:rPr>
                  <w:rStyle w:val="InternetLink"/>
                  <w:rFonts w:ascii="Times New Roman;Times;Serif" w:hAnsi="Times New Roman;Times;Serif"/>
                  <w:sz w:val="20"/>
                </w:rPr>
                <w:t>Patent Security Agreement dated April 23, 2026 between SunPower Inc., the Guarantor party thereto and U.S. Bank Trust Company, National Association</w:t>
              </w:r>
            </w:hyperlink>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2026-04-29</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10.75</w:t>
            </w:r>
          </w:p>
        </w:tc>
        <w:tc>
          <w:tcPr>
            <w:tcW w:w="90" w:type="dxa"/>
            <w:tcBorders/>
            <w:vAlign w:val="center"/>
          </w:tcPr>
          <w:p>
            <w:pPr>
              <w:pStyle w:val="TableContents"/>
              <w:bidi w:val="0"/>
              <w:spacing w:before="0" w:after="283"/>
              <w:jc w:val="left"/>
              <w:rPr/>
            </w:pPr>
            <w:r>
              <w:rPr/>
              <w:t> </w:t>
            </w:r>
          </w:p>
        </w:tc>
        <w:tc>
          <w:tcPr>
            <w:tcW w:w="6544" w:type="dxa"/>
            <w:tcBorders/>
            <w:vAlign w:val="center"/>
          </w:tcPr>
          <w:p>
            <w:pPr>
              <w:pStyle w:val="TableContents"/>
              <w:bidi w:val="0"/>
              <w:spacing w:before="0" w:after="283"/>
              <w:jc w:val="both"/>
              <w:rPr/>
            </w:pPr>
            <w:hyperlink r:id="rId118">
              <w:r>
                <w:rPr>
                  <w:rStyle w:val="InternetLink"/>
                  <w:rFonts w:ascii="Times New Roman;Times;Serif" w:hAnsi="Times New Roman;Times;Serif"/>
                  <w:sz w:val="20"/>
                </w:rPr>
                <w:t>Trademark Security Agreement dated April 23, 2026 between SunPower Inc., the Guarantor party thereto and U.S. Bank Trust Company, National Association</w:t>
              </w:r>
            </w:hyperlink>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2026-04-29</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10.76</w:t>
            </w:r>
          </w:p>
        </w:tc>
        <w:tc>
          <w:tcPr>
            <w:tcW w:w="90" w:type="dxa"/>
            <w:tcBorders/>
            <w:shd w:fill="CCEEFF" w:val="clear"/>
            <w:vAlign w:val="center"/>
          </w:tcPr>
          <w:p>
            <w:pPr>
              <w:pStyle w:val="TableContents"/>
              <w:bidi w:val="0"/>
              <w:spacing w:before="0" w:after="283"/>
              <w:jc w:val="left"/>
              <w:rPr/>
            </w:pPr>
            <w:r>
              <w:rPr/>
              <w:t> </w:t>
            </w:r>
          </w:p>
        </w:tc>
        <w:tc>
          <w:tcPr>
            <w:tcW w:w="6544" w:type="dxa"/>
            <w:tcBorders/>
            <w:shd w:fill="CCEEFF" w:val="clear"/>
            <w:vAlign w:val="center"/>
          </w:tcPr>
          <w:p>
            <w:pPr>
              <w:pStyle w:val="TableContents"/>
              <w:bidi w:val="0"/>
              <w:spacing w:before="0" w:after="283"/>
              <w:jc w:val="both"/>
              <w:rPr/>
            </w:pPr>
            <w:hyperlink r:id="rId119">
              <w:r>
                <w:rPr>
                  <w:rStyle w:val="InternetLink"/>
                  <w:rFonts w:ascii="Times New Roman;Times;Serif" w:hAnsi="Times New Roman;Times;Serif"/>
                  <w:sz w:val="20"/>
                </w:rPr>
                <w:t>Letter Agreement, dated April 21, 2026, between SunPower Inc. and YA II PN, Ltd.</w:t>
              </w:r>
            </w:hyperlink>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10.77</w:t>
            </w:r>
          </w:p>
        </w:tc>
        <w:tc>
          <w:tcPr>
            <w:tcW w:w="90" w:type="dxa"/>
            <w:tcBorders/>
            <w:vAlign w:val="center"/>
          </w:tcPr>
          <w:p>
            <w:pPr>
              <w:pStyle w:val="TableContents"/>
              <w:bidi w:val="0"/>
              <w:spacing w:before="0" w:after="283"/>
              <w:jc w:val="left"/>
              <w:rPr/>
            </w:pPr>
            <w:r>
              <w:rPr/>
              <w:t> </w:t>
            </w:r>
          </w:p>
        </w:tc>
        <w:tc>
          <w:tcPr>
            <w:tcW w:w="6544" w:type="dxa"/>
            <w:tcBorders/>
            <w:vAlign w:val="center"/>
          </w:tcPr>
          <w:p>
            <w:pPr>
              <w:pStyle w:val="TableContents"/>
              <w:bidi w:val="0"/>
              <w:spacing w:before="0" w:after="283"/>
              <w:jc w:val="both"/>
              <w:rPr/>
            </w:pPr>
            <w:hyperlink r:id="rId120">
              <w:r>
                <w:rPr>
                  <w:rStyle w:val="InternetLink"/>
                  <w:rFonts w:ascii="Times New Roman;Times;Serif" w:hAnsi="Times New Roman;Times;Serif"/>
                  <w:sz w:val="20"/>
                </w:rPr>
                <w:t>Form of Exchange Agreement</w:t>
              </w:r>
            </w:hyperlink>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9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0" w:type="dxa"/>
            <w:tcBorders/>
            <w:shd w:fill="CCEEFF" w:val="clear"/>
            <w:vAlign w:val="center"/>
          </w:tcPr>
          <w:p>
            <w:pPr>
              <w:pStyle w:val="TableContents"/>
              <w:bidi w:val="0"/>
              <w:spacing w:before="0" w:after="283"/>
              <w:jc w:val="left"/>
              <w:rPr/>
            </w:pPr>
            <w:r>
              <w:rPr/>
              <w:t> </w:t>
            </w:r>
          </w:p>
        </w:tc>
        <w:tc>
          <w:tcPr>
            <w:tcW w:w="6544" w:type="dxa"/>
            <w:tcBorders/>
            <w:shd w:fill="CCEEFF" w:val="clear"/>
            <w:vAlign w:val="center"/>
          </w:tcPr>
          <w:p>
            <w:pPr>
              <w:pStyle w:val="TableContents"/>
              <w:bidi w:val="0"/>
              <w:spacing w:before="0" w:after="283"/>
              <w:jc w:val="both"/>
              <w:rPr/>
            </w:pPr>
            <w:hyperlink r:id="rId121">
              <w:r>
                <w:rPr>
                  <w:rStyle w:val="InternetLink"/>
                  <w:rFonts w:ascii="Times New Roman;Times;Serif" w:hAnsi="Times New Roman;Times;Serif"/>
                  <w:sz w:val="20"/>
                </w:rPr>
                <w:t>Code of Business Conduct and Ethics</w:t>
              </w:r>
            </w:hyperlink>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2026-04-14</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90" w:type="dxa"/>
            <w:tcBorders/>
            <w:vAlign w:val="center"/>
          </w:tcPr>
          <w:p>
            <w:pPr>
              <w:pStyle w:val="TableContents"/>
              <w:bidi w:val="0"/>
              <w:spacing w:before="0" w:after="283"/>
              <w:jc w:val="left"/>
              <w:rPr/>
            </w:pPr>
            <w:r>
              <w:rPr/>
              <w:t> </w:t>
            </w:r>
          </w:p>
        </w:tc>
        <w:tc>
          <w:tcPr>
            <w:tcW w:w="6544" w:type="dxa"/>
            <w:tcBorders/>
            <w:vAlign w:val="center"/>
          </w:tcPr>
          <w:p>
            <w:pPr>
              <w:pStyle w:val="TableContents"/>
              <w:bidi w:val="0"/>
              <w:spacing w:before="0" w:after="283"/>
              <w:jc w:val="both"/>
              <w:rPr/>
            </w:pPr>
            <w:hyperlink r:id="rId122">
              <w:r>
                <w:rPr>
                  <w:rStyle w:val="InternetLink"/>
                  <w:rFonts w:ascii="Times New Roman;Times;Serif" w:hAnsi="Times New Roman;Times;Serif"/>
                  <w:sz w:val="20"/>
                </w:rPr>
                <w:t>Letter from Deloitte &amp; Touche LLP</w:t>
              </w:r>
            </w:hyperlink>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16.1</w:t>
            </w:r>
          </w:p>
        </w:tc>
        <w:tc>
          <w:tcPr>
            <w:tcW w:w="9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2024-08-01</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19.1</w:t>
            </w:r>
          </w:p>
        </w:tc>
        <w:tc>
          <w:tcPr>
            <w:tcW w:w="90" w:type="dxa"/>
            <w:tcBorders/>
            <w:shd w:fill="CCEEFF" w:val="clear"/>
            <w:vAlign w:val="center"/>
          </w:tcPr>
          <w:p>
            <w:pPr>
              <w:pStyle w:val="TableContents"/>
              <w:bidi w:val="0"/>
              <w:spacing w:before="0" w:after="283"/>
              <w:jc w:val="left"/>
              <w:rPr/>
            </w:pPr>
            <w:r>
              <w:rPr/>
              <w:t> </w:t>
            </w:r>
          </w:p>
        </w:tc>
        <w:tc>
          <w:tcPr>
            <w:tcW w:w="6544" w:type="dxa"/>
            <w:tcBorders/>
            <w:shd w:fill="CCEEFF" w:val="clear"/>
            <w:vAlign w:val="center"/>
          </w:tcPr>
          <w:p>
            <w:pPr>
              <w:pStyle w:val="TableContents"/>
              <w:bidi w:val="0"/>
              <w:spacing w:before="0" w:after="283"/>
              <w:jc w:val="both"/>
              <w:rPr/>
            </w:pPr>
            <w:hyperlink r:id="rId123">
              <w:r>
                <w:rPr>
                  <w:rStyle w:val="InternetLink"/>
                  <w:rFonts w:ascii="Times New Roman;Times;Serif" w:hAnsi="Times New Roman;Times;Serif"/>
                  <w:sz w:val="20"/>
                </w:rPr>
                <w:t>Insider Trading Policy</w:t>
              </w:r>
            </w:hyperlink>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19.1</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2025-04-30</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0" w:type="dxa"/>
            <w:tcBorders/>
            <w:vAlign w:val="center"/>
          </w:tcPr>
          <w:p>
            <w:pPr>
              <w:pStyle w:val="TableContents"/>
              <w:bidi w:val="0"/>
              <w:spacing w:before="0" w:after="283"/>
              <w:jc w:val="left"/>
              <w:rPr/>
            </w:pPr>
            <w:r>
              <w:rPr/>
              <w:t> </w:t>
            </w:r>
          </w:p>
        </w:tc>
        <w:tc>
          <w:tcPr>
            <w:tcW w:w="6544" w:type="dxa"/>
            <w:tcBorders/>
            <w:vAlign w:val="center"/>
          </w:tcPr>
          <w:p>
            <w:pPr>
              <w:pStyle w:val="TableContents"/>
              <w:bidi w:val="0"/>
              <w:spacing w:before="0" w:after="283"/>
              <w:jc w:val="both"/>
              <w:rPr/>
            </w:pPr>
            <w:hyperlink r:id="rId124">
              <w:r>
                <w:rPr>
                  <w:rStyle w:val="InternetLink"/>
                  <w:rFonts w:ascii="Times New Roman;Times;Serif" w:hAnsi="Times New Roman;Times;Serif"/>
                  <w:sz w:val="20"/>
                </w:rPr>
                <w:t>List of Subsidiaries</w:t>
              </w:r>
            </w:hyperlink>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9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333-273820</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21.1</w:t>
            </w:r>
          </w:p>
        </w:tc>
        <w:tc>
          <w:tcPr>
            <w:tcW w:w="9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2023-08-09</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90" w:type="dxa"/>
            <w:tcBorders/>
            <w:shd w:fill="CCEEFF" w:val="clear"/>
            <w:vAlign w:val="center"/>
          </w:tcPr>
          <w:p>
            <w:pPr>
              <w:pStyle w:val="TableContents"/>
              <w:bidi w:val="0"/>
              <w:spacing w:before="0" w:after="283"/>
              <w:jc w:val="left"/>
              <w:rPr/>
            </w:pPr>
            <w:r>
              <w:rPr/>
              <w:t> </w:t>
            </w:r>
          </w:p>
        </w:tc>
        <w:tc>
          <w:tcPr>
            <w:tcW w:w="6544" w:type="dxa"/>
            <w:tcBorders/>
            <w:shd w:fill="CCEEFF" w:val="clear"/>
            <w:vAlign w:val="center"/>
          </w:tcPr>
          <w:p>
            <w:pPr>
              <w:pStyle w:val="TableContents"/>
              <w:bidi w:val="0"/>
              <w:spacing w:before="0" w:after="283"/>
              <w:jc w:val="both"/>
              <w:rPr/>
            </w:pPr>
            <w:hyperlink w:anchor="ea029456901ex23-1.htm">
              <w:r>
                <w:rPr>
                  <w:rStyle w:val="InternetLink"/>
                  <w:rFonts w:ascii="Times New Roman;Times;Serif" w:hAnsi="Times New Roman;Times;Serif"/>
                  <w:sz w:val="20"/>
                </w:rPr>
                <w:t>Consent of BDO USA, P.C.</w:t>
              </w:r>
            </w:hyperlink>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center"/>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0" w:type="dxa"/>
            <w:tcBorders/>
            <w:vAlign w:val="center"/>
          </w:tcPr>
          <w:p>
            <w:pPr>
              <w:pStyle w:val="TableContents"/>
              <w:bidi w:val="0"/>
              <w:spacing w:before="0" w:after="283"/>
              <w:jc w:val="left"/>
              <w:rPr/>
            </w:pPr>
            <w:r>
              <w:rPr/>
              <w:t> </w:t>
            </w:r>
          </w:p>
        </w:tc>
        <w:tc>
          <w:tcPr>
            <w:tcW w:w="6544" w:type="dxa"/>
            <w:tcBorders/>
            <w:vAlign w:val="center"/>
          </w:tcPr>
          <w:p>
            <w:pPr>
              <w:pStyle w:val="TableContents"/>
              <w:bidi w:val="0"/>
              <w:spacing w:before="0" w:after="283"/>
              <w:jc w:val="both"/>
              <w:rPr/>
            </w:pPr>
            <w:hyperlink w:anchor="ea029456901ex23-2.htm">
              <w:r>
                <w:rPr>
                  <w:rStyle w:val="InternetLink"/>
                  <w:rFonts w:ascii="Times New Roman;Times;Serif" w:hAnsi="Times New Roman;Times;Serif"/>
                  <w:sz w:val="20"/>
                </w:rPr>
                <w:t>Consent of BDO USA, P.C.</w:t>
              </w:r>
            </w:hyperlink>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90" w:type="dxa"/>
            <w:tcBorders/>
            <w:shd w:fill="CCEEFF" w:val="clear"/>
            <w:vAlign w:val="center"/>
          </w:tcPr>
          <w:p>
            <w:pPr>
              <w:pStyle w:val="TableContents"/>
              <w:bidi w:val="0"/>
              <w:spacing w:before="0" w:after="283"/>
              <w:jc w:val="left"/>
              <w:rPr/>
            </w:pPr>
            <w:r>
              <w:rPr/>
              <w:t> </w:t>
            </w:r>
          </w:p>
        </w:tc>
        <w:tc>
          <w:tcPr>
            <w:tcW w:w="6544" w:type="dxa"/>
            <w:tcBorders/>
            <w:shd w:fill="CCEEFF" w:val="clear"/>
            <w:vAlign w:val="center"/>
          </w:tcPr>
          <w:p>
            <w:pPr>
              <w:pStyle w:val="TableContents"/>
              <w:bidi w:val="0"/>
              <w:spacing w:before="0" w:after="283"/>
              <w:jc w:val="both"/>
              <w:rPr/>
            </w:pPr>
            <w:hyperlink w:anchor="ea029456901ex23-3.htm">
              <w:r>
                <w:rPr>
                  <w:rStyle w:val="InternetLink"/>
                  <w:rFonts w:ascii="Times New Roman;Times;Serif" w:hAnsi="Times New Roman;Times;Serif"/>
                  <w:sz w:val="20"/>
                </w:rPr>
                <w:t>Consent of Tanner LLP</w:t>
              </w:r>
            </w:hyperlink>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center"/>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90" w:type="dxa"/>
            <w:tcBorders/>
            <w:vAlign w:val="center"/>
          </w:tcPr>
          <w:p>
            <w:pPr>
              <w:pStyle w:val="TableContents"/>
              <w:bidi w:val="0"/>
              <w:spacing w:before="0" w:after="283"/>
              <w:jc w:val="left"/>
              <w:rPr/>
            </w:pPr>
            <w:r>
              <w:rPr/>
              <w:t> </w:t>
            </w:r>
          </w:p>
        </w:tc>
        <w:tc>
          <w:tcPr>
            <w:tcW w:w="6544" w:type="dxa"/>
            <w:tcBorders/>
            <w:vAlign w:val="center"/>
          </w:tcPr>
          <w:p>
            <w:pPr>
              <w:pStyle w:val="TableContents"/>
              <w:bidi w:val="0"/>
              <w:spacing w:before="0" w:after="283"/>
              <w:jc w:val="both"/>
              <w:rPr/>
            </w:pPr>
            <w:hyperlink r:id="rId125">
              <w:r>
                <w:rPr>
                  <w:rStyle w:val="InternetLink"/>
                  <w:rFonts w:ascii="Times New Roman;Times;Serif" w:hAnsi="Times New Roman;Times;Serif"/>
                  <w:sz w:val="20"/>
                </w:rPr>
                <w:t>Consent of Arnold &amp; Porter Kaye Scholer LLP (included in Exhibit 5.1)</w:t>
              </w:r>
            </w:hyperlink>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center"/>
              <w:rPr/>
            </w:pPr>
            <w:r>
              <w:rPr/>
              <w:t>S-1</w:t>
            </w:r>
          </w:p>
        </w:tc>
        <w:tc>
          <w:tcPr>
            <w:tcW w:w="9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333-293156</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5.1</w:t>
            </w:r>
          </w:p>
        </w:tc>
        <w:tc>
          <w:tcPr>
            <w:tcW w:w="9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pPr>
            <w:r>
              <w:rPr/>
              <w:t>2026-02-03</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654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Document Set for the consolidated condensed financial statements and accompanying notes in Consolidated Condensed Financial Statements and Supplemental Details</w:t>
            </w:r>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center"/>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left"/>
              <w:rPr/>
            </w:pPr>
            <w:r>
              <w:rPr/>
              <w:t> </w:t>
            </w:r>
          </w:p>
        </w:tc>
        <w:tc>
          <w:tcPr>
            <w:tcW w:w="65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formatted in Inline XBRL and included as Exhibit 101</w:t>
            </w:r>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left"/>
              <w:rPr/>
            </w:pPr>
            <w:r>
              <w:rPr/>
              <w:t> </w:t>
            </w:r>
          </w:p>
        </w:tc>
        <w:tc>
          <w:tcPr>
            <w:tcW w:w="6544" w:type="dxa"/>
            <w:tcBorders/>
            <w:shd w:fill="CCEEFF" w:val="clear"/>
            <w:vAlign w:val="center"/>
          </w:tcPr>
          <w:p>
            <w:pPr>
              <w:pStyle w:val="TableContents"/>
              <w:bidi w:val="0"/>
              <w:spacing w:before="0" w:after="283"/>
              <w:jc w:val="both"/>
              <w:rPr/>
            </w:pPr>
            <w:hyperlink r:id="rId126">
              <w:r>
                <w:rPr>
                  <w:rStyle w:val="InternetLink"/>
                  <w:rFonts w:ascii="Times New Roman;Times;Serif" w:hAnsi="Times New Roman;Times;Serif"/>
                  <w:sz w:val="20"/>
                </w:rPr>
                <w:t>Filing Fee Table</w:t>
              </w:r>
            </w:hyperlink>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center"/>
              <w:rPr/>
            </w:pPr>
            <w:r>
              <w:rPr/>
              <w:t>S-1</w:t>
            </w:r>
          </w:p>
        </w:tc>
        <w:tc>
          <w:tcPr>
            <w:tcW w:w="9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333-293156</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107</w:t>
            </w:r>
          </w:p>
        </w:tc>
        <w:tc>
          <w:tcPr>
            <w:tcW w:w="90"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center"/>
              <w:rPr/>
            </w:pPr>
            <w:r>
              <w:rPr/>
              <w:t>2026-02-03</w:t>
            </w:r>
          </w:p>
        </w:tc>
        <w:tc>
          <w:tcPr>
            <w:tcW w:w="137" w:type="dxa"/>
            <w:tcBorders/>
            <w:shd w:fill="CCEEFF" w:val="clear"/>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6820" w:type="dxa"/>
        <w:jc w:val="left"/>
        <w:tblInd w:w="0" w:type="dxa"/>
        <w:tblLayout w:type="fixed"/>
        <w:tblCellMar>
          <w:top w:w="0" w:type="dxa"/>
          <w:left w:w="0" w:type="dxa"/>
          <w:bottom w:w="0" w:type="dxa"/>
          <w:right w:w="0" w:type="dxa"/>
        </w:tblCellMar>
      </w:tblPr>
      <w:tblGrid>
        <w:gridCol w:w="215"/>
        <w:gridCol w:w="660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15" w:type="dxa"/>
            <w:tcBorders/>
            <w:vAlign w:val="center"/>
          </w:tcPr>
          <w:p>
            <w:pPr>
              <w:pStyle w:val="TableContents"/>
              <w:bidi w:val="0"/>
              <w:spacing w:before="0" w:after="283"/>
              <w:jc w:val="both"/>
              <w:rPr/>
            </w:pPr>
            <w:r>
              <w:rPr/>
              <w:t> </w:t>
            </w:r>
          </w:p>
        </w:tc>
        <w:tc>
          <w:tcPr>
            <w:tcW w:w="660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a management contract or compensatory plan, contract or arrangement.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during any period in which offers or sales are being made, a post-effective amendment to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remove from registration by means of a post-effective amendment any of the securities being registered which remain unsold at the termination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Post-Effective Amendment No. 1 to the registration statement to be signed on its behalf by the undersigned, thereunto duly authorized, in Orem, Utah, on June 29, 2026.</w:t>
      </w:r>
    </w:p>
    <w:p>
      <w:pPr>
        <w:pStyle w:val="TextBody"/>
        <w:bidi w:val="0"/>
        <w:spacing w:before="0" w:after="0"/>
        <w:ind w:left="0" w:right="0" w:hanging="0"/>
        <w:jc w:val="center"/>
        <w:rPr>
          <w:caps/>
        </w:rPr>
      </w:pPr>
      <w:r>
        <w:rPr>
          <w:caps/>
        </w:rPr>
        <w:t> </w:t>
      </w:r>
    </w:p>
    <w:tbl>
      <w:tblPr>
        <w:tblW w:w="3525" w:type="dxa"/>
        <w:jc w:val="left"/>
        <w:tblInd w:w="0" w:type="dxa"/>
        <w:tblLayout w:type="fixed"/>
        <w:tblCellMar>
          <w:top w:w="0" w:type="dxa"/>
          <w:left w:w="0" w:type="dxa"/>
          <w:bottom w:w="0" w:type="dxa"/>
          <w:right w:w="0" w:type="dxa"/>
        </w:tblCellMar>
      </w:tblPr>
      <w:tblGrid>
        <w:gridCol w:w="105"/>
        <w:gridCol w:w="350"/>
        <w:gridCol w:w="665"/>
        <w:gridCol w:w="2405"/>
      </w:tblGrid>
      <w:tr>
        <w:trPr/>
        <w:tc>
          <w:tcPr>
            <w:tcW w:w="105" w:type="dxa"/>
            <w:tcBorders/>
            <w:vAlign w:val="center"/>
          </w:tcPr>
          <w:p>
            <w:pPr>
              <w:pStyle w:val="TableContents"/>
              <w:bidi w:val="0"/>
              <w:spacing w:before="0" w:after="283"/>
              <w:jc w:val="left"/>
              <w:rPr/>
            </w:pPr>
            <w:r>
              <w:rPr/>
              <w:t> </w:t>
            </w:r>
          </w:p>
        </w:tc>
        <w:tc>
          <w:tcPr>
            <w:tcW w:w="342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SUNPOWER INC.</w:t>
            </w:r>
          </w:p>
        </w:tc>
      </w:tr>
      <w:tr>
        <w:trPr/>
        <w:tc>
          <w:tcPr>
            <w:tcW w:w="105" w:type="dxa"/>
            <w:tcBorders/>
            <w:vAlign w:val="center"/>
          </w:tcPr>
          <w:p>
            <w:pPr>
              <w:pStyle w:val="TableContents"/>
              <w:bidi w:val="0"/>
              <w:spacing w:before="0" w:after="283"/>
              <w:jc w:val="left"/>
              <w:rPr/>
            </w:pPr>
            <w:r>
              <w:rPr/>
              <w:t> </w:t>
            </w:r>
          </w:p>
        </w:tc>
        <w:tc>
          <w:tcPr>
            <w:tcW w:w="3420" w:type="dxa"/>
            <w:gridSpan w:val="3"/>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7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Thurman J. Rodgers</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and </w:t>
              <w:br/>
              <w:t>Executive Chairman</w:t>
            </w:r>
          </w:p>
        </w:tc>
      </w:tr>
    </w:tbl>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8400" w:type="dxa"/>
        <w:jc w:val="left"/>
        <w:tblInd w:w="0" w:type="dxa"/>
        <w:tblLayout w:type="fixed"/>
        <w:tblCellMar>
          <w:top w:w="0" w:type="dxa"/>
          <w:left w:w="0" w:type="dxa"/>
          <w:bottom w:w="28" w:type="dxa"/>
          <w:right w:w="0" w:type="dxa"/>
        </w:tblCellMar>
      </w:tblPr>
      <w:tblGrid>
        <w:gridCol w:w="1925"/>
        <w:gridCol w:w="90"/>
        <w:gridCol w:w="5060"/>
        <w:gridCol w:w="90"/>
        <w:gridCol w:w="1235"/>
      </w:tblGrid>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90" w:type="dxa"/>
            <w:tcBorders/>
            <w:tcMar>
              <w:bottom w:w="0" w:type="dxa"/>
            </w:tcMar>
            <w:vAlign w:val="center"/>
          </w:tcPr>
          <w:p>
            <w:pPr>
              <w:pStyle w:val="TableContents"/>
              <w:bidi w:val="0"/>
              <w:spacing w:before="0" w:after="283"/>
              <w:jc w:val="left"/>
              <w:rPr/>
            </w:pPr>
            <w:r>
              <w:rPr/>
              <w:t> </w:t>
            </w:r>
          </w:p>
        </w:tc>
        <w:tc>
          <w:tcPr>
            <w:tcW w:w="50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9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Thurman J. Rodgers</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 and Principal Financial Officer)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Pasek</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Tidjane Thiam</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 Whatley</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Lothar Maier</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Jamie Haenggi</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Bernard Gutmann</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65"/>
        <w:gridCol w:w="3110"/>
        <w:gridCol w:w="13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1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Thurman J. Rodgers</w:t>
            </w:r>
          </w:p>
        </w:tc>
        <w:tc>
          <w:tcPr>
            <w:tcW w:w="13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Thurman J. Rodgers, Attorney-in-Fact</w:t>
            </w:r>
          </w:p>
        </w:tc>
        <w:tc>
          <w:tcPr>
            <w:tcW w:w="135" w:type="dxa"/>
            <w:tcBorders/>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June 29, 2026</w:t>
            </w:r>
          </w:p>
        </w:tc>
        <w:tc>
          <w:tcPr>
            <w:tcW w:w="13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9456901ex23-1.htm"/>
      <w:bookmarkStart w:id="56" w:name="ksea029456901ex231"/>
      <w:bookmarkEnd w:id="55"/>
      <w:bookmarkEnd w:id="5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of our report dated April 14, 2026, relating to the consolidated financial statements of SunPower Inc. (the “Company”), which is contained in that Prospectus. Our report contains an explanatory paragraph regarding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29,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7" w:name="ea029456901ex23-2.htm"/>
      <w:bookmarkStart w:id="58" w:name="ksea029456901ex232"/>
      <w:bookmarkEnd w:id="57"/>
      <w:bookmarkEnd w:id="58"/>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of SunPower Inc. of our report dated January 9, 2026, relating to the financial statements of Sunder Energy LLC which is contained in that Prospectus. Our report contains an explanatory paragraph regarding Sunder Energy LLC’s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29,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9" w:name="ea029456901ex23-3.htm"/>
      <w:bookmarkStart w:id="60" w:name="ksea029456901ex233"/>
      <w:bookmarkEnd w:id="59"/>
      <w:bookmarkEnd w:id="60"/>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SunPower Inc. of our report dated December 22, 2025, relating to the financial statements of Ambia Energy, LLC as of December 31, 2024 and for the year then ended, which is part of this Registration Statement. We also consent to the reference to our firm under the heading “Experts”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Tanner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Lehi, Utah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29, 2026</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hyperlink" Target="http://www.sec.gov/Archives/edgar/data/1838987/000119312523030704/d425844dex24.htm" TargetMode="External"/><Relationship Id="rId20" Type="http://schemas.openxmlformats.org/officeDocument/2006/relationships/hyperlink" Target="http://www.sec.gov/Archives/edgar/data/1838987/000119312523239699/d558159dex21.htm" TargetMode="External"/><Relationship Id="rId21" Type="http://schemas.openxmlformats.org/officeDocument/2006/relationships/hyperlink" Target="http://www.sec.gov/Archives/edgar/data/1838987/000119312523191334/d862117dex31.htm" TargetMode="External"/><Relationship Id="rId22" Type="http://schemas.openxmlformats.org/officeDocument/2006/relationships/hyperlink" Target="http://www.sec.gov/Archives/edgar/data/1838987/000121390025101247/ea026184401ex3-1_sunpower.htm" TargetMode="External"/><Relationship Id="rId23" Type="http://schemas.openxmlformats.org/officeDocument/2006/relationships/hyperlink" Target="http://www.sec.gov/Archives/edgar/data/1838987/000121390025101247/ea026184401ex3-2_sunpower.htm" TargetMode="External"/><Relationship Id="rId24" Type="http://schemas.openxmlformats.org/officeDocument/2006/relationships/hyperlink" Target="http://www.sec.gov/Archives/edgar/data/1838987/000119312523255093/d569645dex41.htm" TargetMode="External"/><Relationship Id="rId25" Type="http://schemas.openxmlformats.org/officeDocument/2006/relationships/hyperlink" Target="http://www.sec.gov/Archives/edgar/data/1838987/000119312523255093/d569645dex42.htm" TargetMode="External"/><Relationship Id="rId26" Type="http://schemas.openxmlformats.org/officeDocument/2006/relationships/hyperlink" Target="http://www.sec.gov/Archives/edgar/data/1838987/000119312523192359/d530739dex41.htm" TargetMode="External"/><Relationship Id="rId27" Type="http://schemas.openxmlformats.org/officeDocument/2006/relationships/hyperlink" Target="http://www.sec.gov/Archives/edgar/data/1838987/000095010321003441/dp147251_ex0401.htm" TargetMode="External"/><Relationship Id="rId28" Type="http://schemas.openxmlformats.org/officeDocument/2006/relationships/hyperlink" Target="http://www.sec.gov/Archives/edgar/data/1838987/000121390024059870/ea020910501ex10-1_complete.htm" TargetMode="External"/><Relationship Id="rId29" Type="http://schemas.openxmlformats.org/officeDocument/2006/relationships/hyperlink" Target="http://www.sec.gov/Archives/edgar/data/1838987/000121390024059870/ea020910501ex10-2_complete.htm" TargetMode="External"/><Relationship Id="rId30" Type="http://schemas.openxmlformats.org/officeDocument/2006/relationships/hyperlink" Target="http://www.sec.gov/Archives/edgar/data/1838987/000121390025089842/ea025817301ex10-2_complete.htm" TargetMode="External"/><Relationship Id="rId31" Type="http://schemas.openxmlformats.org/officeDocument/2006/relationships/hyperlink" Target="http://www.sec.gov/Archives/edgar/data/1838987/000121390024082266/ea021574201ex4-2_complete.htm" TargetMode="External"/><Relationship Id="rId32" Type="http://schemas.openxmlformats.org/officeDocument/2006/relationships/hyperlink" Target="http://www.sec.gov/Archives/edgar/data/1838987/000121390024110645/ea022515001ex4-13_complete.htm" TargetMode="External"/><Relationship Id="rId33" Type="http://schemas.openxmlformats.org/officeDocument/2006/relationships/hyperlink" Target="http://www.sec.gov/Archives/edgar/data/1838987/000121390025064680/ea024916501ex4-1_complete.htm" TargetMode="External"/><Relationship Id="rId34" Type="http://schemas.openxmlformats.org/officeDocument/2006/relationships/hyperlink" Target="http://www.sec.gov/Archives/edgar/data/1838987/000121390024082266/ea021574201ex4-1_complete.htm" TargetMode="External"/><Relationship Id="rId35" Type="http://schemas.openxmlformats.org/officeDocument/2006/relationships/hyperlink" Target="http://www.sec.gov/Archives/edgar/data/1838987/000121390024082266/ea021574201ex4-2_complete.htm" TargetMode="External"/><Relationship Id="rId36" Type="http://schemas.openxmlformats.org/officeDocument/2006/relationships/hyperlink" Target="http://www.sec.gov/Archives/edgar/data/1838987/000121390025037748/ea023783401ex4-8_complete.htm" TargetMode="External"/><Relationship Id="rId37" Type="http://schemas.openxmlformats.org/officeDocument/2006/relationships/hyperlink" Target="http://www.sec.gov/Archives/edgar/data/1838987/000121390026009812/ea027447901ex4-1_sunpower.htm" TargetMode="External"/><Relationship Id="rId38" Type="http://schemas.openxmlformats.org/officeDocument/2006/relationships/hyperlink" Target="http://www.sec.gov/Archives/edgar/data/1838987/000121390026049337/ea028807701ex4-1.htm" TargetMode="External"/><Relationship Id="rId39" Type="http://schemas.openxmlformats.org/officeDocument/2006/relationships/hyperlink" Target="http://www.sec.gov/Archives/edgar/data/1838987/000121390026046407/ea028730701ex4-1.htm" TargetMode="External"/><Relationship Id="rId40" Type="http://schemas.openxmlformats.org/officeDocument/2006/relationships/hyperlink" Target="http://www.sec.gov/Archives/edgar/data/1838987/000121390026049337/ea028807701ex4-2.htm" TargetMode="External"/><Relationship Id="rId41" Type="http://schemas.openxmlformats.org/officeDocument/2006/relationships/hyperlink" Target="https://www.sec.gov/Archives/edgar/data/1838987/000121390026010865/ea027497401ex5-1_sunpower.htm" TargetMode="External"/><Relationship Id="rId42" Type="http://schemas.openxmlformats.org/officeDocument/2006/relationships/hyperlink" Target="http://www.sec.gov/Archives/edgar/data/1838987/000119312523192359/d530739dex1023.htm" TargetMode="External"/><Relationship Id="rId43" Type="http://schemas.openxmlformats.org/officeDocument/2006/relationships/hyperlink" Target="http://www.sec.gov/Archives/edgar/data/1838987/000119312523192359/d530739dex1024.htm" TargetMode="External"/><Relationship Id="rId44" Type="http://schemas.openxmlformats.org/officeDocument/2006/relationships/hyperlink" Target="http://www.sec.gov/Archives/edgar/data/1838987/000119312523192359/d530739dex1025.htm" TargetMode="External"/><Relationship Id="rId45" Type="http://schemas.openxmlformats.org/officeDocument/2006/relationships/hyperlink" Target="http://www.sec.gov/Archives/edgar/data/1838987/000119312523192359/d530739dex1026.htm" TargetMode="External"/><Relationship Id="rId46" Type="http://schemas.openxmlformats.org/officeDocument/2006/relationships/hyperlink" Target="http://www.sec.gov/Archives/edgar/data/1838987/000119312523192359/d530739dex1027.htm" TargetMode="External"/><Relationship Id="rId47" Type="http://schemas.openxmlformats.org/officeDocument/2006/relationships/hyperlink" Target="http://www.sec.gov/Archives/edgar/data/1838987/000119312523192359/d530739dex1028.htm" TargetMode="External"/><Relationship Id="rId48" Type="http://schemas.openxmlformats.org/officeDocument/2006/relationships/hyperlink" Target="http://www.sec.gov/Archives/edgar/data/1838987/000119312523192359/d530739dex1029.htm" TargetMode="External"/><Relationship Id="rId49" Type="http://schemas.openxmlformats.org/officeDocument/2006/relationships/hyperlink" Target="http://www.sec.gov/Archives/edgar/data/1838987/000119312523192359/d530739dex1030.htm" TargetMode="External"/><Relationship Id="rId50" Type="http://schemas.openxmlformats.org/officeDocument/2006/relationships/hyperlink" Target="http://www.sec.gov/Archives/edgar/data/1838987/000119312523192359/d530739dex1031.htm" TargetMode="External"/><Relationship Id="rId51" Type="http://schemas.openxmlformats.org/officeDocument/2006/relationships/hyperlink" Target="http://www.sec.gov/Archives/edgar/data/1838987/000119312523192359/d530739dex1032.htm" TargetMode="External"/><Relationship Id="rId52" Type="http://schemas.openxmlformats.org/officeDocument/2006/relationships/hyperlink" Target="http://www.sec.gov/Archives/edgar/data/1838987/000119312523186922/d530874dex101.htm" TargetMode="External"/><Relationship Id="rId53" Type="http://schemas.openxmlformats.org/officeDocument/2006/relationships/hyperlink" Target="http://www.sec.gov/Archives/edgar/data/1838987/000119312523185048/d532459dex101.htm" TargetMode="External"/><Relationship Id="rId54" Type="http://schemas.openxmlformats.org/officeDocument/2006/relationships/hyperlink" Target="http://www.sec.gov/Archives/edgar/data/1838987/000119312523184254/d531627dex101.htm" TargetMode="External"/><Relationship Id="rId55" Type="http://schemas.openxmlformats.org/officeDocument/2006/relationships/hyperlink" Target="http://www.sec.gov/Archives/edgar/data/1838987/000121390026004024/ea027210101ex10-14_sunpower.htm" TargetMode="External"/><Relationship Id="rId56" Type="http://schemas.openxmlformats.org/officeDocument/2006/relationships/hyperlink" Target="http://www.sec.gov/Archives/edgar/data/1838987/000119312523192359/d530739dex106.htm" TargetMode="External"/><Relationship Id="rId57" Type="http://schemas.openxmlformats.org/officeDocument/2006/relationships/hyperlink" Target="http://www.sec.gov/Archives/edgar/data/1838987/000119312523192359/d530739dex107.htm" TargetMode="External"/><Relationship Id="rId58" Type="http://schemas.openxmlformats.org/officeDocument/2006/relationships/hyperlink" Target="http://www.sec.gov/Archives/edgar/data/1838987/000119312523141069/d425844dex1022.htm" TargetMode="External"/><Relationship Id="rId59" Type="http://schemas.openxmlformats.org/officeDocument/2006/relationships/hyperlink" Target="http://www.sec.gov/Archives/edgar/data/1838987/000121390024059870/ea020910501ex10-1_complete.htm" TargetMode="External"/><Relationship Id="rId60" Type="http://schemas.openxmlformats.org/officeDocument/2006/relationships/hyperlink" Target="http://www.sec.gov/Archives/edgar/data/1838987/000121390024059870/ea020910501ex10-2_complete.htm" TargetMode="External"/><Relationship Id="rId61" Type="http://schemas.openxmlformats.org/officeDocument/2006/relationships/hyperlink" Target="http://www.sec.gov/Archives/edgar/data/1838987/000121390024059870/ea020910501ex10-3_complete.htm" TargetMode="External"/><Relationship Id="rId62" Type="http://schemas.openxmlformats.org/officeDocument/2006/relationships/hyperlink" Target="http://www.sec.gov/Archives/edgar/data/1838987/000121390024082266/ea021574201ex10-1_complete.htm" TargetMode="External"/><Relationship Id="rId63" Type="http://schemas.openxmlformats.org/officeDocument/2006/relationships/hyperlink" Target="http://www.sec.gov/Archives/edgar/data/1838987/000121390024063629/ea020991301ex10-1_complete.htm" TargetMode="External"/><Relationship Id="rId64" Type="http://schemas.openxmlformats.org/officeDocument/2006/relationships/hyperlink" Target="https://www.sec.gov/Archives/edgar/data/1838987/000121390024062183/ea020939801ex10-1_complete.htm" TargetMode="External"/><Relationship Id="rId65" Type="http://schemas.openxmlformats.org/officeDocument/2006/relationships/hyperlink" Target="http://www.sec.gov/Archives/edgar/data/1838987/000101376224001581/ea021010801ex10-1_complete.htm" TargetMode="External"/><Relationship Id="rId66" Type="http://schemas.openxmlformats.org/officeDocument/2006/relationships/hyperlink" Target="http://www.sec.gov/Archives/edgar/data/1838987/000121390024070909/ea021183501ex10-1_complete.htm" TargetMode="External"/><Relationship Id="rId67" Type="http://schemas.openxmlformats.org/officeDocument/2006/relationships/hyperlink" Target="http://www.sec.gov/Archives/edgar/data/1838987/000121390024062183/ea020939801ex10-2_complete.htm" TargetMode="External"/><Relationship Id="rId68" Type="http://schemas.openxmlformats.org/officeDocument/2006/relationships/hyperlink" Target="http://www.sec.gov/Archives/edgar/data/1838987/000121390024063080/ea020954501ex10-47_comp.htm" TargetMode="External"/><Relationship Id="rId69" Type="http://schemas.openxmlformats.org/officeDocument/2006/relationships/hyperlink" Target="http://www.sec.gov/Archives/edgar/data/1838987/000121390024065369/ea0210606ex10-1_complete.htm" TargetMode="External"/><Relationship Id="rId70" Type="http://schemas.openxmlformats.org/officeDocument/2006/relationships/hyperlink" Target="http://www.sec.gov/Archives/edgar/data/1838987/000121390024088191/ea021775901ex10-1_complete.htm" TargetMode="External"/><Relationship Id="rId71" Type="http://schemas.openxmlformats.org/officeDocument/2006/relationships/hyperlink" Target="http://www.sec.gov/Archives/edgar/data/1838987/000121390024084077/ea021637401ex10-1_complete.htm" TargetMode="External"/><Relationship Id="rId72" Type="http://schemas.openxmlformats.org/officeDocument/2006/relationships/hyperlink" Target="http://www.sec.gov/Archives/edgar/data/1838987/000121390024034907/ea020435701ex10-1_complete.htm" TargetMode="External"/><Relationship Id="rId73" Type="http://schemas.openxmlformats.org/officeDocument/2006/relationships/hyperlink" Target="http://www.sec.gov/Archives/edgar/data/1838987/000121390024068973/ea021055601ex10-2_complete.htm" TargetMode="External"/><Relationship Id="rId74" Type="http://schemas.openxmlformats.org/officeDocument/2006/relationships/hyperlink" Target="http://www.sec.gov/Archives/edgar/data/1838987/000121390024042914/ea020601801ex10-1_complete.htm" TargetMode="External"/><Relationship Id="rId75" Type="http://schemas.openxmlformats.org/officeDocument/2006/relationships/hyperlink" Target="http://www.sec.gov/Archives/edgar/data/1838987/000121390024042914/ea020601801ex10-2_complete.htm" TargetMode="External"/><Relationship Id="rId76" Type="http://schemas.openxmlformats.org/officeDocument/2006/relationships/hyperlink" Target="http://www.sec.gov/Archives/edgar/data/1838987/000121390024044730/ea020599101ex10-1_complete.htm" TargetMode="External"/><Relationship Id="rId77" Type="http://schemas.openxmlformats.org/officeDocument/2006/relationships/hyperlink" Target="http://www.sec.gov/Archives/edgar/data/1838987/000121390024068973/ea021055601ex10-7_complete.htm" TargetMode="External"/><Relationship Id="rId78" Type="http://schemas.openxmlformats.org/officeDocument/2006/relationships/hyperlink" Target="http://www.sec.gov/Archives/edgar/data/1838987/000121390024054298/ea020820901ex10-1_complete.htm" TargetMode="External"/><Relationship Id="rId79" Type="http://schemas.openxmlformats.org/officeDocument/2006/relationships/hyperlink" Target="http://www.sec.gov/Archives/edgar/data/1838987/000121390024054756/ea020827201ex10-1_complete.htm" TargetMode="External"/><Relationship Id="rId80" Type="http://schemas.openxmlformats.org/officeDocument/2006/relationships/hyperlink" Target="http://www.sec.gov/Archives/edgar/data/1838987/000121390024055210/ea020839101ex10-1_complete.htm" TargetMode="External"/><Relationship Id="rId81" Type="http://schemas.openxmlformats.org/officeDocument/2006/relationships/hyperlink" Target="http://www.sec.gov/Archives/edgar/data/1838987/000121390024055210/ea020839101ex10-2_complete.htm" TargetMode="External"/><Relationship Id="rId82" Type="http://schemas.openxmlformats.org/officeDocument/2006/relationships/hyperlink" Target="http://www.sec.gov/Archives/edgar/data/1838987/000119312523192359/d530739dex108.htm" TargetMode="External"/><Relationship Id="rId83" Type="http://schemas.openxmlformats.org/officeDocument/2006/relationships/hyperlink" Target="http://www.sec.gov/Archives/edgar/data/1838987/000119312523192359/d530739dex109.htm" TargetMode="External"/><Relationship Id="rId84" Type="http://schemas.openxmlformats.org/officeDocument/2006/relationships/hyperlink" Target="http://www.sec.gov/Archives/edgar/data/1838987/000119312523192359/d530739dex1010.htm" TargetMode="External"/><Relationship Id="rId85" Type="http://schemas.openxmlformats.org/officeDocument/2006/relationships/hyperlink" Target="http://www.sec.gov/Archives/edgar/data/1838987/000119312523192359/d530739dex1011.htm" TargetMode="External"/><Relationship Id="rId86" Type="http://schemas.openxmlformats.org/officeDocument/2006/relationships/hyperlink" Target="http://www.sec.gov/Archives/edgar/data/1838987/000119312523192359/d530739dex1012.htm" TargetMode="External"/><Relationship Id="rId87" Type="http://schemas.openxmlformats.org/officeDocument/2006/relationships/hyperlink" Target="http://www.sec.gov/Archives/edgar/data/1838987/000119312523192359/d530739dex1013.htm" TargetMode="External"/><Relationship Id="rId88" Type="http://schemas.openxmlformats.org/officeDocument/2006/relationships/hyperlink" Target="http://www.sec.gov/Archives/edgar/data/1838987/000119312523192359/d530739dex1014.htm" TargetMode="External"/><Relationship Id="rId89" Type="http://schemas.openxmlformats.org/officeDocument/2006/relationships/hyperlink" Target="http://www.sec.gov/Archives/edgar/data/1838987/000119312523192359/d530739dex1015.htm" TargetMode="External"/><Relationship Id="rId90" Type="http://schemas.openxmlformats.org/officeDocument/2006/relationships/hyperlink" Target="http://www.sec.gov/Archives/edgar/data/1838987/000119312523192359/d530739dex1016.htm" TargetMode="External"/><Relationship Id="rId91" Type="http://schemas.openxmlformats.org/officeDocument/2006/relationships/hyperlink" Target="http://www.sec.gov/Archives/edgar/data/1838987/000121390024063080/ea020954501ex10-41_comp.htm" TargetMode="External"/><Relationship Id="rId92" Type="http://schemas.openxmlformats.org/officeDocument/2006/relationships/hyperlink" Target="http://www.sec.gov/Archives/edgar/data/1838987/000121390024059547/ea020897701ex10-1_complete.htm" TargetMode="External"/><Relationship Id="rId93" Type="http://schemas.openxmlformats.org/officeDocument/2006/relationships/hyperlink" Target="http://www.sec.gov/Archives/edgar/data/1838987/000121390024110645/ea022515001ex1-2_complete.htm" TargetMode="External"/><Relationship Id="rId94" Type="http://schemas.openxmlformats.org/officeDocument/2006/relationships/hyperlink" Target="http://www.sec.gov/Archives/edgar/data/1838987/000121390024110645/ea022515001ex1-2_complete.htm" TargetMode="External"/><Relationship Id="rId95" Type="http://schemas.openxmlformats.org/officeDocument/2006/relationships/hyperlink" Target="http://www.sec.gov/Archives/edgar/data/1838987/000121390024110645/ea022515001ex1-2_complete.htm" TargetMode="External"/><Relationship Id="rId96" Type="http://schemas.openxmlformats.org/officeDocument/2006/relationships/hyperlink" Target="http://www.sec.gov/Archives/edgar/data/1838987/000121390025064680/ea024916501ex4-1_complete.htm" TargetMode="External"/><Relationship Id="rId97" Type="http://schemas.openxmlformats.org/officeDocument/2006/relationships/hyperlink" Target="http://www.sec.gov/Archives/edgar/data/1838987/000121390025066104/ea024964401ex10-1_comple.htm" TargetMode="External"/><Relationship Id="rId98" Type="http://schemas.openxmlformats.org/officeDocument/2006/relationships/hyperlink" Target="http://www.sec.gov/Archives/edgar/data/1838987/000121390025066104/ea024964401ex10-2_comple.htm" TargetMode="External"/><Relationship Id="rId99" Type="http://schemas.openxmlformats.org/officeDocument/2006/relationships/hyperlink" Target="http://www.sec.gov/Archives/edgar/data/1838987/000121390025071336/ea025156001ex10-1_complete.htm" TargetMode="External"/><Relationship Id="rId100" Type="http://schemas.openxmlformats.org/officeDocument/2006/relationships/hyperlink" Target="http://www.sec.gov/Archives/edgar/data/1838987/000121390025089842/ea025817301ex10-1_complete.htm" TargetMode="External"/><Relationship Id="rId101" Type="http://schemas.openxmlformats.org/officeDocument/2006/relationships/hyperlink" Target="http://www.sec.gov/Archives/edgar/data/1838987/000121390025089842/ea025817301ex10-2_complete.htm" TargetMode="External"/><Relationship Id="rId102" Type="http://schemas.openxmlformats.org/officeDocument/2006/relationships/hyperlink" Target="http://www.sec.gov/Archives/edgar/data/1838987/000121390025089842/ea025817301ex10-3_complete.htm" TargetMode="External"/><Relationship Id="rId103" Type="http://schemas.openxmlformats.org/officeDocument/2006/relationships/hyperlink" Target="http://www.sec.gov/Archives/edgar/data/1838987/000121390026003483/ea027251301ex10-1_sunpower.htm" TargetMode="External"/><Relationship Id="rId104" Type="http://schemas.openxmlformats.org/officeDocument/2006/relationships/hyperlink" Target="http://www.sec.gov/Archives/edgar/data/1838987/000121390026009812/ea027447901ex10-1_sunpower.htm" TargetMode="External"/><Relationship Id="rId105" Type="http://schemas.openxmlformats.org/officeDocument/2006/relationships/hyperlink" Target="http://www.sec.gov/Archives/edgar/data/1838987/000121390026009812/ea027447901ex10-2_sunpower.htm" TargetMode="External"/><Relationship Id="rId106" Type="http://schemas.openxmlformats.org/officeDocument/2006/relationships/hyperlink" Target="http://www.sec.gov/Archives/edgar/data/1838987/000121390026009812/ea027447901ex10-3_sunpower.htm" TargetMode="External"/><Relationship Id="rId107" Type="http://schemas.openxmlformats.org/officeDocument/2006/relationships/hyperlink" Target="http://www.sec.gov/Archives/edgar/data/1838987/000121390026026160/ea028090601ex10-4.htm" TargetMode="External"/><Relationship Id="rId108" Type="http://schemas.openxmlformats.org/officeDocument/2006/relationships/hyperlink" Target="http://www.sec.gov/Archives/edgar/data/1838987/000121390026012763/ea027575801ex10-1_sunpower.htm" TargetMode="External"/><Relationship Id="rId109" Type="http://schemas.openxmlformats.org/officeDocument/2006/relationships/hyperlink" Target="http://www.sec.gov/Archives/edgar/data/1838987/000121390026043623/ea028392001ex10-65.htm" TargetMode="External"/><Relationship Id="rId110" Type="http://schemas.openxmlformats.org/officeDocument/2006/relationships/hyperlink" Target="http://www.sec.gov/Archives/edgar/data/1838987/000121390026026160/ea028090601ex10-1.htm" TargetMode="External"/><Relationship Id="rId111" Type="http://schemas.openxmlformats.org/officeDocument/2006/relationships/hyperlink" Target="http://www.sec.gov/Archives/edgar/data/1838987/000121390026026160/ea028090601ex10-2.htm" TargetMode="External"/><Relationship Id="rId112" Type="http://schemas.openxmlformats.org/officeDocument/2006/relationships/hyperlink" Target="http://www.sec.gov/Archives/edgar/data/1838987/000121390026026160/ea028090601ex10-3.htm" TargetMode="External"/><Relationship Id="rId113" Type="http://schemas.openxmlformats.org/officeDocument/2006/relationships/hyperlink" Target="http://www.sec.gov/Archives/edgar/data/1838987/000121390026046407/ea028730701ex10-1.htm" TargetMode="External"/><Relationship Id="rId114" Type="http://schemas.openxmlformats.org/officeDocument/2006/relationships/hyperlink" Target="http://www.sec.gov/Archives/edgar/data/1838987/000121390026046407/ea028730701ex10-2.htm" TargetMode="External"/><Relationship Id="rId115" Type="http://schemas.openxmlformats.org/officeDocument/2006/relationships/hyperlink" Target="http://www.sec.gov/Archives/edgar/data/1838987/000121390026046407/ea028730701ex10-3.htm" TargetMode="External"/><Relationship Id="rId116" Type="http://schemas.openxmlformats.org/officeDocument/2006/relationships/hyperlink" Target="http://www.sec.gov/Archives/edgar/data/1838987/000121390026049337/ea028807701ex10-1.htm" TargetMode="External"/><Relationship Id="rId117" Type="http://schemas.openxmlformats.org/officeDocument/2006/relationships/hyperlink" Target="http://www.sec.gov/Archives/edgar/data/1838987/000121390026049337/ea028807701ex10-2.htm" TargetMode="External"/><Relationship Id="rId118" Type="http://schemas.openxmlformats.org/officeDocument/2006/relationships/hyperlink" Target="http://www.sec.gov/Archives/edgar/data/1838987/000121390026049337/ea028807701ex10-3.htm" TargetMode="External"/><Relationship Id="rId119" Type="http://schemas.openxmlformats.org/officeDocument/2006/relationships/hyperlink" Target="http://www.sec.gov/Archives/edgar/data/1838987/000121390026046407/ea028730701ex10-5.htm" TargetMode="External"/><Relationship Id="rId120" Type="http://schemas.openxmlformats.org/officeDocument/2006/relationships/hyperlink" Target="http://www.sec.gov/Archives/edgar/data/1838987/000121390026046407/ea028730701ex10-6.htm" TargetMode="External"/><Relationship Id="rId121" Type="http://schemas.openxmlformats.org/officeDocument/2006/relationships/hyperlink" Target="http://www.sec.gov/Archives/edgar/data/1838987/000121390026043623/ea028392001ex14-1.htm" TargetMode="External"/><Relationship Id="rId122" Type="http://schemas.openxmlformats.org/officeDocument/2006/relationships/hyperlink" Target="http://www.sec.gov/Archives/edgar/data/1838987/000121390024064146/ea021041601ex16-1_complete.htm" TargetMode="External"/><Relationship Id="rId123" Type="http://schemas.openxmlformats.org/officeDocument/2006/relationships/hyperlink" Target="http://www.sec.gov/Archives/edgar/data/1838987/000121390025037748/ea023783401ex19-1_complete.htm" TargetMode="External"/><Relationship Id="rId124" Type="http://schemas.openxmlformats.org/officeDocument/2006/relationships/hyperlink" Target="http://www.sec.gov/Archives/edgar/data/1838987/000119312523206474/d508460dex211.htm" TargetMode="External"/><Relationship Id="rId125" Type="http://schemas.openxmlformats.org/officeDocument/2006/relationships/hyperlink" Target="https://www.sec.gov/Archives/edgar/data/1838987/000121390026010865/ea027497401ex5-1_sunpower.htm" TargetMode="External"/><Relationship Id="rId126" Type="http://schemas.openxmlformats.org/officeDocument/2006/relationships/hyperlink" Target="https://www.sec.gov/ix?doc=/Archives/edgar/data/1838987/000121390026010865/ea027497401ex-fee_sunpower.htm" TargetMode="External"/><Relationship Id="rId127" Type="http://schemas.openxmlformats.org/officeDocument/2006/relationships/fontTable" Target="fontTable.xml"/><Relationship Id="rId1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175898</Words>
  <Characters>954659</Characters>
  <CharactersWithSpaces>1140638</CharactersWithSpaces>
  <Paragraphs>38256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